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d'évaluation — MCS Practices Transferability (WBES G7), v6</w:t>
      </w:r>
    </w:p>
    <w:p>
      <w:r>
        <w:t>Partie A : rapport d'évaluateur. Partie B : proposition de résumé réécrit. Partie C : corrections ligne à ligne.</w:t>
      </w:r>
    </w:p>
    <w:p>
      <w:pPr>
        <w:pStyle w:val="Heading1"/>
      </w:pPr>
      <w:r>
        <w:t>A. Rapport d'évaluateur</w:t>
      </w:r>
    </w:p>
    <w:p>
      <w:pPr>
        <w:pStyle w:val="Heading2"/>
      </w:pPr>
      <w:r>
        <w:t>1. Résumé de la contribution</w:t>
      </w:r>
    </w:p>
    <w:p>
      <w:r>
        <w:t>L'article étudie, dans sept économies du G7 (WBES, 6 316 établissements), les associations du suivi, des cibles et des incitations avec la performance, leur stabilité entre pays et contextes organisationnels, et la transférabilité prédictive de ces modèles. Résultats principaux : les incitations (≈22 %) et le suivi (≈13 %) sont associés à la productivité, pas les cibles ; l'association des incitations varie fortement entre pays (I² = 79 %) mais cette hétérogénéité est fragile sous pondération et bootstrap par clusters ; aucun gain prédictif détectable des pentes nationales ou contingentes ; un modèle estimé sur les six autres pays est proche d'un modèle local.</w:t>
      </w:r>
    </w:p>
    <w:p>
      <w:pPr>
        <w:pStyle w:val="Heading2"/>
      </w:pPr>
      <w:r>
        <w:t>2. Points forts</w:t>
      </w:r>
    </w:p>
    <w:p>
      <w:pPr>
        <w:pStyle w:val="ListBullet"/>
      </w:pPr>
      <w:r>
        <w:t>Transparence exemplaire sur les limites, le caractère exploratoire et l'absence de pré-enregistrement.</w:t>
      </w:r>
    </w:p>
    <w:p>
      <w:pPr>
        <w:pStyle w:val="ListBullet"/>
      </w:pPr>
      <w:r>
        <w:t>Validation prédictive soignée : plis identiques, stratification par pays, intervalle corrigé de Nadeau et Bengio, correction de Holm.</w:t>
      </w:r>
    </w:p>
    <w:p>
      <w:pPr>
        <w:pStyle w:val="ListBullet"/>
      </w:pPr>
      <w:r>
        <w:t>Raisonnement oracle versus coût d'estimation (6.7) clair et chiffré ; les chiffres recalculés sont cohérents (0,0028 ; 0,0021 ; MSE du Tableau 8 ; Q et I² ; Holm du Tableau 5).</w:t>
      </w:r>
    </w:p>
    <w:p>
      <w:pPr>
        <w:pStyle w:val="ListBullet"/>
      </w:pPr>
      <w:r>
        <w:t>Inférence révisée : wild cluster bootstrap, intervalles de Q-profile pour τ et I², leave-one-country-out, pondérations, winsorisation, régression médiane.</w:t>
      </w:r>
    </w:p>
    <w:p>
      <w:pPr>
        <w:pStyle w:val="ListBullet"/>
      </w:pPr>
      <w:r>
        <w:t>Ajout du modèle à pooling partiel (HB) et refus explicite de revendiquer l'équivalence.</w:t>
      </w:r>
    </w:p>
    <w:p>
      <w:pPr>
        <w:pStyle w:val="ListBullet"/>
      </w:pPr>
      <w:r>
        <w:t>Cadrage modeste (titre sans « control mechanisms », H1 reconnue non soutenue pour les cibles), références complétées.</w:t>
      </w:r>
    </w:p>
    <w:p>
      <w:pPr>
        <w:pStyle w:val="Heading2"/>
      </w:pPr>
      <w:r>
        <w:t>3. Préoccupations majeures</w:t>
      </w:r>
    </w:p>
    <w:p>
      <w:pPr>
        <w:pStyle w:val="ListNumber"/>
      </w:pPr>
      <w:r>
        <w:rPr>
          <w:b/>
        </w:rPr>
        <w:t xml:space="preserve">Mesure non vérifiée (bloquant). </w:t>
      </w:r>
      <w:r>
        <w:t>Les libellés de r2, r4 (inféré) et r8 ne sont que partiellement vérifiés ; l'auteur indique ne pas avoir lu les questionnaires. Les questionnaires WBES étant publics, la vérification doit précéder toute soumission, y compris pour expliquer le profil du Japon (87 % de cibles, 47 % de suivi) et les primes déclarées sans cibles (14 % ; 35 % en Allemagne).</w:t>
      </w:r>
    </w:p>
    <w:p>
      <w:pPr>
        <w:pStyle w:val="ListNumber"/>
      </w:pPr>
      <w:r>
        <w:rPr>
          <w:b/>
        </w:rPr>
        <w:t xml:space="preserve">Présentation du contraste local − LOCO. </w:t>
      </w:r>
      <w:r>
        <w:t>Le résumé affirme que le modèle LOCO est « détectablement légèrement moins bon » que le modèle local (différence combinée 0,0095 ; IC 0,0023–0,0167). Or le transfert « pratiques seules » donne des différences proches de zéro (−0,005 à 0,015, tous les IC contiennent zéro) : l'écart vient des contrôles, non des pratiques. Il faut le dire dans le résumé, rapporter la différence combinée pratiques seules avec son IC, définir précisément le « practice-only transfer » (que fait le modèle local de comparaison ?), et noter que les modèles LOCO partagent presque les mêmes données d'entraînement, donc que la combinaison par pondération inverse sous-estime probablement l'incertitude.</w:t>
      </w:r>
    </w:p>
    <w:p>
      <w:pPr>
        <w:pStyle w:val="ListNumber"/>
      </w:pPr>
      <w:r>
        <w:rPr>
          <w:b/>
        </w:rPr>
        <w:t xml:space="preserve">Argument « le score masque l'hétérogénéité ». </w:t>
      </w:r>
      <w:r>
        <w:t>En transfert pratiques seules, la perte (81 % des paires ; 0,017) est inférieure à celle du score global (88 % ; 0,020). Seule la comparaison avec le modèle complet (93 % ; 0,033) joue en faveur des pratiques, avec des prédicteurs non homogènes, et l'analyse du score n'est pas présentée (« supplementary »). La contribution n° 1 doit être étayée à prédicteurs comparables ou atténuée.</w:t>
      </w:r>
    </w:p>
    <w:p>
      <w:pPr>
        <w:pStyle w:val="ListNumber"/>
      </w:pPr>
      <w:r>
        <w:rPr>
          <w:b/>
        </w:rPr>
        <w:t xml:space="preserve">Lecture de l'hétérogénéité des incitations. </w:t>
      </w:r>
      <w:r>
        <w:t>Le bootstrap par cellules pays×secteur est reconnu conservateur (le secteur est une strate, non un cluster) : conclure à la « fragilité » sur cette base revient à s'appuyer sur une méthode qui sur-corrige. La baisse de I² avec les poids (79 % → 45 %) est une information substantielle (interaction avec la taille ; p brut 0,009) qui mérite une analyse : les coefficients du Canada et de l'Italie changent-ils avec les poids ? Le résumé superpose « appears », « robust » et « fragile » ; une formulation directe est préférable.</w:t>
      </w:r>
    </w:p>
    <w:p>
      <w:pPr>
        <w:pStyle w:val="ListNumber"/>
      </w:pPr>
      <w:r>
        <w:rPr>
          <w:b/>
        </w:rPr>
        <w:t xml:space="preserve">Hétérogénéité des cibles non discutée. </w:t>
      </w:r>
      <w:r>
        <w:t>L'hétérogénéité cibles × croissance des ventes (bootstrap p = 0,006 ; Holm 0,054) est presque aussi forte que celle des incitations, et le test joint pour la croissance de l'emploi est significatif au bootstrap (p = 0,033), sans commentaire.</w:t>
      </w:r>
    </w:p>
    <w:p>
      <w:pPr>
        <w:pStyle w:val="ListNumber"/>
      </w:pPr>
      <w:r>
        <w:rPr>
          <w:b/>
        </w:rPr>
        <w:t xml:space="preserve">Puissance et équivalence. </w:t>
      </w:r>
      <w:r>
        <w:t>Les limites sont bien reconnues, mais le modèle HB n'est pas dans les hypothèses ; il faut signaler que HB et les robustesses ont été ajoutés après l'exploration.</w:t>
      </w:r>
    </w:p>
    <w:p>
      <w:pPr>
        <w:pStyle w:val="Heading2"/>
      </w:pPr>
      <w:r>
        <w:t>4. Points mineurs</w:t>
      </w:r>
    </w:p>
    <w:p>
      <w:pPr>
        <w:pStyle w:val="ListBullet"/>
      </w:pPr>
      <w:r>
        <w:t>« Truncated » (section 4) et « winsorised » (Tableau 6) : harmoniser ; N identique, donc probablement winsorisation.</w:t>
      </w:r>
    </w:p>
    <w:p>
      <w:pPr>
        <w:pStyle w:val="ListBullet"/>
      </w:pPr>
      <w:r>
        <w:t>Tableau 6 : ligne « Weighted WLS (wmedian) » à renommer ; vérifier que la borne supérieure du leave-one-out (Q = 28,4) n'est pas un arrondi du cas principal.</w:t>
      </w:r>
    </w:p>
    <w:p>
      <w:pPr>
        <w:pStyle w:val="ListBullet"/>
      </w:pPr>
      <w:r>
        <w:t>Supprimer le langage de processus (« earlier versions », « retained from the earlier analysis », « not overwritten ») et la phrase finale de « Future research » sur l'IA, l'audit interne et la préparation au changement.</w:t>
      </w:r>
    </w:p>
    <w:p>
      <w:pPr>
        <w:pStyle w:val="ListBullet"/>
      </w:pPr>
      <w:r>
        <w:t>Supprimer « the author has not read the questionnaires » après vérification.</w:t>
      </w:r>
    </w:p>
    <w:p>
      <w:pPr>
        <w:pStyle w:val="ListBullet"/>
      </w:pPr>
      <w:r>
        <w:t>Section 6.8 : préciser que la comparaison avec le score latent est à prédicteurs différents ou la rendre homogène.</w:t>
      </w:r>
    </w:p>
    <w:p>
      <w:pPr>
        <w:pStyle w:val="Heading2"/>
      </w:pPr>
      <w:r>
        <w:t>5. Recommandation</w:t>
      </w:r>
    </w:p>
    <w:p>
      <w:r>
        <w:t>Révision mineure à modérée avant soumission, conditionnée par la vérification des libellés (préoccupation 1). La méthode est désormais solide et honnête ; les corrections restantes portent sur la mesure, la présentation du contraste local − LOCO et la sobriété du résumé.</w:t>
      </w:r>
    </w:p>
    <w:p>
      <w:pPr>
        <w:pStyle w:val="Heading1"/>
      </w:pPr>
      <w:r>
        <w:t>B. Proposition de résumé réécrit (anglais)</w:t>
      </w:r>
    </w:p>
    <w:p>
      <w:r>
        <w:t>Monitoring, target setting and incentives are the structured management practices used by Bloom and Van Reenen (2007) and correspond to core mechanisms of management control. Using the World Bank Enterprise Surveys for seven G7 economies (6,316 establishments, mostly with 20 or more employees), we examine their associations with performance, their stability across countries and organisational contexts, and the transferability of models of these associations. Incentives are most strongly associated with productivity (about 22% higher sales per employee), monitoring less so (about 13%); targets are not. The incentive association ranges from about 66% in Canada to about 5% in France (I² = 79%). This heterogeneity is large and not driven by outliers or by any single country, but it is not significant after Holm correction under wild cluster bootstrap inference and weakens with sampling weights. No joint effects among practices and no reliable organisational contingencies are found. A common model of the three practices is not detectably improved out of sample by country-specific or contingent slopes; a partial-pooling model has the lowest error but is not reliably better. These comparisons have limited power and do not establish equivalence. Single-country models transfer worse than local models in most pairs, about half of the loss coming from the control coefficients. A model estimated on the other six countries is slightly but detectably worse than a local one; when only the practice coefficients are transferred, differences are close to zero [to be confirmed with the combined interval]. Integration and use of controls, institutional characteristics and the wording of several items could not be examined or verified. All results are exploratory cross-sectional associations.</w:t>
      </w:r>
    </w:p>
    <w:p>
      <w:r>
        <w:t>Note : la phrase entre crochets dépend du calcul de la différence combinée pratiques seules, non rapportée dans la v6.</w:t>
      </w:r>
    </w:p>
    <w:p>
      <w:pPr>
        <w:pStyle w:val="Heading1"/>
      </w:pPr>
      <w:r>
        <w:t>C. Corrections ligne à ligne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Emplacement</w:t>
            </w:r>
          </w:p>
        </w:tc>
        <w:tc>
          <w:tcPr>
            <w:tcW w:type="dxa" w:w="2880"/>
          </w:tcPr>
          <w:p>
            <w:r>
              <w:t>Problème</w:t>
            </w:r>
          </w:p>
        </w:tc>
        <w:tc>
          <w:tcPr>
            <w:tcW w:type="dxa" w:w="2880"/>
          </w:tcPr>
          <w:p>
            <w:r>
              <w:t>Correction proposée</w:t>
            </w:r>
          </w:p>
        </w:tc>
      </w:tr>
      <w:tr>
        <w:tc>
          <w:tcPr>
            <w:tcW w:type="dxa" w:w="2880"/>
          </w:tcPr>
          <w:p>
            <w:r>
              <w:t>Résumé</w:t>
            </w:r>
          </w:p>
        </w:tc>
        <w:tc>
          <w:tcPr>
            <w:tcW w:type="dxa" w:w="2880"/>
          </w:tcPr>
          <w:p>
            <w:r>
              <w:t>Trois formulations hedgées empilées sur l'hétérogénéité ; LOCO « detectably slightly worse » sans préciser l'origine.</w:t>
            </w:r>
          </w:p>
        </w:tc>
        <w:tc>
          <w:tcPr>
            <w:tcW w:type="dxa" w:w="2880"/>
          </w:tcPr>
          <w:p>
            <w:r>
              <w:t>Remplacer par le résumé de la partie B.</w:t>
            </w:r>
          </w:p>
        </w:tc>
      </w:tr>
      <w:tr>
        <w:tc>
          <w:tcPr>
            <w:tcW w:type="dxa" w:w="2880"/>
          </w:tcPr>
          <w:p>
            <w:r>
              <w:t>Section 4, Practices</w:t>
            </w:r>
          </w:p>
        </w:tc>
        <w:tc>
          <w:tcPr>
            <w:tcW w:type="dxa" w:w="2880"/>
          </w:tcPr>
          <w:p>
            <w:r>
              <w:t>« r4 inferred … r2 and r8 partly verified » ; section 10 : « the author has not read the questionnaires ».</w:t>
            </w:r>
          </w:p>
        </w:tc>
        <w:tc>
          <w:tcPr>
            <w:tcW w:type="dxa" w:w="2880"/>
          </w:tcPr>
          <w:p>
            <w:r>
              <w:t>Vérifier contre les questionnaires WBES ; mettre à jour les deux passages.</w:t>
            </w:r>
          </w:p>
        </w:tc>
      </w:tr>
      <w:tr>
        <w:tc>
          <w:tcPr>
            <w:tcW w:type="dxa" w:w="2880"/>
          </w:tcPr>
          <w:p>
            <w:r>
              <w:t>Section 4, Outcomes</w:t>
            </w:r>
          </w:p>
        </w:tc>
        <w:tc>
          <w:tcPr>
            <w:tcW w:type="dxa" w:w="2880"/>
          </w:tcPr>
          <w:p>
            <w:r>
              <w:t>« truncated at the 0.5th and 99.5th percentiles ».</w:t>
            </w:r>
          </w:p>
        </w:tc>
        <w:tc>
          <w:tcPr>
            <w:tcW w:type="dxa" w:w="2880"/>
          </w:tcPr>
          <w:p>
            <w:r>
              <w:t>Dire « winsorised » (ou « trimmed » si les observations sont retirées) et harmoniser avec le Tableau 6.</w:t>
            </w:r>
          </w:p>
        </w:tc>
      </w:tr>
      <w:tr>
        <w:tc>
          <w:tcPr>
            <w:tcW w:type="dxa" w:w="2880"/>
          </w:tcPr>
          <w:p>
            <w:r>
              <w:t>Section 4, Survey design</w:t>
            </w:r>
          </w:p>
        </w:tc>
        <w:tc>
          <w:tcPr>
            <w:tcW w:type="dxa" w:w="2880"/>
          </w:tcPr>
          <w:p>
            <w:r>
              <w:t>Cluster = cellule pays×secteur alors que le secteur est une strate.</w:t>
            </w:r>
          </w:p>
        </w:tc>
        <w:tc>
          <w:tcPr>
            <w:tcW w:type="dxa" w:w="2880"/>
          </w:tcPr>
          <w:p>
            <w:r>
              <w:t>Justifier le choix ; ajouter une phrase sur l'effet des poids (taille) et renvoyer à 6.4.</w:t>
            </w:r>
          </w:p>
        </w:tc>
      </w:tr>
      <w:tr>
        <w:tc>
          <w:tcPr>
            <w:tcW w:type="dxa" w:w="2880"/>
          </w:tcPr>
          <w:p>
            <w:r>
              <w:t>Section 3, hypothèses</w:t>
            </w:r>
          </w:p>
        </w:tc>
        <w:tc>
          <w:tcPr>
            <w:tcW w:type="dxa" w:w="2880"/>
          </w:tcPr>
          <w:p>
            <w:r>
              <w:t>HB et les robustesses absents.</w:t>
            </w:r>
          </w:p>
        </w:tc>
        <w:tc>
          <w:tcPr>
            <w:tcW w:type="dxa" w:w="2880"/>
          </w:tcPr>
          <w:p>
            <w:r>
              <w:t>Ajouter : « The partial-pooling model and the robustness checks of Section 6.4 were added after the exploratory phase ».</w:t>
            </w:r>
          </w:p>
        </w:tc>
      </w:tr>
      <w:tr>
        <w:tc>
          <w:tcPr>
            <w:tcW w:type="dxa" w:w="2880"/>
          </w:tcPr>
          <w:p>
            <w:r>
              <w:t>Section 5, Prediction and transfer</w:t>
            </w:r>
          </w:p>
        </w:tc>
        <w:tc>
          <w:tcPr>
            <w:tcW w:type="dxa" w:w="2880"/>
          </w:tcPr>
          <w:p>
            <w:r>
              <w:t>« practice-only transfer » ambigu ; combinaison par pondération inverse.</w:t>
            </w:r>
          </w:p>
        </w:tc>
        <w:tc>
          <w:tcPr>
            <w:tcW w:type="dxa" w:w="2880"/>
          </w:tcPr>
          <w:p>
            <w:r>
              <w:t>Définir le modèle local comparé ; noter la dépendance entre cibles (entraînements LOCO quasi communs) ; envisager un bootstrap conjoint.</w:t>
            </w:r>
          </w:p>
        </w:tc>
      </w:tr>
      <w:tr>
        <w:tc>
          <w:tcPr>
            <w:tcW w:type="dxa" w:w="2880"/>
          </w:tcPr>
          <w:p>
            <w:r>
              <w:t>6.4, après Tableau 6</w:t>
            </w:r>
          </w:p>
        </w:tc>
        <w:tc>
          <w:tcPr>
            <w:tcW w:type="dxa" w:w="2880"/>
          </w:tcPr>
          <w:p>
            <w:r>
              <w:t>« the asymptotic clustered p-values of 0.0000 in earlier versions … »</w:t>
            </w:r>
          </w:p>
        </w:tc>
        <w:tc>
          <w:tcPr>
            <w:tcW w:type="dxa" w:w="2880"/>
          </w:tcPr>
          <w:p>
            <w:r>
              <w:t>Supprimer la référence aux versions antérieures ; garder la phrase sur le caractère anti-conservateur des p asymptotiques.</w:t>
            </w:r>
          </w:p>
        </w:tc>
      </w:tr>
      <w:tr>
        <w:tc>
          <w:tcPr>
            <w:tcW w:type="dxa" w:w="2880"/>
          </w:tcPr>
          <w:p>
            <w:r>
              <w:t>6.4</w:t>
            </w:r>
          </w:p>
        </w:tc>
        <w:tc>
          <w:tcPr>
            <w:tcW w:type="dxa" w:w="2880"/>
          </w:tcPr>
          <w:p>
            <w:r>
              <w:t>Hétérogénéité cibles × croissance (0,006 ; 0,054) et test joint emploi (0,033) non discutés.</w:t>
            </w:r>
          </w:p>
        </w:tc>
        <w:tc>
          <w:tcPr>
            <w:tcW w:type="dxa" w:w="2880"/>
          </w:tcPr>
          <w:p>
            <w:r>
              <w:t>Ajouter deux phrases ; évoquer H3 pour les cibles.</w:t>
            </w:r>
          </w:p>
        </w:tc>
      </w:tr>
      <w:tr>
        <w:tc>
          <w:tcPr>
            <w:tcW w:type="dxa" w:w="2880"/>
          </w:tcPr>
          <w:p>
            <w:r>
              <w:t>6.4 / 6.8</w:t>
            </w:r>
          </w:p>
        </w:tc>
        <w:tc>
          <w:tcPr>
            <w:tcW w:type="dxa" w:w="2880"/>
          </w:tcPr>
          <w:p>
            <w:r>
              <w:t>Poids : I² 79 % → 45 %.</w:t>
            </w:r>
          </w:p>
        </w:tc>
        <w:tc>
          <w:tcPr>
            <w:tcW w:type="dxa" w:w="2880"/>
          </w:tcPr>
          <w:p>
            <w:r>
              <w:t>Ajouter l'analyse Canada/Italie sous poids et incitations × taille par pays.</w:t>
            </w:r>
          </w:p>
        </w:tc>
      </w:tr>
      <w:tr>
        <w:tc>
          <w:tcPr>
            <w:tcW w:type="dxa" w:w="2880"/>
          </w:tcPr>
          <w:p>
            <w:r>
              <w:t>Tableau 6</w:t>
            </w:r>
          </w:p>
        </w:tc>
        <w:tc>
          <w:tcPr>
            <w:tcW w:type="dxa" w:w="2880"/>
          </w:tcPr>
          <w:p>
            <w:r>
              <w:t>« Weighted WLS (wmedian) » ; « No winsorisation » avec Q = 28,4 identique au principal.</w:t>
            </w:r>
          </w:p>
        </w:tc>
        <w:tc>
          <w:tcPr>
            <w:tcW w:type="dxa" w:w="2880"/>
          </w:tcPr>
          <w:p>
            <w:r>
              <w:t>Renommer ; vérifier l'arrondi.</w:t>
            </w:r>
          </w:p>
        </w:tc>
      </w:tr>
      <w:tr>
        <w:tc>
          <w:tcPr>
            <w:tcW w:type="dxa" w:w="2880"/>
          </w:tcPr>
          <w:p>
            <w:r>
              <w:t>6.8</w:t>
            </w:r>
          </w:p>
        </w:tc>
        <w:tc>
          <w:tcPr>
            <w:tcW w:type="dxa" w:w="2880"/>
          </w:tcPr>
          <w:p>
            <w:r>
              <w:t>Comparaison au score latent à prédicteurs différents ; analyse supplémentaire non montrée.</w:t>
            </w:r>
          </w:p>
        </w:tc>
        <w:tc>
          <w:tcPr>
            <w:tcW w:type="dxa" w:w="2880"/>
          </w:tcPr>
          <w:p>
            <w:r>
              <w:t>Présenter l'analyse ou atténuer « consistent with a score masking differences ».</w:t>
            </w:r>
          </w:p>
        </w:tc>
      </w:tr>
      <w:tr>
        <w:tc>
          <w:tcPr>
            <w:tcW w:type="dxa" w:w="2880"/>
          </w:tcPr>
          <w:p>
            <w:r>
              <w:t>6.8</w:t>
            </w:r>
          </w:p>
        </w:tc>
        <w:tc>
          <w:tcPr>
            <w:tcW w:type="dxa" w:w="2880"/>
          </w:tcPr>
          <w:p>
            <w:r>
              <w:t>Différence pratiques seules non combinée.</w:t>
            </w:r>
          </w:p>
        </w:tc>
        <w:tc>
          <w:tcPr>
            <w:tcW w:type="dxa" w:w="2880"/>
          </w:tcPr>
          <w:p>
            <w:r>
              <w:t>Ajouter la différence combinée pratiques seules avec IC et p.</w:t>
            </w:r>
          </w:p>
        </w:tc>
      </w:tr>
      <w:tr>
        <w:tc>
          <w:tcPr>
            <w:tcW w:type="dxa" w:w="2880"/>
          </w:tcPr>
          <w:p>
            <w:r>
              <w:t>6.9</w:t>
            </w:r>
          </w:p>
        </w:tc>
        <w:tc>
          <w:tcPr>
            <w:tcW w:type="dxa" w:w="2880"/>
          </w:tcPr>
          <w:p>
            <w:r>
              <w:t>« retained from the earlier analysis ».</w:t>
            </w:r>
          </w:p>
        </w:tc>
        <w:tc>
          <w:tcPr>
            <w:tcW w:type="dxa" w:w="2880"/>
          </w:tcPr>
          <w:p>
            <w:r>
              <w:t>Reformuler (« Complementary analyses of latent structure »).</w:t>
            </w:r>
          </w:p>
        </w:tc>
      </w:tr>
      <w:tr>
        <w:tc>
          <w:tcPr>
            <w:tcW w:type="dxa" w:w="2880"/>
          </w:tcPr>
          <w:p>
            <w:r>
              <w:t>8, contribution 1</w:t>
            </w:r>
          </w:p>
        </w:tc>
        <w:tc>
          <w:tcPr>
            <w:tcW w:type="dxa" w:w="2880"/>
          </w:tcPr>
          <w:p>
            <w:r>
              <w:t>S'appuie sur la comparaison score/pratiques de 6.8.</w:t>
            </w:r>
          </w:p>
        </w:tc>
        <w:tc>
          <w:tcPr>
            <w:tcW w:type="dxa" w:w="2880"/>
          </w:tcPr>
          <w:p>
            <w:r>
              <w:t>Atténuer ou étayer (voir 6.8).</w:t>
            </w:r>
          </w:p>
        </w:tc>
      </w:tr>
      <w:tr>
        <w:tc>
          <w:tcPr>
            <w:tcW w:type="dxa" w:w="2880"/>
          </w:tcPr>
          <w:p>
            <w:r>
              <w:t>10, Future research</w:t>
            </w:r>
          </w:p>
        </w:tc>
        <w:tc>
          <w:tcPr>
            <w:tcW w:type="dxa" w:w="2880"/>
          </w:tcPr>
          <w:p>
            <w:r>
              <w:t>Dernière phrase sur l'IA, l'audit interne et la préparation au changement.</w:t>
            </w:r>
          </w:p>
        </w:tc>
        <w:tc>
          <w:tcPr>
            <w:tcW w:type="dxa" w:w="2880"/>
          </w:tcPr>
          <w:p>
            <w:r>
              <w:t>Supprimer.</w:t>
            </w:r>
          </w:p>
        </w:tc>
      </w:tr>
      <w:tr>
        <w:tc>
          <w:tcPr>
            <w:tcW w:type="dxa" w:w="2880"/>
          </w:tcPr>
          <w:p>
            <w:r>
              <w:t>Données et reproductibilité</w:t>
            </w:r>
          </w:p>
        </w:tc>
        <w:tc>
          <w:tcPr>
            <w:tcW w:type="dxa" w:w="2880"/>
          </w:tcPr>
          <w:p>
            <w:r>
              <w:t>« Earlier versions … were not overwritten ».</w:t>
            </w:r>
          </w:p>
        </w:tc>
        <w:tc>
          <w:tcPr>
            <w:tcW w:type="dxa" w:w="2880"/>
          </w:tcPr>
          <w:p>
            <w:r>
              <w:t>Supprimer ou reformuler en politique de versionnage.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