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4"/>
          <w:szCs w:val="34"/>
        </w:rPr>
        <w:t xml:space="preserve">Monitoring, Targets and Incentives as Control Mechanisms: Individual, Joint and Cross-Country Associations with Performance in Seven Advanced Economies</w:t>
      </w:r>
    </w:p>
    <w:p>
      <w:pPr>
        <w:spacing w:after="240"/>
        <w:jc w:val="center"/>
      </w:pPr>
      <w:r>
        <w:rPr>
          <w:rFonts w:ascii="Times New Roman" w:cs="Times New Roman" w:eastAsia="Times New Roman" w:hAnsi="Times New Roman"/>
          <w:i/>
          <w:iCs/>
          <w:sz w:val="25"/>
          <w:szCs w:val="25"/>
        </w:rPr>
        <w:t xml:space="preserve">Evidence on heterogeneity and transferability from the World Bank Enterprise Surveys (G7, 2024–2025)</w:t>
      </w:r>
    </w:p>
    <w:p>
      <w:pPr>
        <w:spacing w:after="360"/>
        <w:jc w:val="center"/>
      </w:pPr>
      <w:r>
        <w:rPr>
          <w:rFonts w:ascii="Times New Roman" w:cs="Times New Roman" w:eastAsia="Times New Roman" w:hAnsi="Times New Roman"/>
          <w:sz w:val="22"/>
          <w:szCs w:val="22"/>
        </w:rPr>
        <w:t xml:space="preserve">[Author name(s) and affiliation(s)] — Revised draft for internal review (version 5)</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00"/>
        <w:jc w:val="both"/>
      </w:pPr>
      <w:r>
        <w:rPr>
          <w:rFonts w:ascii="Times New Roman" w:cs="Times New Roman" w:eastAsia="Times New Roman" w:hAnsi="Times New Roman"/>
        </w:rPr>
        <w:t xml:space="preserve">Structured management practices — monitoring, target setting and incentives (Bloom and Van Reenen, 2007) — are widely treated as transferable managerial technologies and correspond to core mechanisms of management control. Starting from these three observable practices, we ask whether they show the same individual and joint associations with performance in seven advanced economies (World Bank Enterprise Surveys, 6,316 establishments, mostly with 20 or more employees), and how far models of these associations transfer across countries. Entered separately, incentives show the strongest association with productivity (about 22% higher sales per employee), followed by monitoring (about 13%); targets show none. The association of incentives varies strongly across countries (I² = 79%; from 0.51 log points in Canada to 0.05 in France), whereas those of monitoring and targets do not; no joint effects among practices and no reliable organisational contingencies are found. Nevertheless, a common model of the three practices is not improved on out of sample by models with country-specific or contingent slopes: the detectable heterogeneity is small relative to the cost of estimating it, so national slopes beat the common model in only about half of simulations at the estimated heterogeneity. Single-country models transfer worse than local models in 93% of source-target pairs, but a model estimated on the other six countries performs close to a local one. The results support practice-specific heterogeneity and conditional transferability; they do not show that each country needs its own control model, and integration and use of controls, institutional characteristics and the wording of several items could not be examined or verified. All results are exploratory cross-sectional associations.</w:t>
      </w:r>
    </w:p>
    <w:p>
      <w:pPr>
        <w:spacing w:after="12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management control practices; monitoring, targets and incentives; transferability; heterogeneity across countries; predictive validation; World Bank Enterprise Surveys</w:t>
      </w:r>
    </w:p>
    <w:p>
      <w:r>
        <w:br w:type="page"/>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00"/>
        <w:jc w:val="both"/>
      </w:pPr>
      <w:r>
        <w:rPr>
          <w:rFonts w:ascii="Times New Roman" w:cs="Times New Roman" w:eastAsia="Times New Roman" w:hAnsi="Times New Roman"/>
        </w:rPr>
        <w:t xml:space="preserve">Monitoring, target setting and incentives are the structured management practices that Bloom and Van Reenen (2007) use to measure management and relate it to productivity, and that later work treats as a transferable managerial technology (Bloom, Sadun &amp; Van Reenen, 2016). They also correspond to core mechanisms of management control: measuring results, setting objectives and rewarding performance. This article starts from these three observable practices and asks whether they show the same individual and joint associations with performance in seven advanced economies, and how far a model estimated in one country, or in several, transfers to another.</w:t>
      </w:r>
    </w:p>
    <w:p>
      <w:pPr>
        <w:spacing w:after="120" w:line="300"/>
        <w:jc w:val="both"/>
      </w:pPr>
      <w:r>
        <w:rPr>
          <w:rFonts w:ascii="Times New Roman" w:cs="Times New Roman" w:eastAsia="Times New Roman" w:hAnsi="Times New Roman"/>
        </w:rPr>
        <w:t xml:space="preserve">The reasoning proceeds in two steps. First, the practices are measured as the World Bank Enterprise Surveys (WBES) record them and related to performance separately, in combination and across contexts. Second, the control literature (Malmi &amp; Brown, 2008; Grabner &amp; Moers, 2013; Simons, 1995) and the general management literature on contingency and institutions (Lawrence &amp; Lorsch, 1967; Meyer &amp; Rowan, 1977; Kostova, 1999) are used to interpret what the associations can and cannot mean. The WBES items are therefore not treated as an incomplete questionnaire for any particular control framework; they are the observable practices from which propositions of those frameworks are put to the test.</w:t>
      </w:r>
    </w:p>
    <w:p>
      <w:pPr>
        <w:spacing w:after="120" w:line="300"/>
        <w:jc w:val="both"/>
      </w:pPr>
      <w:r>
        <w:rPr>
          <w:rFonts w:ascii="Times New Roman" w:cs="Times New Roman" w:eastAsia="Times New Roman" w:hAnsi="Times New Roman"/>
        </w:rPr>
        <w:t xml:space="preserve">The proposition examined is the following: although structured management practices are commonly conceptualised as transferable managerial technologies, their relationship with organisational performance may depend not only on their individual adoption but also on how monitoring, target-setting and incentive mechanisms are combined across organisational and national contexts. It is formulated as a proposition to test, not as a result. Three levels of analysis follow: (1) the association of each practice with performance, (2) the combinations of practices, and (3) the stability and transferability of these associations across organisational and national contexts.</w:t>
      </w:r>
    </w:p>
    <w:p>
      <w:pPr>
        <w:spacing w:after="120" w:line="300"/>
        <w:jc w:val="both"/>
      </w:pPr>
      <w:r>
        <w:rPr>
          <w:rFonts w:ascii="Times New Roman" w:cs="Times New Roman" w:eastAsia="Times New Roman" w:hAnsi="Times New Roman"/>
        </w:rPr>
        <w:t xml:space="preserve">The evidence is cross-sectional, concerns reported practices, and cannot show whether practices are integrated into decision-making or how they are used; mechanisms of integration and use are therefore treated as theoretical explanations to be tested with other data.</w:t>
      </w:r>
    </w:p>
    <w:p>
      <w:pPr>
        <w:pStyle w:val="Heading1"/>
        <w:spacing w:after="160" w:before="360"/>
      </w:pPr>
      <w:r>
        <w:rPr>
          <w:rFonts w:ascii="Times New Roman" w:cs="Times New Roman" w:eastAsia="Times New Roman" w:hAnsi="Times New Roman"/>
          <w:b/>
          <w:bCs/>
          <w:sz w:val="28"/>
          <w:szCs w:val="28"/>
        </w:rPr>
        <w:t xml:space="preserve">2. Theoretical framework</w:t>
      </w:r>
    </w:p>
    <w:p>
      <w:pPr>
        <w:spacing w:after="120" w:line="300"/>
        <w:jc w:val="both"/>
      </w:pPr>
      <w:r>
        <w:rPr>
          <w:rFonts w:ascii="Times New Roman" w:cs="Times New Roman" w:eastAsia="Times New Roman" w:hAnsi="Times New Roman"/>
          <w:i/>
          <w:iCs/>
        </w:rPr>
        <w:t xml:space="preserve">Verification note: bibliographic records were checked against publisher, repository or database records; full texts were not consulted, so statements are limited to what abstracts and records state.</w:t>
      </w:r>
    </w:p>
    <w:p>
      <w:pPr>
        <w:pStyle w:val="Heading2"/>
        <w:spacing w:after="120" w:before="240"/>
      </w:pPr>
      <w:r>
        <w:rPr>
          <w:rFonts w:ascii="Times New Roman" w:cs="Times New Roman" w:eastAsia="Times New Roman" w:hAnsi="Times New Roman"/>
          <w:b/>
          <w:bCs/>
          <w:sz w:val="24"/>
          <w:szCs w:val="24"/>
        </w:rPr>
        <w:t xml:space="preserve">2.1 Structured management practices as the measurable starting point</w:t>
      </w:r>
    </w:p>
    <w:p>
      <w:pPr>
        <w:spacing w:after="120" w:line="300"/>
        <w:jc w:val="both"/>
      </w:pPr>
      <w:r>
        <w:rPr>
          <w:rFonts w:ascii="Times New Roman" w:cs="Times New Roman" w:eastAsia="Times New Roman" w:hAnsi="Times New Roman"/>
        </w:rPr>
        <w:t xml:space="preserve">Bloom and Van Reenen (2007) measure practices of monitoring, target setting and incentives and relate them to productivity; later work reviews why practices differ across firms and countries (Bloom &amp; Van Reenen, 2010) and asks whether management is better seen as a technology than as a contingent style (Bloom, Sadun &amp; Van Reenen, 2016). The universalist reading predicts a common association between practices and performance, with countries differing mainly in adoption. This is the benchmark against which the present article defines heterogeneity.</w:t>
      </w:r>
    </w:p>
    <w:p>
      <w:pPr>
        <w:pStyle w:val="Heading2"/>
        <w:spacing w:after="120" w:before="240"/>
      </w:pPr>
      <w:r>
        <w:rPr>
          <w:rFonts w:ascii="Times New Roman" w:cs="Times New Roman" w:eastAsia="Times New Roman" w:hAnsi="Times New Roman"/>
          <w:b/>
          <w:bCs/>
          <w:sz w:val="24"/>
          <w:szCs w:val="24"/>
        </w:rPr>
        <w:t xml:space="preserve">2.2 Bridge to management control</w:t>
      </w:r>
    </w:p>
    <w:p>
      <w:pPr>
        <w:spacing w:after="120" w:line="300"/>
        <w:jc w:val="both"/>
      </w:pPr>
      <w:r>
        <w:rPr>
          <w:rFonts w:ascii="Times New Roman" w:cs="Times New Roman" w:eastAsia="Times New Roman" w:hAnsi="Times New Roman"/>
        </w:rPr>
        <w:t xml:space="preserve">Monitoring corresponds to cybernetic and diagnostic control (measuring and tracking results), targets to planning and results control (setting objectives and orienting behaviour), and incentives to reward control (aligning effort and rewards); the categories follow Malmi and Brown (2008) and, for results controls, Merchant and Van der Stede. Ferreira and Otley (2009) and Otley (1999) describe performance management systems through areas of targets, rewards and information flows that these practices also cover. The correspondence is interpretive. The three practices are not a complete control system: belief and boundary systems, interactive use, administrative and cultural controls, and internal consistency are not observed, so the study concerns </w:t>
      </w:r>
      <w:r>
        <w:rPr>
          <w:rFonts w:ascii="Times New Roman" w:cs="Times New Roman" w:eastAsia="Times New Roman" w:hAnsi="Times New Roman"/>
          <w:i/>
          <w:iCs/>
        </w:rPr>
        <w:t xml:space="preserve">observable management control practices</w:t>
      </w:r>
      <w:r>
        <w:rPr>
          <w:rFonts w:ascii="Times New Roman" w:cs="Times New Roman" w:eastAsia="Times New Roman" w:hAnsi="Times New Roman"/>
        </w:rPr>
        <w:t xml:space="preserve">.</w:t>
      </w:r>
    </w:p>
    <w:p>
      <w:pPr>
        <w:pStyle w:val="Heading2"/>
        <w:spacing w:after="120" w:before="240"/>
      </w:pPr>
      <w:r>
        <w:rPr>
          <w:rFonts w:ascii="Times New Roman" w:cs="Times New Roman" w:eastAsia="Times New Roman" w:hAnsi="Times New Roman"/>
          <w:b/>
          <w:bCs/>
          <w:sz w:val="24"/>
          <w:szCs w:val="24"/>
        </w:rPr>
        <w:t xml:space="preserve">2.3 Why combinations matter</w:t>
      </w:r>
    </w:p>
    <w:p>
      <w:pPr>
        <w:spacing w:after="120" w:line="300"/>
        <w:jc w:val="both"/>
      </w:pPr>
      <w:r>
        <w:rPr>
          <w:rFonts w:ascii="Times New Roman" w:cs="Times New Roman" w:eastAsia="Times New Roman" w:hAnsi="Times New Roman"/>
        </w:rPr>
        <w:t xml:space="preserve">Malmi and Brown (2008) argue that controls should be studied as a package, and Grabner and Moers (2013) distinguish a package from a system with internal consistency. Simons (1995) and Tessier and Otley (2012) show that effects depend on how controls are used. Combinations may therefore matter beyond individual practices: a firm that tracks indicators without targets differs from one that also links them to targets and rewards. Complementarity in the sense of supermodularity (Milgrom &amp; Roberts, 1995) is stronger than a statistical interaction, and cross-sectional tests of complementarity can be biased (Athey &amp; Stern, 1998). Interactions among practices are thus treated as statistical interaction, not as evidence of integration.</w:t>
      </w:r>
    </w:p>
    <w:p>
      <w:pPr>
        <w:pStyle w:val="Heading2"/>
        <w:spacing w:after="120" w:before="240"/>
      </w:pPr>
      <w:r>
        <w:rPr>
          <w:rFonts w:ascii="Times New Roman" w:cs="Times New Roman" w:eastAsia="Times New Roman" w:hAnsi="Times New Roman"/>
          <w:b/>
          <w:bCs/>
          <w:sz w:val="24"/>
          <w:szCs w:val="24"/>
        </w:rPr>
        <w:t xml:space="preserve">2.4 Contingency</w:t>
      </w:r>
    </w:p>
    <w:p>
      <w:pPr>
        <w:spacing w:after="120" w:line="300"/>
        <w:jc w:val="both"/>
      </w:pPr>
      <w:r>
        <w:rPr>
          <w:rFonts w:ascii="Times New Roman" w:cs="Times New Roman" w:eastAsia="Times New Roman" w:hAnsi="Times New Roman"/>
        </w:rPr>
        <w:t xml:space="preserve">Contingency theory holds that performance depends on fit between practices and conditions (Lawrence &amp; Lorsch, 1967; Donaldson, 2001); forms of fit differ (Drazin &amp; Van de Ven, 1985), and the contingency literature on control is reviewed by Chenhall (2003) and Otley (2016), who doubts that a predictive search for optimal systems can succeed. Organisational contingencies observed in WBES are size, age, ownership, exports and manager characteristics.</w:t>
      </w:r>
    </w:p>
    <w:p>
      <w:pPr>
        <w:pStyle w:val="Heading2"/>
        <w:spacing w:after="120" w:before="240"/>
      </w:pPr>
      <w:r>
        <w:rPr>
          <w:rFonts w:ascii="Times New Roman" w:cs="Times New Roman" w:eastAsia="Times New Roman" w:hAnsi="Times New Roman"/>
          <w:b/>
          <w:bCs/>
          <w:sz w:val="24"/>
          <w:szCs w:val="24"/>
        </w:rPr>
        <w:t xml:space="preserve">2.5 Institutional theory and transferability</w:t>
      </w:r>
    </w:p>
    <w:p>
      <w:pPr>
        <w:spacing w:after="120" w:line="300"/>
        <w:jc w:val="both"/>
      </w:pPr>
      <w:r>
        <w:rPr>
          <w:rFonts w:ascii="Times New Roman" w:cs="Times New Roman" w:eastAsia="Times New Roman" w:hAnsi="Times New Roman"/>
        </w:rPr>
        <w:t xml:space="preserve">Formal practices may be adopted for legitimacy and decoupled from operations (Meyer &amp; Rowan, 1977; Zbaracki, 1998), isomorphic pressures make organisations similar (DiMaggio &amp; Powell, 1983), and national institutional arrangements differ (Hall &amp; Soskice, 2001). Transfer success depends on institutionalisation at the receiving unit, the institutional profile of the country and organisational context (Kostova, 1999), and adoption can be ceremonial (Kostova &amp; Roth, 2002). Culture, institutions and country fixed effects are different things: McSweeney (2002) criticises treating national cultures as causal entities, and Harrison and McKinnon (1999) review the difficulties of cross-cultural control research. The data contain only country identifiers, which are not measures of culture or institutions.</w:t>
      </w:r>
    </w:p>
    <w:p>
      <w:pPr>
        <w:pStyle w:val="Heading2"/>
        <w:spacing w:after="120" w:before="240"/>
      </w:pPr>
      <w:r>
        <w:rPr>
          <w:rFonts w:ascii="Times New Roman" w:cs="Times New Roman" w:eastAsia="Times New Roman" w:hAnsi="Times New Roman"/>
          <w:b/>
          <w:bCs/>
          <w:sz w:val="24"/>
          <w:szCs w:val="24"/>
        </w:rPr>
        <w:t xml:space="preserve">2.6 Exploratory methods</w:t>
      </w:r>
    </w:p>
    <w:p>
      <w:pPr>
        <w:spacing w:after="120" w:line="300"/>
        <w:jc w:val="both"/>
      </w:pPr>
      <w:r>
        <w:rPr>
          <w:rFonts w:ascii="Times New Roman" w:cs="Times New Roman" w:eastAsia="Times New Roman" w:hAnsi="Times New Roman"/>
        </w:rPr>
        <w:t xml:space="preserve">Nielsen (2022) argues for exploratory data analysis and unsupervised learning in management accounting. Latent class and continuous latent-variable models are used here only as complementary analyses of the structure of the items; statistical structure is not theoretical interpretation.</w:t>
      </w:r>
    </w:p>
    <w:p>
      <w:pPr>
        <w:keepNext/>
        <w:spacing w:before="120"/>
        <w:jc w:val="center"/>
      </w:pPr>
      <w:r>
        <w:drawing>
          <wp:inline distT="0" distB="0" distL="0" distR="0">
            <wp:extent cx="5905500" cy="2619375"/>
            <wp:effectExtent t="0" r="0" b="0" l="0"/>
            <wp:docPr id="1" name="frame" descr="frame" titl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193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From structured management practices to control mechanisms, associations with performance, heterogeneity and transferability. Solid arrows: observed or estimated; dotted: unobserved; no arrow implies causation.</w:t>
      </w:r>
    </w:p>
    <w:p>
      <w:pPr>
        <w:pStyle w:val="Heading1"/>
        <w:spacing w:after="160" w:before="360"/>
      </w:pPr>
      <w:r>
        <w:rPr>
          <w:rFonts w:ascii="Times New Roman" w:cs="Times New Roman" w:eastAsia="Times New Roman" w:hAnsi="Times New Roman"/>
          <w:b/>
          <w:bCs/>
          <w:sz w:val="28"/>
          <w:szCs w:val="28"/>
        </w:rPr>
        <w:t xml:space="preserve">3. Research questions and hypotheses</w:t>
      </w:r>
    </w:p>
    <w:p>
      <w:pPr>
        <w:spacing w:after="120" w:line="300"/>
        <w:jc w:val="both"/>
      </w:pPr>
      <w:r>
        <w:rPr>
          <w:rFonts w:ascii="Times New Roman" w:cs="Times New Roman" w:eastAsia="Times New Roman" w:hAnsi="Times New Roman"/>
          <w:b/>
          <w:bCs/>
        </w:rPr>
        <w:t xml:space="preserve">Central question.</w:t>
      </w:r>
      <w:r>
        <w:rPr>
          <w:rFonts w:ascii="Times New Roman" w:cs="Times New Roman" w:eastAsia="Times New Roman" w:hAnsi="Times New Roman"/>
        </w:rPr>
        <w:t xml:space="preserve"> Do monitoring, target setting and incentives show the same individual and joint associations with performance in seven advanced economies, and how far do models of these associations transfer across organisational and national contexts?</w:t>
      </w:r>
    </w:p>
    <w:p>
      <w:pPr>
        <w:spacing w:after="120" w:line="300"/>
        <w:jc w:val="both"/>
      </w:pPr>
      <w:r>
        <w:rPr>
          <w:rFonts w:ascii="Times New Roman" w:cs="Times New Roman" w:eastAsia="Times New Roman" w:hAnsi="Times New Roman"/>
          <w:b/>
          <w:bCs/>
        </w:rPr>
        <w:t xml:space="preserve">Question 1 (individual associations).</w:t>
      </w:r>
      <w:r>
        <w:rPr>
          <w:rFonts w:ascii="Times New Roman" w:cs="Times New Roman" w:eastAsia="Times New Roman" w:hAnsi="Times New Roman"/>
        </w:rPr>
        <w:t xml:space="preserve"> Is each practice associated with performance? </w:t>
      </w:r>
      <w:r>
        <w:rPr>
          <w:rFonts w:ascii="Times New Roman" w:cs="Times New Roman" w:eastAsia="Times New Roman" w:hAnsi="Times New Roman"/>
          <w:b/>
          <w:bCs/>
        </w:rPr>
        <w:t xml:space="preserve">Question 2 (combinations).</w:t>
      </w:r>
      <w:r>
        <w:rPr>
          <w:rFonts w:ascii="Times New Roman" w:cs="Times New Roman" w:eastAsia="Times New Roman" w:hAnsi="Times New Roman"/>
        </w:rPr>
        <w:t xml:space="preserve"> Do practices operate independently or jointly (statistical interaction)? </w:t>
      </w:r>
      <w:r>
        <w:rPr>
          <w:rFonts w:ascii="Times New Roman" w:cs="Times New Roman" w:eastAsia="Times New Roman" w:hAnsi="Times New Roman"/>
          <w:b/>
          <w:bCs/>
        </w:rPr>
        <w:t xml:space="preserve">Question 3 (contexts).</w:t>
      </w:r>
      <w:r>
        <w:rPr>
          <w:rFonts w:ascii="Times New Roman" w:cs="Times New Roman" w:eastAsia="Times New Roman" w:hAnsi="Times New Roman"/>
        </w:rPr>
        <w:t xml:space="preserve"> Are these associations stable across organisational characteristics and countries, and do models transfer?</w:t>
      </w:r>
    </w:p>
    <w:p>
      <w:pPr>
        <w:spacing w:after="120" w:line="300"/>
        <w:jc w:val="both"/>
      </w:pPr>
      <w:r>
        <w:rPr>
          <w:rFonts w:ascii="Times New Roman" w:cs="Times New Roman" w:eastAsia="Times New Roman" w:hAnsi="Times New Roman"/>
        </w:rPr>
        <w:t xml:space="preserve">Hypotheses (derived from the frameworks of Section 2; formulated after an earlier exploratory phase on the same data; not pre-registered):</w:t>
      </w:r>
    </w:p>
    <w:p>
      <w:pPr>
        <w:pStyle w:val="ListParagraph"/>
        <w:numPr>
          <w:ilvl w:val="0"/>
          <w:numId w:val="2"/>
        </w:numPr>
        <w:spacing w:after="80" w:line="290"/>
      </w:pPr>
      <w:r>
        <w:rPr>
          <w:rFonts w:ascii="Times New Roman" w:cs="Times New Roman" w:eastAsia="Times New Roman" w:hAnsi="Times New Roman"/>
          <w:b/>
          <w:bCs/>
        </w:rPr>
        <w:t xml:space="preserve">H1.</w:t>
      </w:r>
      <w:r>
        <w:rPr>
          <w:rFonts w:ascii="Times New Roman" w:cs="Times New Roman" w:eastAsia="Times New Roman" w:hAnsi="Times New Roman"/>
        </w:rPr>
        <w:t xml:space="preserve"> Each practice is positively associated with performance (universalist benchmark).</w:t>
      </w:r>
    </w:p>
    <w:p>
      <w:pPr>
        <w:pStyle w:val="ListParagraph"/>
        <w:numPr>
          <w:ilvl w:val="0"/>
          <w:numId w:val="2"/>
        </w:numPr>
        <w:spacing w:after="80" w:line="290"/>
      </w:pPr>
      <w:r>
        <w:rPr>
          <w:rFonts w:ascii="Times New Roman" w:cs="Times New Roman" w:eastAsia="Times New Roman" w:hAnsi="Times New Roman"/>
          <w:b/>
          <w:bCs/>
        </w:rPr>
        <w:t xml:space="preserve">H2.</w:t>
      </w:r>
      <w:r>
        <w:rPr>
          <w:rFonts w:ascii="Times New Roman" w:cs="Times New Roman" w:eastAsia="Times New Roman" w:hAnsi="Times New Roman"/>
        </w:rPr>
        <w:t xml:space="preserve"> The associations of practices are not additive: pairwise interactions differ from zero.</w:t>
      </w:r>
    </w:p>
    <w:p>
      <w:pPr>
        <w:pStyle w:val="ListParagraph"/>
        <w:numPr>
          <w:ilvl w:val="0"/>
          <w:numId w:val="2"/>
        </w:numPr>
        <w:spacing w:after="80" w:line="290"/>
      </w:pPr>
      <w:r>
        <w:rPr>
          <w:rFonts w:ascii="Times New Roman" w:cs="Times New Roman" w:eastAsia="Times New Roman" w:hAnsi="Times New Roman"/>
          <w:b/>
          <w:bCs/>
        </w:rPr>
        <w:t xml:space="preserve">H3.</w:t>
      </w:r>
      <w:r>
        <w:rPr>
          <w:rFonts w:ascii="Times New Roman" w:cs="Times New Roman" w:eastAsia="Times New Roman" w:hAnsi="Times New Roman"/>
        </w:rPr>
        <w:t xml:space="preserve"> The association of each practice differs across countries.</w:t>
      </w:r>
    </w:p>
    <w:p>
      <w:pPr>
        <w:pStyle w:val="ListParagraph"/>
        <w:numPr>
          <w:ilvl w:val="0"/>
          <w:numId w:val="2"/>
        </w:numPr>
        <w:spacing w:after="80" w:line="290"/>
      </w:pPr>
      <w:r>
        <w:rPr>
          <w:rFonts w:ascii="Times New Roman" w:cs="Times New Roman" w:eastAsia="Times New Roman" w:hAnsi="Times New Roman"/>
          <w:b/>
          <w:bCs/>
        </w:rPr>
        <w:t xml:space="preserve">H4.</w:t>
      </w:r>
      <w:r>
        <w:rPr>
          <w:rFonts w:ascii="Times New Roman" w:cs="Times New Roman" w:eastAsia="Times New Roman" w:hAnsi="Times New Roman"/>
        </w:rPr>
        <w:t xml:space="preserve"> The associations depend on organisational contingencies (size, age, foreign ownership, exports, manager characteristics).</w:t>
      </w:r>
    </w:p>
    <w:p>
      <w:pPr>
        <w:pStyle w:val="ListParagraph"/>
        <w:numPr>
          <w:ilvl w:val="0"/>
          <w:numId w:val="2"/>
        </w:numPr>
        <w:spacing w:after="80" w:line="290"/>
      </w:pPr>
      <w:r>
        <w:rPr>
          <w:rFonts w:ascii="Times New Roman" w:cs="Times New Roman" w:eastAsia="Times New Roman" w:hAnsi="Times New Roman"/>
          <w:b/>
          <w:bCs/>
        </w:rPr>
        <w:t xml:space="preserve">H5.</w:t>
      </w:r>
      <w:r>
        <w:rPr>
          <w:rFonts w:ascii="Times New Roman" w:cs="Times New Roman" w:eastAsia="Times New Roman" w:hAnsi="Times New Roman"/>
        </w:rPr>
        <w:t xml:space="preserve"> Country-specific or contingent slopes improve out-of-sample prediction over common slopes, and models transfer imperfectly between countries.</w:t>
      </w:r>
    </w:p>
    <w:p>
      <w:pPr>
        <w:pStyle w:val="ListParagraph"/>
        <w:numPr>
          <w:ilvl w:val="0"/>
          <w:numId w:val="2"/>
        </w:numPr>
        <w:spacing w:after="80" w:line="290"/>
      </w:pPr>
      <w:r>
        <w:rPr>
          <w:rFonts w:ascii="Times New Roman" w:cs="Times New Roman" w:eastAsia="Times New Roman" w:hAnsi="Times New Roman"/>
          <w:b/>
          <w:bCs/>
        </w:rPr>
        <w:t xml:space="preserve">H6.</w:t>
      </w:r>
      <w:r>
        <w:rPr>
          <w:rFonts w:ascii="Times New Roman" w:cs="Times New Roman" w:eastAsia="Times New Roman" w:hAnsi="Times New Roman"/>
        </w:rPr>
        <w:t xml:space="preserve"> The results do not depend on measuring practices with latent scores or breadth variants.</w:t>
      </w:r>
    </w:p>
    <w:p>
      <w:pPr>
        <w:spacing w:after="120" w:line="300"/>
        <w:jc w:val="both"/>
      </w:pPr>
      <w:r>
        <w:rPr>
          <w:rFonts w:ascii="Times New Roman" w:cs="Times New Roman" w:eastAsia="Times New Roman" w:hAnsi="Times New Roman"/>
        </w:rPr>
        <w:t xml:space="preserve">Institutional moderation by national characteristics (a model with MCS × Z_c) cannot be estimated with seven countries; it is nested in a model with country-specific slopes, which therefore bounds what any such interaction could add.</w:t>
      </w:r>
    </w:p>
    <w:p>
      <w:pPr>
        <w:pStyle w:val="Heading1"/>
        <w:spacing w:after="160" w:before="360"/>
      </w:pPr>
      <w:r>
        <w:rPr>
          <w:rFonts w:ascii="Times New Roman" w:cs="Times New Roman" w:eastAsia="Times New Roman" w:hAnsi="Times New Roman"/>
          <w:b/>
          <w:bCs/>
          <w:sz w:val="28"/>
          <w:szCs w:val="28"/>
        </w:rPr>
        <w:t xml:space="preserve">4. Data and measurement</w:t>
      </w:r>
    </w:p>
    <w:p>
      <w:pPr>
        <w:spacing w:after="120" w:line="300"/>
        <w:jc w:val="both"/>
      </w:pPr>
      <w:r>
        <w:rPr>
          <w:rFonts w:ascii="Times New Roman" w:cs="Times New Roman" w:eastAsia="Times New Roman" w:hAnsi="Times New Roman"/>
          <w:b/>
          <w:bCs/>
        </w:rPr>
        <w:t xml:space="preserve">Sample.</w:t>
      </w:r>
      <w:r>
        <w:rPr>
          <w:rFonts w:ascii="Times New Roman" w:cs="Times New Roman" w:eastAsia="Times New Roman" w:hAnsi="Times New Roman"/>
        </w:rPr>
        <w:t xml:space="preserve"> The merged WBES file contains 10,968 establishments from Canada (2024), France (2025), Germany (2025), Italy (2024), Japan (2025), the United Kingdom (2024) and the United States (2024). The original country files with value labels were not available. The management-practices module is asked of 6,316 establishments (88.5% with 20 or more permanent full-time employees); the others are outside the module's universe (Table 1).</w:t>
      </w:r>
    </w:p>
    <w:p>
      <w:pPr>
        <w:spacing w:after="120" w:line="300"/>
        <w:jc w:val="both"/>
      </w:pPr>
      <w:r>
        <w:rPr>
          <w:rFonts w:ascii="Times New Roman" w:cs="Times New Roman" w:eastAsia="Times New Roman" w:hAnsi="Times New Roman"/>
          <w:b/>
          <w:bCs/>
        </w:rPr>
        <w:t xml:space="preserve">Practices.</w:t>
      </w:r>
      <w:r>
        <w:rPr>
          <w:rFonts w:ascii="Times New Roman" w:cs="Times New Roman" w:eastAsia="Times New Roman" w:hAnsi="Times New Roman"/>
        </w:rPr>
        <w:t xml:space="preserve"> Monitoring is whether the establishment tracked production or service performance indicators (r2, yes = 1); Targets is whether it had production or service targets (r4); Incentives is whether bonuses were tied to production or service targets (r8). Their direction (yes = 1) is verified by the skip logic of the data (follow-up items are asked only after a yes). The wording of r2 and r8 is partly verified through secondary descriptions; the wording of r4 is inferred from its follow-up item r5, whose label (time frame of production or service targets) is verified for Italy 2024. As refinements, monitoring breadth is the number of indicators monitored in three bands (r3, asked only if r2 = yes). Items r1, r6, r7, r9, r10 and r11 are not used in the main models; r10 and r11, whose wording could not be verified, enter only the complementary latent analyses (Section 6.9), with a sensitivity analysis that excludes them. The practices are single binary indicators: there is no latent measurement model, and cross-country differences in reporting cannot be tested for invariance.</w:t>
      </w:r>
    </w:p>
    <w:p>
      <w:pPr>
        <w:spacing w:after="120" w:line="300"/>
        <w:jc w:val="both"/>
      </w:pPr>
      <w:r>
        <w:rPr>
          <w:rFonts w:ascii="Times New Roman" w:cs="Times New Roman" w:eastAsia="Times New Roman" w:hAnsi="Times New Roman"/>
          <w:b/>
          <w:bCs/>
        </w:rPr>
        <w:t xml:space="preserve">Outcomes and controls.</w:t>
      </w:r>
      <w:r>
        <w:rPr>
          <w:rFonts w:ascii="Times New Roman" w:cs="Times New Roman" w:eastAsia="Times New Roman" w:hAnsi="Times New Roman"/>
        </w:rPr>
        <w:t xml:space="preserve"> Outcomes are log sales per employee, annualised three-year sales growth and annualised three-year employment growth (the definitions of the base-year variables are assumed, not verified). Sales are in local currency, so levels are compared only within country. Controls are log employment, log age and sector fixed effects (sector codes are country-specific, so sector-by-country effects absorb country levels). Organisational moderators are foreign ownership of at least 10% (b2b), exporter status (d3b, d3c), top-manager experience (b7) and female top manager (b7a); their labels were checked only against data-dictionary records of other 2024 surveys.</w:t>
      </w:r>
    </w:p>
    <w:p>
      <w:pPr>
        <w:spacing w:after="120" w:line="300"/>
        <w:jc w:val="both"/>
      </w:pPr>
      <w:r>
        <w:rPr>
          <w:rFonts w:ascii="Times New Roman" w:cs="Times New Roman" w:eastAsia="Times New Roman" w:hAnsi="Times New Roman"/>
          <w:b/>
          <w:bCs/>
        </w:rPr>
        <w:t xml:space="preserve">Survey design.</w:t>
      </w:r>
      <w:r>
        <w:rPr>
          <w:rFonts w:ascii="Times New Roman" w:cs="Times New Roman" w:eastAsia="Times New Roman" w:hAnsi="Times New Roman"/>
        </w:rPr>
        <w:t xml:space="preserve"> Sampling weights exist but the module universe is a subset of the sampled establishments, and stratum and cluster identifiers are not in the file; main analyses are unweighted with heteroskedasticity-robust (HC3) and sector-clustered standard errors.</w:t>
      </w:r>
    </w:p>
    <w:p>
      <w:pPr>
        <w:pStyle w:val="Heading1"/>
        <w:spacing w:after="160" w:before="360"/>
      </w:pPr>
      <w:r>
        <w:rPr>
          <w:rFonts w:ascii="Times New Roman" w:cs="Times New Roman" w:eastAsia="Times New Roman" w:hAnsi="Times New Roman"/>
          <w:b/>
          <w:bCs/>
          <w:sz w:val="28"/>
          <w:szCs w:val="28"/>
        </w:rPr>
        <w:t xml:space="preserve">5. Empirical strategy</w:t>
      </w:r>
    </w:p>
    <w:p>
      <w:pPr>
        <w:spacing w:after="120" w:line="300"/>
        <w:jc w:val="both"/>
      </w:pPr>
      <w:r>
        <w:rPr>
          <w:rFonts w:ascii="Times New Roman" w:cs="Times New Roman" w:eastAsia="Times New Roman" w:hAnsi="Times New Roman"/>
          <w:b/>
          <w:bCs/>
        </w:rPr>
        <w:t xml:space="preserve">Individual associations (Question 1).</w:t>
      </w:r>
      <w:r>
        <w:rPr>
          <w:rFonts w:ascii="Times New Roman" w:cs="Times New Roman" w:eastAsia="Times New Roman" w:hAnsi="Times New Roman"/>
        </w:rPr>
        <w:t xml:space="preserve"> Performance_ic = α_s(i) + β_M·M_ic + β_T·T_ic + β_I·I_ic + γ′X_ic + ε_ic, where s(i) is the sector-by-country fixed effect and X contains log size and log age (HC3 standard errors); the three practices enter together so that coefficients are partial associations. No causal interpretation is made.</w:t>
      </w:r>
    </w:p>
    <w:p>
      <w:pPr>
        <w:spacing w:after="120" w:line="300"/>
        <w:jc w:val="both"/>
      </w:pPr>
      <w:r>
        <w:rPr>
          <w:rFonts w:ascii="Times New Roman" w:cs="Times New Roman" w:eastAsia="Times New Roman" w:hAnsi="Times New Roman"/>
          <w:b/>
          <w:bCs/>
        </w:rPr>
        <w:t xml:space="preserve">Combinations (Question 2).</w:t>
      </w:r>
      <w:r>
        <w:rPr>
          <w:rFonts w:ascii="Times New Roman" w:cs="Times New Roman" w:eastAsia="Times New Roman" w:hAnsi="Times New Roman"/>
        </w:rPr>
        <w:t xml:space="preserve"> The specification adds M×T, M×I and T×I (and a three-way term), tested jointly and individually, with Holm correction within the family. A statistical interaction is not complementarity in the strong sense.</w:t>
      </w:r>
    </w:p>
    <w:p>
      <w:pPr>
        <w:spacing w:after="120" w:line="300"/>
        <w:jc w:val="both"/>
      </w:pPr>
      <w:r>
        <w:rPr>
          <w:rFonts w:ascii="Times New Roman" w:cs="Times New Roman" w:eastAsia="Times New Roman" w:hAnsi="Times New Roman"/>
          <w:b/>
          <w:bCs/>
        </w:rPr>
        <w:t xml:space="preserve">Contexts (Question 3).</w:t>
      </w:r>
      <w:r>
        <w:rPr>
          <w:rFonts w:ascii="Times New Roman" w:cs="Times New Roman" w:eastAsia="Times New Roman" w:hAnsi="Times New Roman"/>
        </w:rPr>
        <w:t xml:space="preserve"> Country-specific coefficients are estimated separately by country and, in a pooled model, by interacting each practice with country (with country-specific control slopes). Equality of each practice's coefficients across the seven countries is tested with robust Wald statistics (6 df; HC3 and sector-clustered), and heterogeneity is summarised with Cochran's Q and I² (Higgins &amp; Thompson, 2002) and a random-effects mean; Holm's correction (Holm, 1979) is applied across the nine practice-by-outcome tests. Organisational moderators are tested by interacting the three practices with each moderator (joint 3 df) with Holm correction over 18 tests.</w:t>
      </w:r>
    </w:p>
    <w:p>
      <w:pPr>
        <w:spacing w:after="120" w:line="300"/>
        <w:jc w:val="both"/>
      </w:pPr>
      <w:r>
        <w:rPr>
          <w:rFonts w:ascii="Times New Roman" w:cs="Times New Roman" w:eastAsia="Times New Roman" w:hAnsi="Times New Roman"/>
          <w:b/>
          <w:bCs/>
        </w:rPr>
        <w:t xml:space="preserve">Prediction and transfer.</w:t>
      </w:r>
      <w:r>
        <w:rPr>
          <w:rFonts w:ascii="Times New Roman" w:cs="Times New Roman" w:eastAsia="Times New Roman" w:hAnsi="Times New Roman"/>
        </w:rPr>
        <w:t xml:space="preserve"> Models are compared by 10-fold cross-validation repeated three times, with folds stratified by country and identical across models. Every model carries the same controls and main effects of the moderators, so that differences isolate the practice terms: U0 (controls only), P1 (common slopes for M, T, I), P2 (P1 plus combinations), C1 (P1 plus practices × organisational moderators), N1 (country-specific slopes for each practice) and X (C1 plus country-specific slopes). N1 bounds any model with a national institutional interaction. Paired differences in squared error are reported with a firm-level interval, which ignores dependence across folds, and with the corrected resampled interval of Nadeau and Bengio (2003) computed on fold-level errors. Transferability is assessed on country-by-sector-demeaned data: a model estimated on one source country, or on the other six countries (LOCO), is applied to each target and compared with a model estimated and cross-validated in the target, and with a global pooled model that adds the target's training folds; paired bootstrap intervals are reported for the differences.</w:t>
      </w:r>
    </w:p>
    <w:p>
      <w:pPr>
        <w:spacing w:after="120" w:line="300"/>
        <w:jc w:val="both"/>
      </w:pPr>
      <w:r>
        <w:rPr>
          <w:rFonts w:ascii="Times New Roman" w:cs="Times New Roman" w:eastAsia="Times New Roman" w:hAnsi="Times New Roman"/>
          <w:b/>
          <w:bCs/>
        </w:rPr>
        <w:t xml:space="preserve">Why a common model can stay competitive.</w:t>
      </w:r>
      <w:r>
        <w:rPr>
          <w:rFonts w:ascii="Times New Roman" w:cs="Times New Roman" w:eastAsia="Times New Roman" w:hAnsi="Times New Roman"/>
        </w:rPr>
        <w:t xml:space="preserve"> The oracle gain of knowing country slopes exactly (the estimated slope heterogeneity multiplied by the residual variance of each practice) is compared with the out-of-sample cost of estimating the additional slopes, and the out-of-sample power of national slopes is simulated at the estimated heterogeneity and at multiples of it.</w:t>
      </w:r>
    </w:p>
    <w:p>
      <w:pPr>
        <w:spacing w:after="120" w:line="300"/>
        <w:jc w:val="both"/>
      </w:pPr>
      <w:r>
        <w:rPr>
          <w:rFonts w:ascii="Times New Roman" w:cs="Times New Roman" w:eastAsia="Times New Roman" w:hAnsi="Times New Roman"/>
          <w:b/>
          <w:bCs/>
        </w:rPr>
        <w:t xml:space="preserve">Complementary analyses.</w:t>
      </w:r>
      <w:r>
        <w:rPr>
          <w:rFonts w:ascii="Times New Roman" w:cs="Times New Roman" w:eastAsia="Times New Roman" w:hAnsi="Times New Roman"/>
        </w:rPr>
        <w:t xml:space="preserve"> Latent structure (one-dimensional and class models), cross-country invariance, level dependence and a latent-score sensitivity analysis that excludes items of unverified wording are reported in Section 6.9.</w:t>
      </w:r>
    </w:p>
    <w:p>
      <w:pPr>
        <w:pStyle w:val="Heading1"/>
        <w:spacing w:after="160" w:before="360"/>
      </w:pPr>
      <w:r>
        <w:rPr>
          <w:rFonts w:ascii="Times New Roman" w:cs="Times New Roman" w:eastAsia="Times New Roman" w:hAnsi="Times New Roman"/>
          <w:b/>
          <w:bCs/>
          <w:sz w:val="28"/>
          <w:szCs w:val="28"/>
        </w:rPr>
        <w:t xml:space="preserve">6. Results</w:t>
      </w:r>
    </w:p>
    <w:p>
      <w:pPr>
        <w:spacing w:after="120" w:line="300"/>
        <w:jc w:val="both"/>
      </w:pPr>
      <w:r>
        <w:rPr>
          <w:rFonts w:ascii="Times New Roman" w:cs="Times New Roman" w:eastAsia="Times New Roman" w:hAnsi="Times New Roman"/>
          <w:b/>
          <w:bCs/>
        </w:rPr>
        <w:t xml:space="preserve">6.1 Sample (Table 1).</w:t>
      </w:r>
      <w:r>
        <w:rPr>
          <w:rFonts w:ascii="Times New Roman" w:cs="Times New Roman" w:eastAsia="Times New Roman" w:hAnsi="Times New Roman"/>
        </w:rPr>
        <w:t xml:space="preserve"> The module universe contains 6,316 establishments. Reported use of monitoring ranges from 47% in Japan to 92% in the United Kingdom, targets from 60% in Italy to 93% in the United Kingdom, and target-linked bonuses from 36% in Italy to 76% in the United Kingdom. These descriptive differences are confounded by size composition and are not evidence of institutional or cultural effects.</w:t>
      </w:r>
    </w:p>
    <w:p>
      <w:pPr>
        <w:spacing w:after="200" w:before="6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Management-module universe by country: sample size, median permanent full-time employees, share reporting each practice among valid responses, and mean core score (number of practices present among r2, r4, r8;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1500"/>
        <w:gridCol w:w="1400"/>
        <w:gridCol w:w="1400"/>
        <w:gridCol w:w="1260"/>
      </w:tblGrid>
      <w:tr>
        <w:trPr>
          <w:tblHeader/>
        </w:trPr>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Median employees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r2 monitoring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r4 targets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r8 bonuses (%)</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Mean core score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1233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641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2.34</w:t>
            </w:r>
          </w:p>
        </w:tc>
      </w:tr>
    </w:tbl>
    <w:p>
      <w:pPr>
        <w:spacing w:after="120" w:line="300"/>
        <w:jc w:val="both"/>
      </w:pPr>
      <w:r>
        <w:rPr>
          <w:rFonts w:ascii="Times New Roman" w:cs="Times New Roman" w:eastAsia="Times New Roman" w:hAnsi="Times New Roman"/>
          <w:b/>
          <w:bCs/>
        </w:rPr>
        <w:t xml:space="preserve">6.2 Individual associations (Table 2).</w:t>
      </w:r>
      <w:r>
        <w:rPr>
          <w:rFonts w:ascii="Times New Roman" w:cs="Times New Roman" w:eastAsia="Times New Roman" w:hAnsi="Times New Roman"/>
        </w:rPr>
        <w:t xml:space="preserve"> With the three practices entered together, incentives show the strongest association with productivity (0.199 log points, 95% CI 0.156 to 0.243, about 22% higher sales per employee), followed by monitoring (0.122; 0.069 to 0.175; about 13%); targets are weakly associated and not distinguishable from zero (0.047; −0.010 to 0.104). For sales growth, targets (0.0077) and incentives (0.0064) are positively associated and monitoring is not; for employment growth only incentives are (0.0079; 0.0044 to 0.0113). Using the breadth of monitoring (three bands of r3) instead of its presence, each band is associated with 0.085 log points of productivity (0.063 to 0.107), and the association of targets falls to 0.019. These are conditional associations within sector-by-country cells; they do not show that adopting a practice raises performance.</w:t>
      </w:r>
    </w:p>
    <w:p>
      <w:pPr>
        <w:spacing w:after="200" w:before="6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Individual associations of monitoring, targets and incentives with performance (pooled; practices entered together; sector-by-country fixed effects, log size, log age; HC3): coefficient [95% CI]. Productivity = log sales per employee; growth outcomes are annualised three-year log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00"/>
        <w:gridCol w:w="2200"/>
      </w:tblGrid>
      <w:tr>
        <w:trPr>
          <w:tblHeader/>
        </w:trPr>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Practice</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Productivity</w:t>
            </w:r>
          </w:p>
        </w:tc>
        <w:tc>
          <w:tcPr>
            <w:tcW w:type="dxa" w:w="2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w:t>
            </w:r>
          </w:p>
        </w:tc>
        <w:tc>
          <w:tcPr>
            <w:tcW w:type="dxa" w:w="2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Monitoring (r2)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0.122 [0.069, 0.175]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-0.0026 [-0.0083, 0.0030]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-0.0016 [-0.0055, 0.0024]</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(r4)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 [-0.010, 0.104]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0.0077 [0.0017, 0.0137]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0.0021 [-0.0021, 0.0063]</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Incentives (r8)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0.199 [0.156, 0.243]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0.0064 [0.0016, 0.0112]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0.0079 [0.0044, 0.0113]</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Joint test M, T, I (p)</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w:t>
            </w:r>
          </w:p>
        </w:tc>
      </w:tr>
      <w:t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5980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6026</w:t>
            </w:r>
          </w:p>
        </w:tc>
      </w:tr>
    </w:tbl>
    <w:p>
      <w:pPr>
        <w:spacing w:after="120" w:line="300"/>
        <w:jc w:val="both"/>
      </w:pPr>
      <w:r>
        <w:rPr>
          <w:rFonts w:ascii="Times New Roman" w:cs="Times New Roman" w:eastAsia="Times New Roman" w:hAnsi="Times New Roman"/>
          <w:b/>
          <w:bCs/>
        </w:rPr>
        <w:t xml:space="preserve">6.3 Combinations (Table 3).</w:t>
      </w:r>
      <w:r>
        <w:rPr>
          <w:rFonts w:ascii="Times New Roman" w:cs="Times New Roman" w:eastAsia="Times New Roman" w:hAnsi="Times New Roman"/>
        </w:rPr>
        <w:t xml:space="preserve"> No pairwise interaction is distinguishable from zero for productivity or sales growth, and the joint pairwise test is not significant for any outcome (p = 0.35, 0.94, 0.14). The three-way interaction is positive for productivity (0.229; 0.010 to 0.448; p = 0.040) but is absent for the growth outcomes (p = 0.99, 0.84) and does not survive correction for the three outcomes tested; an earlier analysis of combinations at equal numbers of practices likewise found no robust difference. The data therefore show no evidence that the practices operate jointly in a way that goes beyond their individual associations.</w:t>
      </w:r>
    </w:p>
    <w:p>
      <w:pPr>
        <w:spacing w:after="200" w:before="6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Combinations of practices: statistical interactions (coefficient [95% CI], p) and joint pairwise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100"/>
      </w:tblGrid>
      <w:tr>
        <w:trPr>
          <w:tblHeader/>
        </w:trPr>
        <w:tc>
          <w:tcPr>
            <w:tcW w:type="dxa" w:w="2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Term</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Productivity</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w:t>
            </w:r>
          </w:p>
        </w:tc>
        <w:tc>
          <w:tcPr>
            <w:tcW w:type="dxa" w:w="2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Monitoring × Targets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-0.054 [-0.164, 0.056] (p = 0.332)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0.0035 [-0.0077, 0.0147] (p = 0.543)</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0.0078 [-0.0002, 0.0157] (p = 0.056)</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Monitoring × Incentives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0.030 [-0.068, 0.128] (p = 0.549)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-0.0010 [-0.0118, 0.0097] (p = 0.853)</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-0.0026 [-0.0100, 0.0048] (p = 0.490)</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 Incentives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-0.075 [-0.186, 0.035] (p = 0.182)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0.0002 [-0.0109, 0.0113] (p = 0.974)</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0.0032 [-0.0048, 0.0113] (p = 0.429)</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Three-way (M × T × I)</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0.229 [0.010, 0.448] (p = 0.040)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 [-0.0221, 0.0224] (p = 0.990)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0.0017 [-0.0141, 0.0174] (p = 0.836)</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Joint pairwise test (3 df), p</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0.353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0.940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0.143</w:t>
            </w:r>
          </w:p>
        </w:tc>
      </w:tr>
    </w:tbl>
    <w:p>
      <w:pPr>
        <w:spacing w:after="120" w:line="300"/>
        <w:jc w:val="both"/>
      </w:pPr>
      <w:r>
        <w:rPr>
          <w:rFonts w:ascii="Times New Roman" w:cs="Times New Roman" w:eastAsia="Times New Roman" w:hAnsi="Times New Roman"/>
          <w:b/>
          <w:bCs/>
        </w:rPr>
        <w:t xml:space="preserve">6.4 Stability across countries (Tables 4 and 5, Figure 2).</w:t>
      </w:r>
      <w:r>
        <w:rPr>
          <w:rFonts w:ascii="Times New Roman" w:cs="Times New Roman" w:eastAsia="Times New Roman" w:hAnsi="Times New Roman"/>
        </w:rPr>
        <w:t xml:space="preserve"> For productivity, the association of incentives varies strongly across countries: 0.509 in Canada (0.333 to 0.684), 0.360 in Italy, 0.225 in Germany, 0.202 in the United Kingdom, 0.154 in the United States, 0.082 in Japan (−0.006 to 0.171) and 0.048 in France (−0.079 to 0.175); Cochran's Q = 28.4 (df = 6, p = 0.0001; Holm-adjusted 0.0009), I² = 79%. The association of monitoring is positive in the United States (0.193), Japan (0.146) and Germany (0.089) and not distinguishable from zero elsewhere, with no significant heterogeneity (p = 0.39); targets show no association with productivity in any country (p = 0.63 for equality). Descriptively, the productivity association is concentrated in incentives in Canada and Italy and is of similar size for monitoring and incentives in the United States and Japan, but differences between practice coefficients within a country were not tested. For growth, the association of targets with sales growth differs across countries (p = 0.0027; Holm 0.021); other practice-by-outcome tests are not significant after Holm correction when HC3 standard errors are used, while sector-clustered standard errors yield more rejections (Table 5). Heterogeneity is therefore practice-specific: it is strong for incentives and productivity, and weak or absent for monitoring and targets.</w:t>
      </w:r>
    </w:p>
    <w:p>
      <w:pPr>
        <w:spacing w:after="200" w:before="6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Country-specific associations of each practice with productivity (separate regressions by country; coefficient [95% CI]); heterogeneity across countries (Cochran's Q, I²) and random-effects mean.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300"/>
        <w:gridCol w:w="2300"/>
        <w:gridCol w:w="2300"/>
      </w:tblGrid>
      <w:tr>
        <w:trPr>
          <w:tblHeader/>
        </w:trPr>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Monitoring</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Targets</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Incentives</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567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0.063 [-0.203, 0.328]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 [-0.202, 0.296]</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0.509 [0.333, 0.684]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442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-0.143 [-0.403, 0.117]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0.125 [-0.144, 0.394]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0.048 [-0.079, 0.175]</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1222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0.089 [0.005, 0.173]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 [-0.061, 0.100]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0.225 [0.149, 0.301]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0.086 [-0.080, 0.252]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0.139 [-0.031, 0.308]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0.360 [0.193, 0.527]</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1204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0.146 [0.050, 0.242]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0.063 [-0.072, 0.198]</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0.082 [-0.006, 0.171]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0.037 [-0.252, 0.325]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-0.210 [-0.532, 0.113]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0.202 [0.031, 0.372]</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1436</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0.193 [0.058, 0.327]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0.041 [-0.107, 0.189]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0.154 [0.052, 0.255]</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Q (df = 6), p; I²</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 p = 0.3868; I² = 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4.3, p = 0.6297; I² = 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28.4, p = 0.0001; I² = 79%</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Random-effects mean (τ)</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0.107 (τ = 0.017)</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0.041 (τ = 0.000)</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0.212 (τ = 0.114)</w:t>
            </w:r>
          </w:p>
        </w:tc>
      </w:tr>
    </w:tbl>
    <w:p>
      <w:pPr>
        <w:keepNext/>
        <w:spacing w:before="120"/>
        <w:jc w:val="center"/>
      </w:pPr>
      <w:r>
        <w:drawing>
          <wp:inline distT="0" distB="0" distL="0" distR="0">
            <wp:extent cx="6096000" cy="1905000"/>
            <wp:effectExtent t="0" r="0" b="0" l="0"/>
            <wp:docPr id="1" name="forest" descr="forest" title="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905000"/>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Country-specific associations of monitoring, targets and incentives with productivity (95% CI); Q-test p and I² by practice.</w:t>
      </w:r>
    </w:p>
    <w:p>
      <w:pPr>
        <w:spacing w:after="200" w:before="6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Tests of equality of each practice's coefficients across the seven countries (robust Wald, 6 df): p with HC3 errors (Holm-adjusted over the nine practice-by-outcome tests) and with sector-clustered errors.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500"/>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Practice</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Productivity</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Monitoring (r2)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0.3868 (Holm 1.000); cluster p = 0.0424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0.1876 (Holm 0.938); cluster p = 0.0479</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0.0923 (Holm 0.554); cluster p = 0.0168</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(r4)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0.6297 (Holm 1.000); cluster p = 0.5831</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0.0027 (Holm 0.021); cluster p = 0.0000</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0.0467 (Holm 0.327); cluster p = 0.0000</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Incentives (r8)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0.0001 (Holm 0.001); cluster p = 0.0000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0.3348 (Holm 1.000); cluster p = 0.1584</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0.3737 (Holm 1.000); cluster p = 0.0067</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Joint (18 df)</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0.0004; cluster p = 0.0000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0.0167; cluster p = 0.0000</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 = 0.0697; cluster p = 0.0000</w:t>
            </w:r>
          </w:p>
        </w:tc>
      </w:tr>
    </w:tbl>
    <w:p>
      <w:pPr>
        <w:spacing w:after="120" w:line="300"/>
        <w:jc w:val="both"/>
      </w:pPr>
      <w:r>
        <w:rPr>
          <w:rFonts w:ascii="Times New Roman" w:cs="Times New Roman" w:eastAsia="Times New Roman" w:hAnsi="Times New Roman"/>
          <w:b/>
          <w:bCs/>
        </w:rPr>
        <w:t xml:space="preserve">6.5 Organisational contingencies (Table 6).</w:t>
      </w:r>
      <w:r>
        <w:rPr>
          <w:rFonts w:ascii="Times New Roman" w:cs="Times New Roman" w:eastAsia="Times New Roman" w:hAnsi="Times New Roman"/>
        </w:rPr>
        <w:t xml:space="preserve"> Among the six organisational moderators, only size shows a joint interaction with the practices for productivity (Wald χ² = 11.5, p = 0.009), which does not survive correction over the 18 tests (Holm p = 0.17); foreign ownership (p = 0.048; Holm 0.71) and the other moderators show no reliable moderation, and none is significant for growth after correction.</w:t>
      </w:r>
    </w:p>
    <w:p>
      <w:pPr>
        <w:spacing w:after="200" w:before="6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Organisational moderators of the practice–productivity associations: joint test of the three practice-by-moderator interactions (3 df) and Holm-adjusted p over the 18 tests (three outcomes × six moderators).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600"/>
        <w:gridCol w:w="1500"/>
        <w:gridCol w:w="1700"/>
      </w:tblGrid>
      <w:tr>
        <w:trPr>
          <w:tblHeader/>
        </w:trPr>
        <w:tc>
          <w:tcPr>
            <w:tcW w:type="dxa" w:w="3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Moderator</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Wald χ² (3 df)</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Holm p</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Size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Age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6104</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Foreign ownership &gt;=10%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6089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0.71</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Exporter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6080</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0.5979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Manager experience (log)</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5949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0.9219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Female top manager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6100</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0.1745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bl>
    <w:p>
      <w:pPr>
        <w:spacing w:after="120" w:line="300"/>
        <w:jc w:val="both"/>
      </w:pPr>
      <w:r>
        <w:rPr>
          <w:rFonts w:ascii="Times New Roman" w:cs="Times New Roman" w:eastAsia="Times New Roman" w:hAnsi="Times New Roman"/>
          <w:b/>
          <w:bCs/>
        </w:rPr>
        <w:t xml:space="preserve">6.6 Out-of-sample comparison (Table 7).</w:t>
      </w:r>
      <w:r>
        <w:rPr>
          <w:rFonts w:ascii="Times New Roman" w:cs="Times New Roman" w:eastAsia="Times New Roman" w:hAnsi="Times New Roman"/>
        </w:rPr>
        <w:t xml:space="preserve"> For productivity, common slopes for the three practices (P1) lower out-of-sample RMSE from 0.7924 to 0.7854, a 1.8% reduction in mean squared error (corrected 95% CI 0.0055 to 0.0167 in squared log points; p &lt; 0.001). Adding combinations (−0.0002), organisational contingency (−0.0010), country-specific slopes for each practice (0.0002; corrected CI −0.0031 to 0.0035; p = 0.91) or both brings no reliable gain. For growth outcomes no model improves on the controls by more than 0.25%. The common model is therefore not improved on out of sample, even for the practice, incentives, whose association varies most across countries.</w:t>
      </w:r>
    </w:p>
    <w:p>
      <w:pPr>
        <w:spacing w:after="200" w:before="6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Out-of-sample comparison (10-fold cross-validation × 3, folds stratified by country and identical across models): RMSE for productivity, incremental R² over controls, RMSE for growth outcomes; lower panel: paired reductions in mean squared error for productivity (squared log points) with firm-level 95% CI and corrected resampled 95% CI (Nadeau–Bengio).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400"/>
        <w:gridCol w:w="1400"/>
        <w:gridCol w:w="1300"/>
      </w:tblGrid>
      <w:tr>
        <w:trPr>
          <w:tblHeader/>
        </w:trPr>
        <w:tc>
          <w:tcPr>
            <w:tcW w:type="dxa" w:w="3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Model</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productivity</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Incremental R²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sales growth</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RMSE employment growth</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0.7924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P1 universal (M,T,I common slopes)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0.7854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0.0649</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P2 universal + combinations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0.0649</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C1 organisational contingency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N1 national slopes (M,T,I x country)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0.7853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 organisational + national</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0.7855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1.74</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0.0651</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1900"/>
        <w:gridCol w:w="1000"/>
      </w:tblGrid>
      <w:tr>
        <w:trPr>
          <w:tblHeader/>
        </w:trPr>
        <w:tc>
          <w:tcPr>
            <w:tcW w:type="dxa" w:w="3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Comparison</w:t>
            </w:r>
          </w:p>
        </w:tc>
        <w:tc>
          <w:tcPr>
            <w:tcW w:type="dxa" w:w="2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Reduction [firm-level 95% CI]</w:t>
            </w:r>
          </w:p>
        </w:tc>
        <w:tc>
          <w:tcPr>
            <w:tcW w:type="dxa" w:w="1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Corrected 95% CI</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Corrected p</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P1 universal (M,T,I common slopes) vs U0</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0.0111 [0.0068, 0.0155]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[0.0055, 0.0167]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&lt;0.001</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P2 universal + combinations vs P1 universal (M,T,I common slopes)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-0.0002 [-0.0009, 0.0006]</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[-0.0009, 0.0006]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0.676</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C1 organisational contingency vs P1 universal (M,T,I common slopes)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-0.0010 [-0.0035, 0.0015]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[-0.0038, 0.0019]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0.492</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N1 national slopes (M,T,I x country) vs P1 universal (M,T,I common slopes)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0.0002 [-0.0027, 0.0031]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[-0.0031, 0.0035]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0.912</w:t>
            </w:r>
          </w:p>
        </w:tc>
      </w:tr>
      <w:t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 organisational + national vs C1 organisational contingency</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0.0008 [-0.0022, 0.0038]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[-0.0029, 0.0044]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0.669</w:t>
            </w:r>
          </w:p>
        </w:tc>
      </w:tr>
    </w:tbl>
    <w:p>
      <w:pPr>
        <w:spacing w:after="120" w:line="300"/>
        <w:jc w:val="both"/>
      </w:pPr>
      <w:r>
        <w:rPr>
          <w:rFonts w:ascii="Times New Roman" w:cs="Times New Roman" w:eastAsia="Times New Roman" w:hAnsi="Times New Roman"/>
          <w:b/>
          <w:bCs/>
        </w:rPr>
        <w:t xml:space="preserve">6.7 Why does a common model remain competitive?</w:t>
      </w:r>
      <w:r>
        <w:rPr>
          <w:rFonts w:ascii="Times New Roman" w:cs="Times New Roman" w:eastAsia="Times New Roman" w:hAnsi="Times New Roman"/>
        </w:rPr>
        <w:t xml:space="preserve"> The statistically detectable heterogeneity is small relative to what out-of-sample prediction can resolve. If country-specific slopes were known exactly, the mean squared error would fall by 0.0028 (0.45% of the residual variance), almost entirely through incentives (heterogeneity standard deviation τ = 0.114), whereas estimating eighteen additional slopes costs about 0.0021 out of sample; the expected net gain is 0.0008. In simulations at the estimated heterogeneity, national slopes beat the common model in only 53% of replications (mean gain 0.0007); at twice the estimated heterogeneity they do in 95%. The competitiveness of the common model thus reflects the small share of variance that practices explain together with the cost of estimating country-specific slopes; it does not show that associations are homogeneous.</w:t>
      </w:r>
    </w:p>
    <w:p>
      <w:pPr>
        <w:spacing w:after="120" w:line="300"/>
        <w:jc w:val="both"/>
      </w:pPr>
      <w:r>
        <w:rPr>
          <w:rFonts w:ascii="Times New Roman" w:cs="Times New Roman" w:eastAsia="Times New Roman" w:hAnsi="Times New Roman"/>
          <w:b/>
          <w:bCs/>
        </w:rPr>
        <w:t xml:space="preserve">6.8 Transferability (Table 8).</w:t>
      </w:r>
      <w:r>
        <w:rPr>
          <w:rFonts w:ascii="Times New Roman" w:cs="Times New Roman" w:eastAsia="Times New Roman" w:hAnsi="Times New Roman"/>
        </w:rPr>
        <w:t xml:space="preserve"> Out-of-sample R² for productivity is small in every country (local models: −0.02 to 0.08). A model estimated in a single country is worse than the local model in 93% of the 42 source–target pairs, by 0.033 R² units on average, with large losses for some pairs (Canada and Italy as sources for France: −0.118 and −0.111); this is a larger loss than for a single global score of practices, consistent with a score masking differences between practices. A model estimated on the other six countries (LOCO) performs close to the local model: local minus LOCO is 0.001 to 0.022 in six countries and −0.0005 in France, with 95% intervals that include zero in every country (for the United States 0.019, −0.000 to 0.035); adding the target's own training folds to the other countries changes little. Growth outcomes show no transferable signal.</w:t>
      </w:r>
    </w:p>
    <w:p>
      <w:pPr>
        <w:spacing w:after="200" w:before="60"/>
        <w:jc w:val="left"/>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Transferability of the three-practice model for productivity: out-of-sample R² of a model estimated in the source country (rows) applied to the target (columns); LOCO = estimated on the other six countries; Local = estimated and cross-validated in the target; last row: local minus LOCO with paired bootstrap 95% 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050"/>
        <w:gridCol w:w="1050"/>
        <w:gridCol w:w="1050"/>
        <w:gridCol w:w="1050"/>
        <w:gridCol w:w="1050"/>
        <w:gridCol w:w="1000"/>
      </w:tblGrid>
      <w:tr>
        <w:trPr>
          <w:tblHeader/>
        </w:trPr>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Source / Target</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CAN</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FRA</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DEU</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ITA</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JPN</w:t>
            </w:r>
          </w:p>
        </w:tc>
        <w:tc>
          <w:tcPr>
            <w:tcW w:type="dxa" w:w="105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GBR</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USA</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-0.038</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0.029</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-0.042</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-0.008</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LOCO</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Local (CV)</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-0.023</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0.041</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0.018</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Local − LOCO [95% CI]</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 [-0.028, 0.026]</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 [-0.038, 0.034]</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0.006 [-0.007, 0.017]</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0.022 [-0.012, 0.052]</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0.013 [-0.003, 0.029]</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 [-0.020, 0.026]</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 [-0.000, 0.035]</w:t>
            </w:r>
          </w:p>
        </w:tc>
      </w:tr>
    </w:tbl>
    <w:p>
      <w:pPr>
        <w:spacing w:after="120" w:line="300"/>
        <w:jc w:val="both"/>
      </w:pPr>
      <w:r>
        <w:rPr>
          <w:rFonts w:ascii="Times New Roman" w:cs="Times New Roman" w:eastAsia="Times New Roman" w:hAnsi="Times New Roman"/>
          <w:b/>
          <w:bCs/>
        </w:rPr>
        <w:t xml:space="preserve">6.9 Complementary analyses of latent structure (retained from the earlier analysis).</w:t>
      </w:r>
      <w:r>
        <w:rPr>
          <w:rFonts w:ascii="Times New Roman" w:cs="Times New Roman" w:eastAsia="Times New Roman" w:hAnsi="Times New Roman"/>
        </w:rPr>
        <w:t xml:space="preserve"> For the six items asked of all firms (r1, r2, r4, r8, r10, r11), the items follow one dominant continuous dimension (parallel analysis: eigenvalue 2.54 versus 1.09), latent classes are poorly separated (relative entropy 0.53 to 0.60), and continuous or hybrid models fit better than purely discrete models (BIC differences of 129 to 368 points); no framework-implied split of seven items with verified or partly verified wording (cybernetic versus reward; monitoring versus targets versus rewards) improves on a single factor (BIC +8.5 to +43.4). Cross-country invariance is partial and depends on the number of classes, and the reliability of the latent score varies across countries from 0.35 to 0.65 depending on the prior used. With the latent score, productivity slopes are positive in most countries, heterogeneous in most specifications and flatten at high levels of the score (0.164 in the lower third, 0.013 in the upper third); allowing a common level-dependent shape reduces cross-country heterogeneity, so part of it may reflect adoption level, ceiling or measurement error. A sensitivity analysis that excludes r10 and r11 (seven items with verified or partly verified wording: r1, r2, r3, r4, r5, r8, r9) gives the same conclusions: a common latent slope lowers out-of-sample mean squared error by 1.4% (corrected 95% CI 0.0044 to 0.0137), contingency, country-specific slopes and level-dependent shapes bring no reliable gain (corrected p of at least 0.39), and the reliability of this score by country is 0.47 to 0.67 with a pooled prior. These analyses support the use of the three practice indicators as separate variables: a single score masks the practice-specific heterogeneity found in Section 6.4.</w:t>
      </w:r>
    </w:p>
    <w:p>
      <w:pPr>
        <w:keepNext/>
        <w:spacing w:before="120"/>
        <w:jc w:val="center"/>
      </w:pPr>
      <w:r>
        <w:drawing>
          <wp:inline distT="0" distB="0" distL="0" distR="0">
            <wp:extent cx="5715000" cy="1666875"/>
            <wp:effectExtent t="0" r="0" b="0" l="0"/>
            <wp:docPr id="1" name="dim" descr="dim" title="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668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Complementary analysis of latent structure (six common items). Left: polychoric eigenvalues; centre: two-factor loadings (assumes code order = ordinal order); right: observed versus independence-expected combinations of r2, r4, r8.</w:t>
      </w:r>
    </w:p>
    <w:p>
      <w:pPr>
        <w:pStyle w:val="Heading1"/>
        <w:spacing w:after="160" w:before="360"/>
      </w:pPr>
      <w:r>
        <w:rPr>
          <w:rFonts w:ascii="Times New Roman" w:cs="Times New Roman" w:eastAsia="Times New Roman" w:hAnsi="Times New Roman"/>
          <w:b/>
          <w:bCs/>
          <w:sz w:val="28"/>
          <w:szCs w:val="28"/>
        </w:rPr>
        <w:t xml:space="preserve">7. Discussion</w:t>
      </w:r>
    </w:p>
    <w:p>
      <w:pPr>
        <w:pStyle w:val="Heading2"/>
        <w:spacing w:after="120" w:before="240"/>
      </w:pPr>
      <w:r>
        <w:rPr>
          <w:rFonts w:ascii="Times New Roman" w:cs="Times New Roman" w:eastAsia="Times New Roman" w:hAnsi="Times New Roman"/>
          <w:b/>
          <w:bCs/>
          <w:sz w:val="24"/>
          <w:szCs w:val="24"/>
        </w:rPr>
        <w:t xml:space="preserve">7.1 Answer to the central question</w:t>
      </w:r>
    </w:p>
    <w:p>
      <w:pPr>
        <w:spacing w:after="120" w:line="300"/>
        <w:jc w:val="both"/>
      </w:pPr>
      <w:r>
        <w:rPr>
          <w:rFonts w:ascii="Times New Roman" w:cs="Times New Roman" w:eastAsia="Times New Roman" w:hAnsi="Times New Roman"/>
        </w:rPr>
        <w:t xml:space="preserve">The three practices do not show the same associations across countries. Their individual associations with productivity differ in strength (incentives &gt; monitoring &gt; targets), and the association of incentives differs strongly across the seven countries, while that of monitoring does not. No evidence was found that the practices operate jointly beyond their individual associations, and organisational contingencies do not moderate the associations reliably. Nevertheless, a common model of the three practices predicts out of sample as well as models with country-specific slopes, and a model estimated on the other six countries transfers nearly as well as a local one. Structure is common, associations are partly practice- and country-specific, and the common model remains the predictive benchmark: statistically detectable heterogeneity does not translate into predictive gains at the size observed (Section 6.7).</w:t>
      </w:r>
    </w:p>
    <w:p>
      <w:pPr>
        <w:pStyle w:val="Heading2"/>
        <w:spacing w:after="120" w:before="240"/>
      </w:pPr>
      <w:r>
        <w:rPr>
          <w:rFonts w:ascii="Times New Roman" w:cs="Times New Roman" w:eastAsia="Times New Roman" w:hAnsi="Times New Roman"/>
          <w:b/>
          <w:bCs/>
          <w:sz w:val="24"/>
          <w:szCs w:val="24"/>
        </w:rPr>
        <w:t xml:space="preserve">7.2 Interpretation through management control concepts</w:t>
      </w:r>
    </w:p>
    <w:p>
      <w:pPr>
        <w:spacing w:after="120" w:line="300"/>
        <w:jc w:val="both"/>
      </w:pPr>
      <w:r>
        <w:rPr>
          <w:rFonts w:ascii="Times New Roman" w:cs="Times New Roman" w:eastAsia="Times New Roman" w:hAnsi="Times New Roman"/>
        </w:rPr>
        <w:t xml:space="preserve">Read as control mechanisms, the results concern reward control most: the association of incentives is the strongest and the most country-dependent, which is compatible with the idea that rewards depend on how they are designed and used locally, a point on which the data are silent. The association of monitoring (cybernetic and diagnostic control) is more homogeneous, and targets (planning and results control) show little association with productivity. The absence of interactions among practices means that presence indicators do not reveal combined effects; whether practices form a coherent system (Grabner &amp; Moers, 2013) or are used diagnostically or interactively (Simons, 1995) cannot be assessed, so the contribution to the control literature is a precise statement of what presence-based data can and cannot show.</w:t>
      </w:r>
    </w:p>
    <w:p>
      <w:pPr>
        <w:pStyle w:val="Heading2"/>
        <w:spacing w:after="120" w:before="240"/>
      </w:pPr>
      <w:r>
        <w:rPr>
          <w:rFonts w:ascii="Times New Roman" w:cs="Times New Roman" w:eastAsia="Times New Roman" w:hAnsi="Times New Roman"/>
          <w:b/>
          <w:bCs/>
          <w:sz w:val="24"/>
          <w:szCs w:val="24"/>
        </w:rPr>
        <w:t xml:space="preserve">7.3 Interpretation through general management frameworks</w:t>
      </w:r>
    </w:p>
    <w:p>
      <w:pPr>
        <w:spacing w:after="120" w:line="300"/>
        <w:jc w:val="both"/>
      </w:pPr>
      <w:r>
        <w:rPr>
          <w:rFonts w:ascii="Times New Roman" w:cs="Times New Roman" w:eastAsia="Times New Roman" w:hAnsi="Times New Roman"/>
        </w:rPr>
        <w:t xml:space="preserve">The universal-technology reading is supported for monitoring and incentives in most countries but not for incentives uniformly. The contingency reading is not supported with the organisational contingencies available. The institutional and transfer reading is consistent with practice-specific heterogeneity and with imperfect single-country transfer, but the data cannot separate institutional explanations from composition, measurement error and ceiling effects, and country effects are not measures of culture or institutions. Decoupling and ceremonial adoption would require measures of integration and use.</w:t>
      </w:r>
    </w:p>
    <w:p>
      <w:pPr>
        <w:pStyle w:val="Heading2"/>
        <w:spacing w:after="120" w:before="240"/>
      </w:pPr>
      <w:r>
        <w:rPr>
          <w:rFonts w:ascii="Times New Roman" w:cs="Times New Roman" w:eastAsia="Times New Roman" w:hAnsi="Times New Roman"/>
          <w:b/>
          <w:bCs/>
          <w:sz w:val="24"/>
          <w:szCs w:val="24"/>
        </w:rPr>
        <w:t xml:space="preserve">7.4 What cannot be concluded</w:t>
      </w:r>
    </w:p>
    <w:p>
      <w:pPr>
        <w:spacing w:after="120" w:line="300"/>
        <w:jc w:val="both"/>
      </w:pPr>
      <w:r>
        <w:rPr>
          <w:rFonts w:ascii="Times New Roman" w:cs="Times New Roman" w:eastAsia="Times New Roman" w:hAnsi="Times New Roman"/>
        </w:rPr>
        <w:t xml:space="preserve">That each country needs its own control model, or that contexts are irrelevant, is not established. The associations are small (maximum local R² of 0.08), practices are single reported indicators of partly unverified wording, and integration, use and institutional characteristics are not measured.</w:t>
      </w:r>
    </w:p>
    <w:p>
      <w:pPr>
        <w:pStyle w:val="Heading1"/>
        <w:spacing w:after="160" w:before="360"/>
      </w:pPr>
      <w:r>
        <w:rPr>
          <w:rFonts w:ascii="Times New Roman" w:cs="Times New Roman" w:eastAsia="Times New Roman" w:hAnsi="Times New Roman"/>
          <w:b/>
          <w:bCs/>
          <w:sz w:val="28"/>
          <w:szCs w:val="28"/>
        </w:rPr>
        <w:t xml:space="preserve">8. Contributions</w:t>
      </w:r>
    </w:p>
    <w:p>
      <w:pPr>
        <w:pStyle w:val="ListParagraph"/>
        <w:numPr>
          <w:ilvl w:val="0"/>
          <w:numId w:val="3"/>
        </w:numPr>
        <w:spacing w:after="80" w:line="290"/>
      </w:pPr>
      <w:r>
        <w:rPr>
          <w:rFonts w:ascii="Times New Roman" w:cs="Times New Roman" w:eastAsia="Times New Roman" w:hAnsi="Times New Roman"/>
          <w:b/>
          <w:bCs/>
        </w:rPr>
        <w:t xml:space="preserve">Practice-level rather than score-level evidence.</w:t>
      </w:r>
      <w:r>
        <w:rPr>
          <w:rFonts w:ascii="Times New Roman" w:cs="Times New Roman" w:eastAsia="Times New Roman" w:hAnsi="Times New Roman"/>
        </w:rPr>
        <w:t xml:space="preserve"> Treating monitoring, targets and incentives separately shows heterogeneity that a single score conceals: it concerns incentives and productivity and is weak for the other practices.</w:t>
      </w:r>
    </w:p>
    <w:p>
      <w:pPr>
        <w:pStyle w:val="ListParagraph"/>
        <w:numPr>
          <w:ilvl w:val="0"/>
          <w:numId w:val="3"/>
        </w:numPr>
        <w:spacing w:after="80" w:line="290"/>
      </w:pPr>
      <w:r>
        <w:rPr>
          <w:rFonts w:ascii="Times New Roman" w:cs="Times New Roman" w:eastAsia="Times New Roman" w:hAnsi="Times New Roman"/>
          <w:b/>
          <w:bCs/>
        </w:rPr>
        <w:t xml:space="preserve">Heterogeneity versus predictive value.</w:t>
      </w:r>
      <w:r>
        <w:rPr>
          <w:rFonts w:ascii="Times New Roman" w:cs="Times New Roman" w:eastAsia="Times New Roman" w:hAnsi="Times New Roman"/>
        </w:rPr>
        <w:t xml:space="preserve"> Detectable cross-country heterogeneity in one practice does not improve out-of-sample prediction, and the paper quantifies why (oracle gain versus estimation cost), which clarifies how heterogeneity tests and predictive tests answer different questions.</w:t>
      </w:r>
    </w:p>
    <w:p>
      <w:pPr>
        <w:pStyle w:val="ListParagraph"/>
        <w:numPr>
          <w:ilvl w:val="0"/>
          <w:numId w:val="3"/>
        </w:numPr>
        <w:spacing w:after="80" w:line="290"/>
      </w:pPr>
      <w:r>
        <w:rPr>
          <w:rFonts w:ascii="Times New Roman" w:cs="Times New Roman" w:eastAsia="Times New Roman" w:hAnsi="Times New Roman"/>
          <w:b/>
          <w:bCs/>
        </w:rPr>
        <w:t xml:space="preserve">Conditional transferability.</w:t>
      </w:r>
      <w:r>
        <w:rPr>
          <w:rFonts w:ascii="Times New Roman" w:cs="Times New Roman" w:eastAsia="Times New Roman" w:hAnsi="Times New Roman"/>
        </w:rPr>
        <w:t xml:space="preserve"> Models estimated in one country transfer imperfectly, and models estimated on other countries transfer nearly as well as local ones.</w:t>
      </w:r>
    </w:p>
    <w:p>
      <w:pPr>
        <w:pStyle w:val="ListParagraph"/>
        <w:numPr>
          <w:ilvl w:val="0"/>
          <w:numId w:val="3"/>
        </w:numPr>
        <w:spacing w:after="80" w:line="290"/>
      </w:pPr>
      <w:r>
        <w:rPr>
          <w:rFonts w:ascii="Times New Roman" w:cs="Times New Roman" w:eastAsia="Times New Roman" w:hAnsi="Times New Roman"/>
          <w:b/>
          <w:bCs/>
        </w:rPr>
        <w:t xml:space="preserve">Bridge to management control.</w:t>
      </w:r>
      <w:r>
        <w:rPr>
          <w:rFonts w:ascii="Times New Roman" w:cs="Times New Roman" w:eastAsia="Times New Roman" w:hAnsi="Times New Roman"/>
        </w:rPr>
        <w:t xml:space="preserve"> The practices are interpreted as observable cybernetic, results and reward mechanisms, and the paper states which control constructs (integration, use, consistency, administrative and cultural controls) presence-based data cannot address.</w:t>
      </w:r>
    </w:p>
    <w:p>
      <w:pPr>
        <w:pStyle w:val="Heading1"/>
        <w:spacing w:after="160" w:before="360"/>
      </w:pPr>
      <w:r>
        <w:rPr>
          <w:rFonts w:ascii="Times New Roman" w:cs="Times New Roman" w:eastAsia="Times New Roman" w:hAnsi="Times New Roman"/>
          <w:b/>
          <w:bCs/>
          <w:sz w:val="28"/>
          <w:szCs w:val="28"/>
        </w:rPr>
        <w:t xml:space="preserve">9. Managerial and policy implications</w:t>
      </w:r>
    </w:p>
    <w:p>
      <w:pPr>
        <w:spacing w:after="120" w:line="300"/>
        <w:jc w:val="both"/>
      </w:pPr>
      <w:r>
        <w:rPr>
          <w:rFonts w:ascii="Times New Roman" w:cs="Times New Roman" w:eastAsia="Times New Roman" w:hAnsi="Times New Roman"/>
        </w:rPr>
        <w:t xml:space="preserve">Implications are cautious. Programmes that promote monitoring, targets and incentives should not assume identical associations everywhere: the association of incentives with productivity differs markedly across the countries studied. They also should not assume that a locally estimated model is needed: models estimated on several countries performed nearly as well as local ones. Adoption of practices is not evidence of their integration; organisations adopting practices from elsewhere should assess how the practices are used and aligned with local decision processes and incentives.</w:t>
      </w:r>
    </w:p>
    <w:p>
      <w:pPr>
        <w:pStyle w:val="Heading1"/>
        <w:spacing w:after="160" w:before="360"/>
      </w:pPr>
      <w:r>
        <w:rPr>
          <w:rFonts w:ascii="Times New Roman" w:cs="Times New Roman" w:eastAsia="Times New Roman" w:hAnsi="Times New Roman"/>
          <w:b/>
          <w:bCs/>
          <w:sz w:val="28"/>
          <w:szCs w:val="28"/>
        </w:rPr>
        <w:t xml:space="preserve">10. Limitations and future research</w:t>
      </w:r>
    </w:p>
    <w:p>
      <w:pPr>
        <w:spacing w:after="120" w:line="300"/>
        <w:jc w:val="both"/>
      </w:pPr>
      <w:r>
        <w:rPr>
          <w:rFonts w:ascii="Times New Roman" w:cs="Times New Roman" w:eastAsia="Times New Roman" w:hAnsi="Times New Roman"/>
          <w:b/>
          <w:bCs/>
        </w:rPr>
        <w:t xml:space="preserve">Priority limitations.</w:t>
      </w:r>
      <w:r>
        <w:rPr>
          <w:rFonts w:ascii="Times New Roman" w:cs="Times New Roman" w:eastAsia="Times New Roman" w:hAnsi="Times New Roman"/>
        </w:rPr>
        <w:t xml:space="preserve"> (i) The wording and categories of the practice items could not be verified against the original questionnaires; r2 and r8 are partly verified, r4 is inferred, and r10, r11, r6 and r7 are unverified and excluded from the main models. Verification against the original questionnaires and labelled files is required before submission. (ii) The practices are single reported binary indicators; measurement invariance cannot be tested for them, and differences in reporting across countries cannot be excluded. (iii) The latent score is only partly invariant and its reliability differs across countries. (iv) Associations are cross-sectional, unweighted in the main analyses and without design-based variance estimation; sales are in local currency and the growth variables' definitions are assumed. (v) With seven countries, institutional or cultural moderators cannot be identified, and country effects are not measures of either. (vi) Predictive gains are small and the intervals from cross-validation are approximate. (vii) Hypotheses were formulated after exploratory work and not pre-registered. (viii) The literature review is a verified selection, not a systematic review of the transfer of control practices.</w:t>
      </w:r>
    </w:p>
    <w:p>
      <w:pPr>
        <w:spacing w:after="120" w:line="300"/>
        <w:jc w:val="both"/>
      </w:pPr>
      <w:r>
        <w:rPr>
          <w:rFonts w:ascii="Times New Roman" w:cs="Times New Roman" w:eastAsia="Times New Roman" w:hAnsi="Times New Roman"/>
          <w:b/>
          <w:bCs/>
        </w:rPr>
        <w:t xml:space="preserve">Future research.</w:t>
      </w:r>
      <w:r>
        <w:rPr>
          <w:rFonts w:ascii="Times New Roman" w:cs="Times New Roman" w:eastAsia="Times New Roman" w:hAnsi="Times New Roman"/>
        </w:rPr>
        <w:t xml:space="preserve"> Measure integration and use of controls directly (diagnostic and interactive use, articulation among controls, managerial ownership); collect panel data around the introduction of practices; use verified institutional indicators with many more countries and multilevel designs.</w:t>
      </w:r>
    </w:p>
    <w:p>
      <w:pPr>
        <w:spacing w:after="120" w:line="300"/>
        <w:jc w:val="both"/>
      </w:pPr>
      <w:r>
        <w:rPr>
          <w:rFonts w:ascii="Times New Roman" w:cs="Times New Roman" w:eastAsia="Times New Roman" w:hAnsi="Times New Roman"/>
          <w:b/>
          <w:bCs/>
        </w:rPr>
        <w:t xml:space="preserve">A separate research agenda on Morocco.</w:t>
      </w:r>
      <w:r>
        <w:rPr>
          <w:rFonts w:ascii="Times New Roman" w:cs="Times New Roman" w:eastAsia="Times New Roman" w:hAnsi="Times New Roman"/>
        </w:rPr>
        <w:t xml:space="preserve"> The G7 findings are not generalised to Moroccan organisations, and the dataset contains no Moroccan firms. The central question is under what organisational and institutional conditions internationally diffused management-control practices become effective and sustainable in Moroccan organisations (SMEs, public establishments and enterprises, family-owned businesses, subsidiaries of multinational companies). Existing Moroccan work identified through a single search includes a survey of 190 industrial firms relating contingency factors to control design (Hammouch, Manta &amp; Palazzo, 2024) and an exploratory study of changes in control systems of large industrial companies (Daanoune &amp; Tirhzaoui); these records were read at abstract level. Proposed studies: interviews with management accountants and controllers, organisational case studies, manager surveys with measures of control integration, longitudinal implementation studies and measures of readiness and resistance to change (Armenakis &amp; Harris, 2002), connected to the doctoral project on management control, artificial intelligence, internal auditing and dynamic capabilities (Teece, 2007), to be examined in a distinct study.</w:t>
      </w:r>
    </w:p>
    <w:p>
      <w:pPr>
        <w:pStyle w:val="Heading1"/>
        <w:spacing w:after="160" w:before="360"/>
      </w:pPr>
      <w:r>
        <w:rPr>
          <w:rFonts w:ascii="Times New Roman" w:cs="Times New Roman" w:eastAsia="Times New Roman" w:hAnsi="Times New Roman"/>
          <w:b/>
          <w:bCs/>
          <w:sz w:val="28"/>
          <w:szCs w:val="28"/>
        </w:rPr>
        <w:t xml:space="preserve">11. Conclusion</w:t>
      </w:r>
    </w:p>
    <w:p>
      <w:pPr>
        <w:spacing w:after="120" w:line="300"/>
        <w:jc w:val="both"/>
      </w:pPr>
      <w:r>
        <w:rPr>
          <w:rFonts w:ascii="Times New Roman" w:cs="Times New Roman" w:eastAsia="Times New Roman" w:hAnsi="Times New Roman"/>
        </w:rPr>
        <w:t xml:space="preserve">Monitoring, targets and incentives, entered separately, show different associations with productivity; the association of incentives varies strongly across seven advanced economies while that of monitoring does not, and no joint effects or reliable organisational contingencies were found. A common model of the three practices is not beaten out of sample by models with country-specific or contingent slopes, mainly because the detectable heterogeneity is small relative to its estimation cost, and a model estimated on other countries transfers nearly as well as a local one. The evidence supports limited, practice-specific heterogeneity and conditional transferability; it does not show that each country requires its own control model, and the role of integration and use remains a theoretical question for studies that measure them directly.</w:t>
      </w:r>
    </w:p>
    <w:p>
      <w:pPr>
        <w:pStyle w:val="Heading1"/>
        <w:spacing w:after="160" w:before="360"/>
      </w:pPr>
      <w:r>
        <w:rPr>
          <w:rFonts w:ascii="Times New Roman" w:cs="Times New Roman" w:eastAsia="Times New Roman" w:hAnsi="Times New Roman"/>
          <w:b/>
          <w:bCs/>
          <w:sz w:val="28"/>
          <w:szCs w:val="28"/>
        </w:rPr>
        <w:t xml:space="preserve">Data availability and reproducibility</w:t>
      </w:r>
    </w:p>
    <w:p>
      <w:pPr>
        <w:spacing w:after="120" w:line="300"/>
        <w:jc w:val="both"/>
      </w:pPr>
      <w:r>
        <w:rPr>
          <w:rFonts w:ascii="Times New Roman" w:cs="Times New Roman" w:eastAsia="Times New Roman" w:hAnsi="Times New Roman"/>
        </w:rPr>
        <w:t xml:space="preserve">Analyses used a merged WBES file supplied by the research team. Scripts, seeds, software versions and logs are in the project repository (MCS_G7_RESEARCH/02_SCRIPTS, 07_REPRODUCIBILITY, 08_CONTEXTUAL_FIT). Earlier versions of the manuscript and the dataset were not overwritten.</w:t>
      </w:r>
    </w:p>
    <w:p>
      <w:pPr>
        <w:pStyle w:val="Heading1"/>
        <w:spacing w:after="160" w:before="360"/>
      </w:pPr>
      <w:r>
        <w:rPr>
          <w:rFonts w:ascii="Times New Roman" w:cs="Times New Roman" w:eastAsia="Times New Roman" w:hAnsi="Times New Roman"/>
          <w:b/>
          <w:bCs/>
          <w:sz w:val="28"/>
          <w:szCs w:val="28"/>
        </w:rPr>
        <w:t xml:space="preserve">References</w:t>
      </w:r>
    </w:p>
    <w:p>
      <w:pPr>
        <w:spacing w:after="100" w:line="270"/>
        <w:ind w:left="567" w:hanging="567"/>
      </w:pPr>
      <w:r>
        <w:rPr>
          <w:rFonts w:ascii="Times New Roman" w:cs="Times New Roman" w:eastAsia="Times New Roman" w:hAnsi="Times New Roman"/>
          <w:sz w:val="21"/>
          <w:szCs w:val="21"/>
        </w:rPr>
        <w:t xml:space="preserve">Armenakis, A. A., &amp; Harris, S. G. (2002). Crafting a change message to create transformational readiness. </w:t>
      </w:r>
      <w:r>
        <w:rPr>
          <w:rFonts w:ascii="Times New Roman" w:cs="Times New Roman" w:eastAsia="Times New Roman" w:hAnsi="Times New Roman"/>
          <w:i/>
          <w:iCs/>
          <w:sz w:val="21"/>
          <w:szCs w:val="21"/>
        </w:rPr>
        <w:t xml:space="preserve">Journal of Organizational Change Management, 15</w:t>
      </w:r>
      <w:r>
        <w:rPr>
          <w:rFonts w:ascii="Times New Roman" w:cs="Times New Roman" w:eastAsia="Times New Roman" w:hAnsi="Times New Roman"/>
          <w:sz w:val="21"/>
          <w:szCs w:val="21"/>
        </w:rPr>
        <w:t xml:space="preserve">(2), 169–183. https://doi.org/10.1108/09534810210423080</w:t>
      </w:r>
    </w:p>
    <w:p>
      <w:pPr>
        <w:spacing w:after="100" w:line="270"/>
        <w:ind w:left="567" w:hanging="567"/>
      </w:pPr>
      <w:r>
        <w:rPr>
          <w:rFonts w:ascii="Times New Roman" w:cs="Times New Roman" w:eastAsia="Times New Roman" w:hAnsi="Times New Roman"/>
          <w:sz w:val="21"/>
          <w:szCs w:val="21"/>
        </w:rPr>
        <w:t xml:space="preserve">Athey, S., &amp; Stern, S. (1998). </w:t>
      </w:r>
      <w:r>
        <w:rPr>
          <w:rFonts w:ascii="Times New Roman" w:cs="Times New Roman" w:eastAsia="Times New Roman" w:hAnsi="Times New Roman"/>
          <w:i/>
          <w:iCs/>
          <w:sz w:val="21"/>
          <w:szCs w:val="21"/>
        </w:rPr>
        <w:t xml:space="preserve">An empirical framework for testing theories about complementarity in organizational design</w:t>
      </w:r>
      <w:r>
        <w:rPr>
          <w:rFonts w:ascii="Times New Roman" w:cs="Times New Roman" w:eastAsia="Times New Roman" w:hAnsi="Times New Roman"/>
          <w:sz w:val="21"/>
          <w:szCs w:val="21"/>
        </w:rPr>
        <w:t xml:space="preserve"> (NBER Working Paper No. 6600). National Bureau of Economic Research.</w:t>
      </w:r>
    </w:p>
    <w:p>
      <w:pPr>
        <w:spacing w:after="100" w:line="270"/>
        <w:ind w:left="567" w:hanging="567"/>
      </w:pPr>
      <w:r>
        <w:rPr>
          <w:rFonts w:ascii="Times New Roman" w:cs="Times New Roman" w:eastAsia="Times New Roman" w:hAnsi="Times New Roman"/>
          <w:sz w:val="21"/>
          <w:szCs w:val="21"/>
        </w:rPr>
        <w:t xml:space="preserve">Bloom, N., Sadun, R., &amp; Van Reenen, J. (2016). </w:t>
      </w:r>
      <w:r>
        <w:rPr>
          <w:rFonts w:ascii="Times New Roman" w:cs="Times New Roman" w:eastAsia="Times New Roman" w:hAnsi="Times New Roman"/>
          <w:i/>
          <w:iCs/>
          <w:sz w:val="21"/>
          <w:szCs w:val="21"/>
        </w:rPr>
        <w:t xml:space="preserve">Management as a technology?</w:t>
      </w:r>
      <w:r>
        <w:rPr>
          <w:rFonts w:ascii="Times New Roman" w:cs="Times New Roman" w:eastAsia="Times New Roman" w:hAnsi="Times New Roman"/>
          <w:sz w:val="21"/>
          <w:szCs w:val="21"/>
        </w:rPr>
        <w:t xml:space="preserve"> (NBER Working Paper No. 22327). National Bureau of Economic Research.</w:t>
      </w:r>
    </w:p>
    <w:p>
      <w:pPr>
        <w:spacing w:after="100" w:line="270"/>
        <w:ind w:left="567" w:hanging="567"/>
      </w:pPr>
      <w:r>
        <w:rPr>
          <w:rFonts w:ascii="Times New Roman" w:cs="Times New Roman" w:eastAsia="Times New Roman" w:hAnsi="Times New Roman"/>
          <w:sz w:val="21"/>
          <w:szCs w:val="21"/>
        </w:rPr>
        <w:t xml:space="preserve">Bloom, N., &amp; Van Reenen, J. (2007). Measuring and explaining management practices across firms and countries. </w:t>
      </w:r>
      <w:r>
        <w:rPr>
          <w:rFonts w:ascii="Times New Roman" w:cs="Times New Roman" w:eastAsia="Times New Roman" w:hAnsi="Times New Roman"/>
          <w:i/>
          <w:iCs/>
          <w:sz w:val="21"/>
          <w:szCs w:val="21"/>
        </w:rPr>
        <w:t xml:space="preserve">Quarterly Journal of Economics, 122</w:t>
      </w:r>
      <w:r>
        <w:rPr>
          <w:rFonts w:ascii="Times New Roman" w:cs="Times New Roman" w:eastAsia="Times New Roman" w:hAnsi="Times New Roman"/>
          <w:sz w:val="21"/>
          <w:szCs w:val="21"/>
        </w:rPr>
        <w:t xml:space="preserve">(4), 1351–1408. https://doi.org/10.1162/qjec.2007.122.4.1351</w:t>
      </w:r>
    </w:p>
    <w:p>
      <w:pPr>
        <w:spacing w:after="100" w:line="270"/>
        <w:ind w:left="567" w:hanging="567"/>
      </w:pPr>
      <w:r>
        <w:rPr>
          <w:rFonts w:ascii="Times New Roman" w:cs="Times New Roman" w:eastAsia="Times New Roman" w:hAnsi="Times New Roman"/>
          <w:sz w:val="21"/>
          <w:szCs w:val="21"/>
        </w:rPr>
        <w:t xml:space="preserve">Bloom, N., &amp; Van Reenen, J. (2010). Why do management practices differ across firms and countries? </w:t>
      </w:r>
      <w:r>
        <w:rPr>
          <w:rFonts w:ascii="Times New Roman" w:cs="Times New Roman" w:eastAsia="Times New Roman" w:hAnsi="Times New Roman"/>
          <w:i/>
          <w:iCs/>
          <w:sz w:val="21"/>
          <w:szCs w:val="21"/>
        </w:rPr>
        <w:t xml:space="preserve">Journal of Economic Perspectives, 24</w:t>
      </w:r>
      <w:r>
        <w:rPr>
          <w:rFonts w:ascii="Times New Roman" w:cs="Times New Roman" w:eastAsia="Times New Roman" w:hAnsi="Times New Roman"/>
          <w:sz w:val="21"/>
          <w:szCs w:val="21"/>
        </w:rPr>
        <w:t xml:space="preserve">(1), 203–224. https://doi.org/10.1257/jep.24.1.203</w:t>
      </w:r>
    </w:p>
    <w:p>
      <w:pPr>
        <w:spacing w:after="100" w:line="270"/>
        <w:ind w:left="567" w:hanging="567"/>
      </w:pPr>
      <w:r>
        <w:rPr>
          <w:rFonts w:ascii="Times New Roman" w:cs="Times New Roman" w:eastAsia="Times New Roman" w:hAnsi="Times New Roman"/>
          <w:sz w:val="21"/>
          <w:szCs w:val="21"/>
        </w:rPr>
        <w:t xml:space="preserve">Chenhall, R. H. (2003). Management control systems design within its organizational context: Findings from contingency-based research and directions for the future. </w:t>
      </w:r>
      <w:r>
        <w:rPr>
          <w:rFonts w:ascii="Times New Roman" w:cs="Times New Roman" w:eastAsia="Times New Roman" w:hAnsi="Times New Roman"/>
          <w:i/>
          <w:iCs/>
          <w:sz w:val="21"/>
          <w:szCs w:val="21"/>
        </w:rPr>
        <w:t xml:space="preserve">Accounting, Organizations and Society, 28</w:t>
      </w:r>
      <w:r>
        <w:rPr>
          <w:rFonts w:ascii="Times New Roman" w:cs="Times New Roman" w:eastAsia="Times New Roman" w:hAnsi="Times New Roman"/>
          <w:sz w:val="21"/>
          <w:szCs w:val="21"/>
        </w:rPr>
        <w:t xml:space="preserve">(2–3), 127–168.</w:t>
      </w:r>
    </w:p>
    <w:p>
      <w:pPr>
        <w:spacing w:after="100" w:line="270"/>
        <w:ind w:left="567" w:hanging="567"/>
      </w:pPr>
      <w:r>
        <w:rPr>
          <w:rFonts w:ascii="Times New Roman" w:cs="Times New Roman" w:eastAsia="Times New Roman" w:hAnsi="Times New Roman"/>
          <w:sz w:val="21"/>
          <w:szCs w:val="21"/>
        </w:rPr>
        <w:t xml:space="preserve">Daanoune, &amp; Tirhzaoui. (n.d.). </w:t>
      </w:r>
      <w:r>
        <w:rPr>
          <w:rFonts w:ascii="Times New Roman" w:cs="Times New Roman" w:eastAsia="Times New Roman" w:hAnsi="Times New Roman"/>
          <w:i/>
          <w:iCs/>
          <w:sz w:val="21"/>
          <w:szCs w:val="21"/>
        </w:rPr>
        <w:t xml:space="preserve">The changes in management control systems of industrial companies in Morocco: An exploratory study</w:t>
      </w:r>
      <w:r>
        <w:rPr>
          <w:rFonts w:ascii="Times New Roman" w:cs="Times New Roman" w:eastAsia="Times New Roman" w:hAnsi="Times New Roman"/>
          <w:sz w:val="21"/>
          <w:szCs w:val="21"/>
        </w:rPr>
        <w:t xml:space="preserve">. HAL working paper. [Authors' initials, year and details to be completed from the original record.]</w:t>
      </w:r>
    </w:p>
    <w:p>
      <w:pPr>
        <w:spacing w:after="100" w:line="270"/>
        <w:ind w:left="567" w:hanging="567"/>
      </w:pPr>
      <w:r>
        <w:rPr>
          <w:rFonts w:ascii="Times New Roman" w:cs="Times New Roman" w:eastAsia="Times New Roman" w:hAnsi="Times New Roman"/>
          <w:sz w:val="21"/>
          <w:szCs w:val="21"/>
        </w:rPr>
        <w:t xml:space="preserve">DiMaggio, P. J., &amp; Powell, W. W. (1983). The iron cage revisited: Institutional isomorphism and collective rationality in organizational fields. </w:t>
      </w:r>
      <w:r>
        <w:rPr>
          <w:rFonts w:ascii="Times New Roman" w:cs="Times New Roman" w:eastAsia="Times New Roman" w:hAnsi="Times New Roman"/>
          <w:i/>
          <w:iCs/>
          <w:sz w:val="21"/>
          <w:szCs w:val="21"/>
        </w:rPr>
        <w:t xml:space="preserve">American Sociological Review, 48</w:t>
      </w:r>
      <w:r>
        <w:rPr>
          <w:rFonts w:ascii="Times New Roman" w:cs="Times New Roman" w:eastAsia="Times New Roman" w:hAnsi="Times New Roman"/>
          <w:sz w:val="21"/>
          <w:szCs w:val="21"/>
        </w:rPr>
        <w:t xml:space="preserve">(2), 147–160.</w:t>
      </w:r>
    </w:p>
    <w:p>
      <w:pPr>
        <w:spacing w:after="100" w:line="270"/>
        <w:ind w:left="567" w:hanging="567"/>
      </w:pPr>
      <w:r>
        <w:rPr>
          <w:rFonts w:ascii="Times New Roman" w:cs="Times New Roman" w:eastAsia="Times New Roman" w:hAnsi="Times New Roman"/>
          <w:sz w:val="21"/>
          <w:szCs w:val="21"/>
        </w:rPr>
        <w:t xml:space="preserve">Donaldson, L. (2001). </w:t>
      </w:r>
      <w:r>
        <w:rPr>
          <w:rFonts w:ascii="Times New Roman" w:cs="Times New Roman" w:eastAsia="Times New Roman" w:hAnsi="Times New Roman"/>
          <w:i/>
          <w:iCs/>
          <w:sz w:val="21"/>
          <w:szCs w:val="21"/>
        </w:rPr>
        <w:t xml:space="preserve">The contingency theory of organizations</w:t>
      </w:r>
      <w:r>
        <w:rPr>
          <w:rFonts w:ascii="Times New Roman" w:cs="Times New Roman" w:eastAsia="Times New Roman" w:hAnsi="Times New Roman"/>
          <w:sz w:val="21"/>
          <w:szCs w:val="21"/>
        </w:rPr>
        <w:t xml:space="preserve">. Sage.</w:t>
      </w:r>
    </w:p>
    <w:p>
      <w:pPr>
        <w:spacing w:after="100" w:line="270"/>
        <w:ind w:left="567" w:hanging="567"/>
      </w:pPr>
      <w:r>
        <w:rPr>
          <w:rFonts w:ascii="Times New Roman" w:cs="Times New Roman" w:eastAsia="Times New Roman" w:hAnsi="Times New Roman"/>
          <w:sz w:val="21"/>
          <w:szCs w:val="21"/>
        </w:rPr>
        <w:t xml:space="preserve">Drazin, R., &amp; Van de Ven, A. H. (1985). Alternative forms of fit in contingency theory. </w:t>
      </w:r>
      <w:r>
        <w:rPr>
          <w:rFonts w:ascii="Times New Roman" w:cs="Times New Roman" w:eastAsia="Times New Roman" w:hAnsi="Times New Roman"/>
          <w:i/>
          <w:iCs/>
          <w:sz w:val="21"/>
          <w:szCs w:val="21"/>
        </w:rPr>
        <w:t xml:space="preserve">Administrative Science Quarterly, 30</w:t>
      </w:r>
      <w:r>
        <w:rPr>
          <w:rFonts w:ascii="Times New Roman" w:cs="Times New Roman" w:eastAsia="Times New Roman" w:hAnsi="Times New Roman"/>
          <w:sz w:val="21"/>
          <w:szCs w:val="21"/>
        </w:rPr>
        <w:t xml:space="preserve">(4), 514–539.</w:t>
      </w:r>
    </w:p>
    <w:p>
      <w:pPr>
        <w:spacing w:after="100" w:line="270"/>
        <w:ind w:left="567" w:hanging="567"/>
      </w:pPr>
      <w:r>
        <w:rPr>
          <w:rFonts w:ascii="Times New Roman" w:cs="Times New Roman" w:eastAsia="Times New Roman" w:hAnsi="Times New Roman"/>
          <w:sz w:val="21"/>
          <w:szCs w:val="21"/>
        </w:rPr>
        <w:t xml:space="preserve">Ferreira, A., &amp; Otley, D. (2009). The design and use of performance management systems: An extended framework for analysis. </w:t>
      </w:r>
      <w:r>
        <w:rPr>
          <w:rFonts w:ascii="Times New Roman" w:cs="Times New Roman" w:eastAsia="Times New Roman" w:hAnsi="Times New Roman"/>
          <w:i/>
          <w:iCs/>
          <w:sz w:val="21"/>
          <w:szCs w:val="21"/>
        </w:rPr>
        <w:t xml:space="preserve">Management Accounting Research, 20</w:t>
      </w:r>
      <w:r>
        <w:rPr>
          <w:rFonts w:ascii="Times New Roman" w:cs="Times New Roman" w:eastAsia="Times New Roman" w:hAnsi="Times New Roman"/>
          <w:sz w:val="21"/>
          <w:szCs w:val="21"/>
        </w:rPr>
        <w:t xml:space="preserve">(4), 263–282. https://doi.org/10.1016/j.mar.2009.07.003</w:t>
      </w:r>
    </w:p>
    <w:p>
      <w:pPr>
        <w:spacing w:after="100" w:line="270"/>
        <w:ind w:left="567" w:hanging="567"/>
      </w:pPr>
      <w:r>
        <w:rPr>
          <w:rFonts w:ascii="Times New Roman" w:cs="Times New Roman" w:eastAsia="Times New Roman" w:hAnsi="Times New Roman"/>
          <w:sz w:val="21"/>
          <w:szCs w:val="21"/>
        </w:rPr>
        <w:t xml:space="preserve">Grabner, I., &amp; Moers, F. (2013). Management control as a system or a package? Conceptual and empirical issues. </w:t>
      </w:r>
      <w:r>
        <w:rPr>
          <w:rFonts w:ascii="Times New Roman" w:cs="Times New Roman" w:eastAsia="Times New Roman" w:hAnsi="Times New Roman"/>
          <w:i/>
          <w:iCs/>
          <w:sz w:val="21"/>
          <w:szCs w:val="21"/>
        </w:rPr>
        <w:t xml:space="preserve">Accounting, Organizations and Society, 38</w:t>
      </w:r>
      <w:r>
        <w:rPr>
          <w:rFonts w:ascii="Times New Roman" w:cs="Times New Roman" w:eastAsia="Times New Roman" w:hAnsi="Times New Roman"/>
          <w:sz w:val="21"/>
          <w:szCs w:val="21"/>
        </w:rPr>
        <w:t xml:space="preserve">(6), 407–419. https://doi.org/10.1016/j.aos.2013.09.002</w:t>
      </w:r>
    </w:p>
    <w:p>
      <w:pPr>
        <w:spacing w:after="100" w:line="270"/>
        <w:ind w:left="567" w:hanging="567"/>
      </w:pPr>
      <w:r>
        <w:rPr>
          <w:rFonts w:ascii="Times New Roman" w:cs="Times New Roman" w:eastAsia="Times New Roman" w:hAnsi="Times New Roman"/>
          <w:sz w:val="21"/>
          <w:szCs w:val="21"/>
        </w:rPr>
        <w:t xml:space="preserve">Hall, P. A., &amp; Soskice, D. (Eds.). (2001). </w:t>
      </w:r>
      <w:r>
        <w:rPr>
          <w:rFonts w:ascii="Times New Roman" w:cs="Times New Roman" w:eastAsia="Times New Roman" w:hAnsi="Times New Roman"/>
          <w:i/>
          <w:iCs/>
          <w:sz w:val="21"/>
          <w:szCs w:val="21"/>
        </w:rPr>
        <w:t xml:space="preserve">Varieties of capitalism: The institutional foundations of comparative advantage</w:t>
      </w:r>
      <w:r>
        <w:rPr>
          <w:rFonts w:ascii="Times New Roman" w:cs="Times New Roman" w:eastAsia="Times New Roman" w:hAnsi="Times New Roman"/>
          <w:sz w:val="21"/>
          <w:szCs w:val="21"/>
        </w:rPr>
        <w:t xml:space="preserve">. Oxford University Press.</w:t>
      </w:r>
    </w:p>
    <w:p>
      <w:pPr>
        <w:spacing w:after="100" w:line="270"/>
        <w:ind w:left="567" w:hanging="567"/>
      </w:pPr>
      <w:r>
        <w:rPr>
          <w:rFonts w:ascii="Times New Roman" w:cs="Times New Roman" w:eastAsia="Times New Roman" w:hAnsi="Times New Roman"/>
          <w:sz w:val="21"/>
          <w:szCs w:val="21"/>
        </w:rPr>
        <w:t xml:space="preserve">Hammouch, Manta, &amp; Palazzo. (2024). Adapting management control systems to organizational contingency factors: A study of Moroccan industrial companies. </w:t>
      </w:r>
      <w:r>
        <w:rPr>
          <w:rFonts w:ascii="Times New Roman" w:cs="Times New Roman" w:eastAsia="Times New Roman" w:hAnsi="Times New Roman"/>
          <w:i/>
          <w:iCs/>
          <w:sz w:val="21"/>
          <w:szCs w:val="21"/>
        </w:rPr>
        <w:t xml:space="preserve">Businesses</w:t>
      </w:r>
      <w:r>
        <w:rPr>
          <w:rFonts w:ascii="Times New Roman" w:cs="Times New Roman" w:eastAsia="Times New Roman" w:hAnsi="Times New Roman"/>
          <w:sz w:val="21"/>
          <w:szCs w:val="21"/>
        </w:rPr>
        <w:t xml:space="preserve">. [Volume and pages to be completed from the original record.]</w:t>
      </w:r>
    </w:p>
    <w:p>
      <w:pPr>
        <w:spacing w:after="100" w:line="270"/>
        <w:ind w:left="567" w:hanging="567"/>
      </w:pPr>
      <w:r>
        <w:rPr>
          <w:rFonts w:ascii="Times New Roman" w:cs="Times New Roman" w:eastAsia="Times New Roman" w:hAnsi="Times New Roman"/>
          <w:sz w:val="21"/>
          <w:szCs w:val="21"/>
        </w:rPr>
        <w:t xml:space="preserve">Harrison, G. L., &amp; McKinnon, J. L. (1999). Cross-cultural research in management control systems design: A review of the current state. </w:t>
      </w:r>
      <w:r>
        <w:rPr>
          <w:rFonts w:ascii="Times New Roman" w:cs="Times New Roman" w:eastAsia="Times New Roman" w:hAnsi="Times New Roman"/>
          <w:i/>
          <w:iCs/>
          <w:sz w:val="21"/>
          <w:szCs w:val="21"/>
        </w:rPr>
        <w:t xml:space="preserve">Accounting, Organizations and Society, 24</w:t>
      </w:r>
      <w:r>
        <w:rPr>
          <w:rFonts w:ascii="Times New Roman" w:cs="Times New Roman" w:eastAsia="Times New Roman" w:hAnsi="Times New Roman"/>
          <w:sz w:val="21"/>
          <w:szCs w:val="21"/>
        </w:rPr>
        <w:t xml:space="preserve">(5–6), 483–506.</w:t>
      </w:r>
    </w:p>
    <w:p>
      <w:pPr>
        <w:spacing w:after="100" w:line="270"/>
        <w:ind w:left="567" w:hanging="567"/>
      </w:pPr>
      <w:r>
        <w:rPr>
          <w:rFonts w:ascii="Times New Roman" w:cs="Times New Roman" w:eastAsia="Times New Roman" w:hAnsi="Times New Roman"/>
          <w:sz w:val="21"/>
          <w:szCs w:val="21"/>
        </w:rPr>
        <w:t xml:space="preserve">Higgins, J. P. T., &amp; Thompson, S. G. (2002). Quantifying heterogeneity in a meta-analysis. </w:t>
      </w:r>
      <w:r>
        <w:rPr>
          <w:rFonts w:ascii="Times New Roman" w:cs="Times New Roman" w:eastAsia="Times New Roman" w:hAnsi="Times New Roman"/>
          <w:i/>
          <w:iCs/>
          <w:sz w:val="21"/>
          <w:szCs w:val="21"/>
        </w:rPr>
        <w:t xml:space="preserve">Statistics in Medicine, 21</w:t>
      </w:r>
      <w:r>
        <w:rPr>
          <w:rFonts w:ascii="Times New Roman" w:cs="Times New Roman" w:eastAsia="Times New Roman" w:hAnsi="Times New Roman"/>
          <w:sz w:val="21"/>
          <w:szCs w:val="21"/>
        </w:rPr>
        <w:t xml:space="preserve">(11), 1539–1558. https://doi.org/10.1002/sim.1186</w:t>
      </w:r>
    </w:p>
    <w:p>
      <w:pPr>
        <w:spacing w:after="100" w:line="270"/>
        <w:ind w:left="567" w:hanging="567"/>
      </w:pPr>
      <w:r>
        <w:rPr>
          <w:rFonts w:ascii="Times New Roman" w:cs="Times New Roman" w:eastAsia="Times New Roman" w:hAnsi="Times New Roman"/>
          <w:sz w:val="21"/>
          <w:szCs w:val="21"/>
        </w:rPr>
        <w:t xml:space="preserve">Holm, S. (1979). A simple sequentially rejective multiple test procedure. </w:t>
      </w:r>
      <w:r>
        <w:rPr>
          <w:rFonts w:ascii="Times New Roman" w:cs="Times New Roman" w:eastAsia="Times New Roman" w:hAnsi="Times New Roman"/>
          <w:i/>
          <w:iCs/>
          <w:sz w:val="21"/>
          <w:szCs w:val="21"/>
        </w:rPr>
        <w:t xml:space="preserve">Scandinavian Journal of Statistics, 6</w:t>
      </w:r>
      <w:r>
        <w:rPr>
          <w:rFonts w:ascii="Times New Roman" w:cs="Times New Roman" w:eastAsia="Times New Roman" w:hAnsi="Times New Roman"/>
          <w:sz w:val="21"/>
          <w:szCs w:val="21"/>
        </w:rPr>
        <w:t xml:space="preserve">(2), 65–70.</w:t>
      </w:r>
    </w:p>
    <w:p>
      <w:pPr>
        <w:spacing w:after="100" w:line="270"/>
        <w:ind w:left="567" w:hanging="567"/>
      </w:pPr>
      <w:r>
        <w:rPr>
          <w:rFonts w:ascii="Times New Roman" w:cs="Times New Roman" w:eastAsia="Times New Roman" w:hAnsi="Times New Roman"/>
          <w:sz w:val="21"/>
          <w:szCs w:val="21"/>
        </w:rPr>
        <w:t xml:space="preserve">Kostova, T. (1999). Transnational transfer of strategic organizational practices: A contextual perspective. </w:t>
      </w:r>
      <w:r>
        <w:rPr>
          <w:rFonts w:ascii="Times New Roman" w:cs="Times New Roman" w:eastAsia="Times New Roman" w:hAnsi="Times New Roman"/>
          <w:i/>
          <w:iCs/>
          <w:sz w:val="21"/>
          <w:szCs w:val="21"/>
        </w:rPr>
        <w:t xml:space="preserve">Academy of Management Review, 24</w:t>
      </w:r>
      <w:r>
        <w:rPr>
          <w:rFonts w:ascii="Times New Roman" w:cs="Times New Roman" w:eastAsia="Times New Roman" w:hAnsi="Times New Roman"/>
          <w:sz w:val="21"/>
          <w:szCs w:val="21"/>
        </w:rPr>
        <w:t xml:space="preserve">(2), 308–324.</w:t>
      </w:r>
    </w:p>
    <w:p>
      <w:pPr>
        <w:spacing w:after="100" w:line="270"/>
        <w:ind w:left="567" w:hanging="567"/>
      </w:pPr>
      <w:r>
        <w:rPr>
          <w:rFonts w:ascii="Times New Roman" w:cs="Times New Roman" w:eastAsia="Times New Roman" w:hAnsi="Times New Roman"/>
          <w:sz w:val="21"/>
          <w:szCs w:val="21"/>
        </w:rPr>
        <w:t xml:space="preserve">Kostova, T., &amp; Roth, K. (2002). Adoption of an organizational practice by subsidiaries of multinational corporations: Institutional and relational effects. </w:t>
      </w:r>
      <w:r>
        <w:rPr>
          <w:rFonts w:ascii="Times New Roman" w:cs="Times New Roman" w:eastAsia="Times New Roman" w:hAnsi="Times New Roman"/>
          <w:i/>
          <w:iCs/>
          <w:sz w:val="21"/>
          <w:szCs w:val="21"/>
        </w:rPr>
        <w:t xml:space="preserve">Academy of Management Journal, 45</w:t>
      </w:r>
      <w:r>
        <w:rPr>
          <w:rFonts w:ascii="Times New Roman" w:cs="Times New Roman" w:eastAsia="Times New Roman" w:hAnsi="Times New Roman"/>
          <w:sz w:val="21"/>
          <w:szCs w:val="21"/>
        </w:rPr>
        <w:t xml:space="preserve">(1), 215–233.</w:t>
      </w:r>
    </w:p>
    <w:p>
      <w:pPr>
        <w:spacing w:after="100" w:line="270"/>
        <w:ind w:left="567" w:hanging="567"/>
      </w:pPr>
      <w:r>
        <w:rPr>
          <w:rFonts w:ascii="Times New Roman" w:cs="Times New Roman" w:eastAsia="Times New Roman" w:hAnsi="Times New Roman"/>
          <w:sz w:val="21"/>
          <w:szCs w:val="21"/>
        </w:rPr>
        <w:t xml:space="preserve">Lawrence, P. R., &amp; Lorsch, J. W. (1967). </w:t>
      </w:r>
      <w:r>
        <w:rPr>
          <w:rFonts w:ascii="Times New Roman" w:cs="Times New Roman" w:eastAsia="Times New Roman" w:hAnsi="Times New Roman"/>
          <w:i/>
          <w:iCs/>
          <w:sz w:val="21"/>
          <w:szCs w:val="21"/>
        </w:rPr>
        <w:t xml:space="preserve">Organization and environment: Managing differentiation and integration</w:t>
      </w:r>
      <w:r>
        <w:rPr>
          <w:rFonts w:ascii="Times New Roman" w:cs="Times New Roman" w:eastAsia="Times New Roman" w:hAnsi="Times New Roman"/>
          <w:sz w:val="21"/>
          <w:szCs w:val="21"/>
        </w:rPr>
        <w:t xml:space="preserve">. Division of Research, Harvard Business School.</w:t>
      </w:r>
    </w:p>
    <w:p>
      <w:pPr>
        <w:spacing w:after="100" w:line="270"/>
        <w:ind w:left="567" w:hanging="567"/>
      </w:pPr>
      <w:r>
        <w:rPr>
          <w:rFonts w:ascii="Times New Roman" w:cs="Times New Roman" w:eastAsia="Times New Roman" w:hAnsi="Times New Roman"/>
          <w:sz w:val="21"/>
          <w:szCs w:val="21"/>
        </w:rPr>
        <w:t xml:space="preserve">Malmi, T., &amp; Brown, D. A. (2008). Management control systems as a package: Opportunities, challenges and research directions. </w:t>
      </w:r>
      <w:r>
        <w:rPr>
          <w:rFonts w:ascii="Times New Roman" w:cs="Times New Roman" w:eastAsia="Times New Roman" w:hAnsi="Times New Roman"/>
          <w:i/>
          <w:iCs/>
          <w:sz w:val="21"/>
          <w:szCs w:val="21"/>
        </w:rPr>
        <w:t xml:space="preserve">Management Accounting Research, 19</w:t>
      </w:r>
      <w:r>
        <w:rPr>
          <w:rFonts w:ascii="Times New Roman" w:cs="Times New Roman" w:eastAsia="Times New Roman" w:hAnsi="Times New Roman"/>
          <w:sz w:val="21"/>
          <w:szCs w:val="21"/>
        </w:rPr>
        <w:t xml:space="preserve">(4), 287–300. https://doi.org/10.1016/j.mar.2008.09.003</w:t>
      </w:r>
    </w:p>
    <w:p>
      <w:pPr>
        <w:spacing w:after="100" w:line="270"/>
        <w:ind w:left="567" w:hanging="567"/>
      </w:pPr>
      <w:r>
        <w:rPr>
          <w:rFonts w:ascii="Times New Roman" w:cs="Times New Roman" w:eastAsia="Times New Roman" w:hAnsi="Times New Roman"/>
          <w:sz w:val="21"/>
          <w:szCs w:val="21"/>
        </w:rPr>
        <w:t xml:space="preserve">McSweeney, B. (2002). Hofstede's model of national cultural differences and their consequences: A triumph of faith – a failure of analysis. </w:t>
      </w:r>
      <w:r>
        <w:rPr>
          <w:rFonts w:ascii="Times New Roman" w:cs="Times New Roman" w:eastAsia="Times New Roman" w:hAnsi="Times New Roman"/>
          <w:i/>
          <w:iCs/>
          <w:sz w:val="21"/>
          <w:szCs w:val="21"/>
        </w:rPr>
        <w:t xml:space="preserve">Human Relations, 55</w:t>
      </w:r>
      <w:r>
        <w:rPr>
          <w:rFonts w:ascii="Times New Roman" w:cs="Times New Roman" w:eastAsia="Times New Roman" w:hAnsi="Times New Roman"/>
          <w:sz w:val="21"/>
          <w:szCs w:val="21"/>
        </w:rPr>
        <w:t xml:space="preserve">(1), 89–118.</w:t>
      </w:r>
    </w:p>
    <w:p>
      <w:pPr>
        <w:spacing w:after="100" w:line="270"/>
        <w:ind w:left="567" w:hanging="567"/>
      </w:pPr>
      <w:r>
        <w:rPr>
          <w:rFonts w:ascii="Times New Roman" w:cs="Times New Roman" w:eastAsia="Times New Roman" w:hAnsi="Times New Roman"/>
          <w:sz w:val="21"/>
          <w:szCs w:val="21"/>
        </w:rPr>
        <w:t xml:space="preserve">Merchant, K. A., &amp; Van der Stede, W. A. (n.d.). </w:t>
      </w:r>
      <w:r>
        <w:rPr>
          <w:rFonts w:ascii="Times New Roman" w:cs="Times New Roman" w:eastAsia="Times New Roman" w:hAnsi="Times New Roman"/>
          <w:i/>
          <w:iCs/>
          <w:sz w:val="21"/>
          <w:szCs w:val="21"/>
        </w:rPr>
        <w:t xml:space="preserve">Management control systems: Performance measurement, evaluation and incentives</w:t>
      </w:r>
      <w:r>
        <w:rPr>
          <w:rFonts w:ascii="Times New Roman" w:cs="Times New Roman" w:eastAsia="Times New Roman" w:hAnsi="Times New Roman"/>
          <w:sz w:val="21"/>
          <w:szCs w:val="21"/>
        </w:rPr>
        <w:t xml:space="preserve">. Pearson. [Edition and year to be specified.]</w:t>
      </w:r>
    </w:p>
    <w:p>
      <w:pPr>
        <w:spacing w:after="100" w:line="270"/>
        <w:ind w:left="567" w:hanging="567"/>
      </w:pPr>
      <w:r>
        <w:rPr>
          <w:rFonts w:ascii="Times New Roman" w:cs="Times New Roman" w:eastAsia="Times New Roman" w:hAnsi="Times New Roman"/>
          <w:sz w:val="21"/>
          <w:szCs w:val="21"/>
        </w:rPr>
        <w:t xml:space="preserve">Meyer, J. W., &amp; Rowan, B. (1977). Institutionalized organizations: Formal structure as myth and ceremony. </w:t>
      </w:r>
      <w:r>
        <w:rPr>
          <w:rFonts w:ascii="Times New Roman" w:cs="Times New Roman" w:eastAsia="Times New Roman" w:hAnsi="Times New Roman"/>
          <w:i/>
          <w:iCs/>
          <w:sz w:val="21"/>
          <w:szCs w:val="21"/>
        </w:rPr>
        <w:t xml:space="preserve">American Journal of Sociology, 83</w:t>
      </w:r>
      <w:r>
        <w:rPr>
          <w:rFonts w:ascii="Times New Roman" w:cs="Times New Roman" w:eastAsia="Times New Roman" w:hAnsi="Times New Roman"/>
          <w:sz w:val="21"/>
          <w:szCs w:val="21"/>
        </w:rPr>
        <w:t xml:space="preserve">(2), 340–363.</w:t>
      </w:r>
    </w:p>
    <w:p>
      <w:pPr>
        <w:spacing w:after="100" w:line="270"/>
        <w:ind w:left="567" w:hanging="567"/>
      </w:pPr>
      <w:r>
        <w:rPr>
          <w:rFonts w:ascii="Times New Roman" w:cs="Times New Roman" w:eastAsia="Times New Roman" w:hAnsi="Times New Roman"/>
          <w:sz w:val="21"/>
          <w:szCs w:val="21"/>
        </w:rPr>
        <w:t xml:space="preserve">Milgrom, P., &amp; Roberts, J. (1995). Complementarities and fit: Strategy, structure, and organizational change in manufacturing. </w:t>
      </w:r>
      <w:r>
        <w:rPr>
          <w:rFonts w:ascii="Times New Roman" w:cs="Times New Roman" w:eastAsia="Times New Roman" w:hAnsi="Times New Roman"/>
          <w:i/>
          <w:iCs/>
          <w:sz w:val="21"/>
          <w:szCs w:val="21"/>
        </w:rPr>
        <w:t xml:space="preserve">Journal of Accounting and Economics, 19</w:t>
      </w:r>
      <w:r>
        <w:rPr>
          <w:rFonts w:ascii="Times New Roman" w:cs="Times New Roman" w:eastAsia="Times New Roman" w:hAnsi="Times New Roman"/>
          <w:sz w:val="21"/>
          <w:szCs w:val="21"/>
        </w:rPr>
        <w:t xml:space="preserve">(2–3), 179–208.</w:t>
      </w:r>
    </w:p>
    <w:p>
      <w:pPr>
        <w:spacing w:after="100" w:line="270"/>
        <w:ind w:left="567" w:hanging="567"/>
      </w:pPr>
      <w:r>
        <w:rPr>
          <w:rFonts w:ascii="Times New Roman" w:cs="Times New Roman" w:eastAsia="Times New Roman" w:hAnsi="Times New Roman"/>
          <w:sz w:val="21"/>
          <w:szCs w:val="21"/>
        </w:rPr>
        <w:t xml:space="preserve">Nadeau, C., &amp; Bengio, Y. (2003). Inference for the generalization error. </w:t>
      </w:r>
      <w:r>
        <w:rPr>
          <w:rFonts w:ascii="Times New Roman" w:cs="Times New Roman" w:eastAsia="Times New Roman" w:hAnsi="Times New Roman"/>
          <w:i/>
          <w:iCs/>
          <w:sz w:val="21"/>
          <w:szCs w:val="21"/>
        </w:rPr>
        <w:t xml:space="preserve">Machine Learning, 52</w:t>
      </w:r>
      <w:r>
        <w:rPr>
          <w:rFonts w:ascii="Times New Roman" w:cs="Times New Roman" w:eastAsia="Times New Roman" w:hAnsi="Times New Roman"/>
          <w:sz w:val="21"/>
          <w:szCs w:val="21"/>
        </w:rPr>
        <w:t xml:space="preserve">. [Pages to be verified against the original record.]</w:t>
      </w:r>
    </w:p>
    <w:p>
      <w:pPr>
        <w:spacing w:after="100" w:line="270"/>
        <w:ind w:left="567" w:hanging="567"/>
      </w:pPr>
      <w:r>
        <w:rPr>
          <w:rFonts w:ascii="Times New Roman" w:cs="Times New Roman" w:eastAsia="Times New Roman" w:hAnsi="Times New Roman"/>
          <w:sz w:val="21"/>
          <w:szCs w:val="21"/>
        </w:rPr>
        <w:t xml:space="preserve">Nielsen, S. (2022). Management accounting and the concepts of exploratory data analysis and unsupervised machine learning: A literature study and future directions. </w:t>
      </w:r>
      <w:r>
        <w:rPr>
          <w:rFonts w:ascii="Times New Roman" w:cs="Times New Roman" w:eastAsia="Times New Roman" w:hAnsi="Times New Roman"/>
          <w:i/>
          <w:iCs/>
          <w:sz w:val="21"/>
          <w:szCs w:val="21"/>
        </w:rPr>
        <w:t xml:space="preserve">Journal of Accounting &amp; Organizational Change, 18</w:t>
      </w:r>
      <w:r>
        <w:rPr>
          <w:rFonts w:ascii="Times New Roman" w:cs="Times New Roman" w:eastAsia="Times New Roman" w:hAnsi="Times New Roman"/>
          <w:sz w:val="21"/>
          <w:szCs w:val="21"/>
        </w:rPr>
        <w:t xml:space="preserve">(5), 811–853.</w:t>
      </w:r>
    </w:p>
    <w:p>
      <w:pPr>
        <w:spacing w:after="100" w:line="270"/>
        <w:ind w:left="567" w:hanging="567"/>
      </w:pPr>
      <w:r>
        <w:rPr>
          <w:rFonts w:ascii="Times New Roman" w:cs="Times New Roman" w:eastAsia="Times New Roman" w:hAnsi="Times New Roman"/>
          <w:sz w:val="21"/>
          <w:szCs w:val="21"/>
        </w:rPr>
        <w:t xml:space="preserve">Otley, D. (1999). Performance management: A framework for management control systems research. </w:t>
      </w:r>
      <w:r>
        <w:rPr>
          <w:rFonts w:ascii="Times New Roman" w:cs="Times New Roman" w:eastAsia="Times New Roman" w:hAnsi="Times New Roman"/>
          <w:i/>
          <w:iCs/>
          <w:sz w:val="21"/>
          <w:szCs w:val="21"/>
        </w:rPr>
        <w:t xml:space="preserve">Management Accounting Research, 10</w:t>
      </w:r>
      <w:r>
        <w:rPr>
          <w:rFonts w:ascii="Times New Roman" w:cs="Times New Roman" w:eastAsia="Times New Roman" w:hAnsi="Times New Roman"/>
          <w:sz w:val="21"/>
          <w:szCs w:val="21"/>
        </w:rPr>
        <w:t xml:space="preserve">(4), 363–382.</w:t>
      </w:r>
    </w:p>
    <w:p>
      <w:pPr>
        <w:spacing w:after="100" w:line="270"/>
        <w:ind w:left="567" w:hanging="567"/>
      </w:pPr>
      <w:r>
        <w:rPr>
          <w:rFonts w:ascii="Times New Roman" w:cs="Times New Roman" w:eastAsia="Times New Roman" w:hAnsi="Times New Roman"/>
          <w:sz w:val="21"/>
          <w:szCs w:val="21"/>
        </w:rPr>
        <w:t xml:space="preserve">Otley, D. (2016). The contingency theory of management accounting and control: 1980–2014. </w:t>
      </w:r>
      <w:r>
        <w:rPr>
          <w:rFonts w:ascii="Times New Roman" w:cs="Times New Roman" w:eastAsia="Times New Roman" w:hAnsi="Times New Roman"/>
          <w:i/>
          <w:iCs/>
          <w:sz w:val="21"/>
          <w:szCs w:val="21"/>
        </w:rPr>
        <w:t xml:space="preserve">Management Accounting Research, 31</w:t>
      </w:r>
      <w:r>
        <w:rPr>
          <w:rFonts w:ascii="Times New Roman" w:cs="Times New Roman" w:eastAsia="Times New Roman" w:hAnsi="Times New Roman"/>
          <w:sz w:val="21"/>
          <w:szCs w:val="21"/>
        </w:rPr>
        <w:t xml:space="preserve">, 45–62.</w:t>
      </w:r>
    </w:p>
    <w:p>
      <w:pPr>
        <w:spacing w:after="100" w:line="270"/>
        <w:ind w:left="567" w:hanging="567"/>
      </w:pPr>
      <w:r>
        <w:rPr>
          <w:rFonts w:ascii="Times New Roman" w:cs="Times New Roman" w:eastAsia="Times New Roman" w:hAnsi="Times New Roman"/>
          <w:sz w:val="21"/>
          <w:szCs w:val="21"/>
        </w:rPr>
        <w:t xml:space="preserve">Simons, R. (1995). </w:t>
      </w:r>
      <w:r>
        <w:rPr>
          <w:rFonts w:ascii="Times New Roman" w:cs="Times New Roman" w:eastAsia="Times New Roman" w:hAnsi="Times New Roman"/>
          <w:i/>
          <w:iCs/>
          <w:sz w:val="21"/>
          <w:szCs w:val="21"/>
        </w:rPr>
        <w:t xml:space="preserve">Levers of control: How managers use innovative control systems to drive strategic renewal</w:t>
      </w:r>
      <w:r>
        <w:rPr>
          <w:rFonts w:ascii="Times New Roman" w:cs="Times New Roman" w:eastAsia="Times New Roman" w:hAnsi="Times New Roman"/>
          <w:sz w:val="21"/>
          <w:szCs w:val="21"/>
        </w:rPr>
        <w:t xml:space="preserve">. Harvard Business School Press.</w:t>
      </w:r>
    </w:p>
    <w:p>
      <w:pPr>
        <w:spacing w:after="100" w:line="270"/>
        <w:ind w:left="567" w:hanging="567"/>
      </w:pPr>
      <w:r>
        <w:rPr>
          <w:rFonts w:ascii="Times New Roman" w:cs="Times New Roman" w:eastAsia="Times New Roman" w:hAnsi="Times New Roman"/>
          <w:sz w:val="21"/>
          <w:szCs w:val="21"/>
        </w:rPr>
        <w:t xml:space="preserve">Teece, D. J. (2007). Explicating dynamic capabilities: The nature and microfoundations of (sustainable) enterprise performance. </w:t>
      </w:r>
      <w:r>
        <w:rPr>
          <w:rFonts w:ascii="Times New Roman" w:cs="Times New Roman" w:eastAsia="Times New Roman" w:hAnsi="Times New Roman"/>
          <w:i/>
          <w:iCs/>
          <w:sz w:val="21"/>
          <w:szCs w:val="21"/>
        </w:rPr>
        <w:t xml:space="preserve">Strategic Management Journal, 28</w:t>
      </w:r>
      <w:r>
        <w:rPr>
          <w:rFonts w:ascii="Times New Roman" w:cs="Times New Roman" w:eastAsia="Times New Roman" w:hAnsi="Times New Roman"/>
          <w:sz w:val="21"/>
          <w:szCs w:val="21"/>
        </w:rPr>
        <w:t xml:space="preserve">(13), 1319–1350. https://doi.org/10.1002/smj.640</w:t>
      </w:r>
    </w:p>
    <w:p>
      <w:pPr>
        <w:spacing w:after="100" w:line="270"/>
        <w:ind w:left="567" w:hanging="567"/>
      </w:pPr>
      <w:r>
        <w:rPr>
          <w:rFonts w:ascii="Times New Roman" w:cs="Times New Roman" w:eastAsia="Times New Roman" w:hAnsi="Times New Roman"/>
          <w:sz w:val="21"/>
          <w:szCs w:val="21"/>
        </w:rPr>
        <w:t xml:space="preserve">Tessier, S., &amp; Otley, D. (2012). A conceptual development of Simons' Levers of Control framework. </w:t>
      </w:r>
      <w:r>
        <w:rPr>
          <w:rFonts w:ascii="Times New Roman" w:cs="Times New Roman" w:eastAsia="Times New Roman" w:hAnsi="Times New Roman"/>
          <w:i/>
          <w:iCs/>
          <w:sz w:val="21"/>
          <w:szCs w:val="21"/>
        </w:rPr>
        <w:t xml:space="preserve">Management Accounting Research, 23</w:t>
      </w:r>
      <w:r>
        <w:rPr>
          <w:rFonts w:ascii="Times New Roman" w:cs="Times New Roman" w:eastAsia="Times New Roman" w:hAnsi="Times New Roman"/>
          <w:sz w:val="21"/>
          <w:szCs w:val="21"/>
        </w:rPr>
        <w:t xml:space="preserve">(3), 171–185.</w:t>
      </w:r>
    </w:p>
    <w:p>
      <w:pPr>
        <w:spacing w:after="100" w:line="270"/>
        <w:ind w:left="567" w:hanging="567"/>
      </w:pPr>
      <w:r>
        <w:rPr>
          <w:rFonts w:ascii="Times New Roman" w:cs="Times New Roman" w:eastAsia="Times New Roman" w:hAnsi="Times New Roman"/>
          <w:sz w:val="21"/>
          <w:szCs w:val="21"/>
        </w:rPr>
        <w:t xml:space="preserve">Zbaracki, M. J. (1998). The rhetoric and reality of total quality management. </w:t>
      </w:r>
      <w:r>
        <w:rPr>
          <w:rFonts w:ascii="Times New Roman" w:cs="Times New Roman" w:eastAsia="Times New Roman" w:hAnsi="Times New Roman"/>
          <w:i/>
          <w:iCs/>
          <w:sz w:val="21"/>
          <w:szCs w:val="21"/>
        </w:rPr>
        <w:t xml:space="preserve">Administrative Science Quarterly, 43</w:t>
      </w:r>
      <w:r>
        <w:rPr>
          <w:rFonts w:ascii="Times New Roman" w:cs="Times New Roman" w:eastAsia="Times New Roman" w:hAnsi="Times New Roman"/>
          <w:sz w:val="21"/>
          <w:szCs w:val="21"/>
        </w:rPr>
        <w:t xml:space="preserve">, 602–636.</w:t>
      </w:r>
    </w:p>
    <w:p>
      <w:pPr>
        <w:pStyle w:val="Heading1"/>
        <w:spacing w:after="160" w:before="360"/>
      </w:pPr>
      <w:r>
        <w:rPr>
          <w:rFonts w:ascii="Times New Roman" w:cs="Times New Roman" w:eastAsia="Times New Roman" w:hAnsi="Times New Roman"/>
          <w:b/>
          <w:bCs/>
          <w:sz w:val="28"/>
          <w:szCs w:val="28"/>
        </w:rPr>
        <w:t xml:space="preserve">Appendix A. Management control frameworks in a common notation</w:t>
      </w:r>
    </w:p>
    <w:p>
      <w:pPr>
        <w:spacing w:after="120" w:line="300"/>
        <w:jc w:val="both"/>
      </w:pPr>
      <w:r>
        <w:rPr>
          <w:rFonts w:ascii="Times New Roman" w:cs="Times New Roman" w:eastAsia="Times New Roman" w:hAnsi="Times New Roman"/>
        </w:rPr>
        <w:t xml:space="preserve">The appendix records how the control frameworks used in Section 2.2 can be written in a common notation and what WBES observes of each. It is interpretive and does not define the aim of the analysis.</w:t>
      </w:r>
    </w:p>
    <w:p>
      <w:pPr>
        <w:spacing w:after="200" w:before="60"/>
        <w:jc w:val="left"/>
      </w:pPr>
      <w:r>
        <w:rPr>
          <w:rFonts w:ascii="Times New Roman" w:cs="Times New Roman" w:eastAsia="Times New Roman" w:hAnsi="Times New Roman"/>
          <w:b/>
          <w:bCs/>
          <w:sz w:val="20"/>
          <w:szCs w:val="20"/>
        </w:rPr>
        <w:t xml:space="preserve">Table A1.</w:t>
      </w:r>
      <w:r>
        <w:rPr>
          <w:rFonts w:ascii="Times New Roman" w:cs="Times New Roman" w:eastAsia="Times New Roman" w:hAnsi="Times New Roman"/>
          <w:sz w:val="20"/>
          <w:szCs w:val="20"/>
        </w:rPr>
        <w:t xml:space="preserve"> Management control frameworks in a common notation and their observability in WBES (appendix; interpretive).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200"/>
      </w:tblGrid>
      <w:tr>
        <w:trPr>
          <w:tblHeader/>
        </w:trPr>
        <w:tc>
          <w:tcPr>
            <w:tcW w:type="dxa" w:w="2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Framework</w:t>
            </w:r>
          </w:p>
        </w:tc>
        <w:tc>
          <w:tcPr>
            <w:tcW w:type="dxa" w:w="4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Specification (our notation)</w:t>
            </w:r>
          </w:p>
        </w:tc>
        <w:tc>
          <w:tcPr>
            <w:tcW w:type="dxa" w:w="2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WBES observability</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Malmi &amp; Brown (2008)</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x_ij = λ_jk C_ik + ε_ij (items j, control type k, firm i); package = joint distribution of (C_i1..C_i5); configuration = region of that space; Performance_i = f(C_i)</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WBES covers cybernetic and reward only</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Simons (1995); Tessier &amp; Otley (2012)</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x_ij = λ_jk S_ik + μ_jk U_ik; U_ik ∈ {diagnostic, interactive}; effects depend on U (interaction), not on presence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Use not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Otley (1999); Ferreira &amp; Otley (2009)</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Performance management system as a set of areas A1..A5 (objectives, strategies and plans, targets, rewards, information flows); coherence across areas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Targets, rewards, information flows partly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Merchant &amp; Van der Stede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Results, action, personnel, cultural controls; tightness of each</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Results controls observed; others weakly or not</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Ouchi (1979)</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Mechanism choice determined by ability to measure outputs/behaviours and goal congruence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Output measurement partly; congruence not observed</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Grabner &amp; Moers (2013)</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System = package + internal consistency (formal definition per abstract)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identifiable from presence</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Bloom &amp; Van Reenen (2007)</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Score_i = Σ_j s_ij (monitoring, targets, incentives); Productivity = f(Score)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Direct counterpart of WBES module</w:t>
            </w:r>
          </w:p>
        </w:tc>
      </w:tr>
      <w:t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Contingency (Chenhall, 2003; Otley, 2016)</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Effect = β + δ'Context (interaction/fit)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Organisational context partly observed; national institutions not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2f4d7323e6bfd9a10fbbc8c980ceb69f5754e3.png"/><Relationship Id="rId9" Type="http://schemas.openxmlformats.org/officeDocument/2006/relationships/image" Target="media/55300933186e4b2e8e8b051991acf8718eb8a3ef.png"/><Relationship Id="rId10" Type="http://schemas.openxmlformats.org/officeDocument/2006/relationships/image" Target="media/36088d516f60889d17c4df5277df08277329e0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Targets and Incentives as Control Mechanisms: Individual, Joint and Cross-Country Associations with Performance in Seven Advanced Economies</dc:title>
  <dc:creator>Research team</dc:creator>
  <cp:lastModifiedBy>Un-named</cp:lastModifiedBy>
  <cp:revision>1</cp:revision>
  <dcterms:created xsi:type="dcterms:W3CDTF">2026-10-22T12:17:49.473Z</dcterms:created>
  <dcterms:modified xsi:type="dcterms:W3CDTF">2026-10-22T12:17:49.483Z</dcterms:modified>
</cp:coreProperties>
</file>

<file path=docProps/custom.xml><?xml version="1.0" encoding="utf-8"?>
<Properties xmlns="http://schemas.openxmlformats.org/officeDocument/2006/custom-properties" xmlns:vt="http://schemas.openxmlformats.org/officeDocument/2006/docPropsVTypes"/>
</file>