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A4" w:rsidRDefault="001457A4">
      <w:pPr>
        <w:rPr>
          <w:b/>
          <w:bCs/>
          <w:sz w:val="36"/>
        </w:rPr>
      </w:pPr>
    </w:p>
    <w:p w:rsidR="001457A4" w:rsidRDefault="001457A4" w:rsidP="00287ACB">
      <w:pPr>
        <w:spacing w:beforeLines="400" w:before="1248"/>
        <w:ind w:firstLineChars="50" w:firstLine="361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bCs/>
          <w:sz w:val="72"/>
          <w:szCs w:val="72"/>
        </w:rPr>
        <w:t>交</w:t>
      </w:r>
      <w:r>
        <w:rPr>
          <w:rFonts w:eastAsia="黑体"/>
          <w:b/>
          <w:bCs/>
          <w:sz w:val="72"/>
          <w:szCs w:val="72"/>
        </w:rPr>
        <w:t xml:space="preserve"> </w:t>
      </w:r>
      <w:r>
        <w:rPr>
          <w:rFonts w:eastAsia="黑体" w:hint="eastAsia"/>
          <w:b/>
          <w:bCs/>
          <w:sz w:val="72"/>
          <w:szCs w:val="72"/>
        </w:rPr>
        <w:t>易</w:t>
      </w:r>
      <w:r>
        <w:rPr>
          <w:rFonts w:eastAsia="黑体"/>
          <w:b/>
          <w:bCs/>
          <w:sz w:val="72"/>
          <w:szCs w:val="72"/>
        </w:rPr>
        <w:t xml:space="preserve"> </w:t>
      </w:r>
      <w:r>
        <w:rPr>
          <w:rFonts w:eastAsia="黑体" w:hint="eastAsia"/>
          <w:b/>
          <w:bCs/>
          <w:sz w:val="72"/>
          <w:szCs w:val="72"/>
        </w:rPr>
        <w:t>策</w:t>
      </w:r>
      <w:r>
        <w:rPr>
          <w:rFonts w:eastAsia="黑体"/>
          <w:b/>
          <w:bCs/>
          <w:sz w:val="72"/>
          <w:szCs w:val="72"/>
        </w:rPr>
        <w:t xml:space="preserve"> </w:t>
      </w:r>
      <w:r>
        <w:rPr>
          <w:rFonts w:eastAsia="黑体" w:hint="eastAsia"/>
          <w:b/>
          <w:bCs/>
          <w:sz w:val="72"/>
          <w:szCs w:val="72"/>
        </w:rPr>
        <w:t>略</w:t>
      </w:r>
      <w:r>
        <w:rPr>
          <w:rFonts w:eastAsia="黑体"/>
          <w:b/>
          <w:bCs/>
          <w:sz w:val="72"/>
          <w:szCs w:val="72"/>
        </w:rPr>
        <w:t xml:space="preserve"> </w:t>
      </w:r>
      <w:proofErr w:type="gramStart"/>
      <w:r>
        <w:rPr>
          <w:rFonts w:eastAsia="黑体" w:hint="eastAsia"/>
          <w:b/>
          <w:bCs/>
          <w:sz w:val="72"/>
          <w:szCs w:val="72"/>
        </w:rPr>
        <w:t>研</w:t>
      </w:r>
      <w:proofErr w:type="gramEnd"/>
      <w:r>
        <w:rPr>
          <w:rFonts w:eastAsia="黑体"/>
          <w:b/>
          <w:bCs/>
          <w:sz w:val="72"/>
          <w:szCs w:val="72"/>
        </w:rPr>
        <w:t xml:space="preserve"> </w:t>
      </w:r>
      <w:r>
        <w:rPr>
          <w:rFonts w:eastAsia="黑体" w:hint="eastAsia"/>
          <w:b/>
          <w:bCs/>
          <w:sz w:val="72"/>
          <w:szCs w:val="72"/>
        </w:rPr>
        <w:t>究</w:t>
      </w:r>
      <w:r>
        <w:rPr>
          <w:rFonts w:eastAsia="黑体"/>
          <w:b/>
          <w:bCs/>
          <w:sz w:val="72"/>
          <w:szCs w:val="72"/>
        </w:rPr>
        <w:t>（</w:t>
      </w:r>
      <w:r>
        <w:rPr>
          <w:rFonts w:eastAsia="黑体" w:hint="eastAsia"/>
          <w:b/>
          <w:bCs/>
          <w:sz w:val="72"/>
          <w:szCs w:val="72"/>
        </w:rPr>
        <w:t>报告</w:t>
      </w:r>
      <w:r>
        <w:rPr>
          <w:rFonts w:eastAsia="黑体"/>
          <w:b/>
          <w:bCs/>
          <w:sz w:val="72"/>
          <w:szCs w:val="72"/>
        </w:rPr>
        <w:t>）</w:t>
      </w:r>
    </w:p>
    <w:p w:rsidR="001457A4" w:rsidRDefault="001457A4">
      <w:pPr>
        <w:jc w:val="center"/>
        <w:rPr>
          <w:sz w:val="36"/>
        </w:rPr>
      </w:pPr>
    </w:p>
    <w:p w:rsidR="001457A4" w:rsidRDefault="001457A4">
      <w:pPr>
        <w:jc w:val="center"/>
        <w:rPr>
          <w:sz w:val="36"/>
        </w:rPr>
      </w:pPr>
    </w:p>
    <w:p w:rsidR="001457A4" w:rsidRDefault="001457A4">
      <w:pPr>
        <w:pStyle w:val="aa"/>
        <w:tabs>
          <w:tab w:val="left" w:pos="7740"/>
        </w:tabs>
        <w:spacing w:line="240" w:lineRule="auto"/>
        <w:ind w:right="85" w:firstLineChars="150" w:firstLine="540"/>
        <w:rPr>
          <w:rFonts w:ascii="Times New Roman" w:eastAsia="黑体" w:hAnsi="Times New Roman"/>
          <w:bCs w:val="0"/>
          <w:sz w:val="36"/>
          <w:szCs w:val="36"/>
        </w:rPr>
      </w:pPr>
      <w:r>
        <w:rPr>
          <w:rFonts w:ascii="Times New Roman" w:eastAsia="黑体" w:hAnsi="Times New Roman"/>
          <w:bCs w:val="0"/>
          <w:sz w:val="36"/>
          <w:szCs w:val="36"/>
        </w:rPr>
        <w:t>题</w:t>
      </w:r>
      <w:r>
        <w:rPr>
          <w:rFonts w:ascii="Times New Roman" w:eastAsia="黑体" w:hAnsi="Times New Roman"/>
          <w:bCs w:val="0"/>
          <w:sz w:val="36"/>
          <w:szCs w:val="36"/>
        </w:rPr>
        <w:t xml:space="preserve">  </w:t>
      </w:r>
      <w:r>
        <w:rPr>
          <w:rFonts w:ascii="Times New Roman" w:eastAsia="黑体" w:hAnsi="Times New Roman"/>
          <w:bCs w:val="0"/>
          <w:sz w:val="36"/>
          <w:szCs w:val="36"/>
        </w:rPr>
        <w:t>目：</w:t>
      </w:r>
      <w:r w:rsidR="00D57ED3">
        <w:rPr>
          <w:rFonts w:ascii="Times New Roman" w:eastAsia="黑体" w:hAnsi="Times New Roman" w:hint="eastAsia"/>
          <w:bCs w:val="0"/>
          <w:sz w:val="36"/>
          <w:szCs w:val="36"/>
        </w:rPr>
        <w:t>R</w:t>
      </w:r>
      <w:r>
        <w:rPr>
          <w:rFonts w:ascii="Times New Roman" w:eastAsia="黑体" w:hAnsi="Times New Roman" w:hint="eastAsia"/>
          <w:bCs w:val="0"/>
          <w:sz w:val="36"/>
          <w:szCs w:val="36"/>
        </w:rPr>
        <w:t>策略研究</w:t>
      </w:r>
    </w:p>
    <w:p w:rsidR="001457A4" w:rsidRDefault="001457A4">
      <w:pPr>
        <w:pStyle w:val="aa"/>
        <w:tabs>
          <w:tab w:val="left" w:pos="7740"/>
        </w:tabs>
        <w:spacing w:line="240" w:lineRule="auto"/>
        <w:ind w:firstLineChars="0" w:firstLine="0"/>
        <w:jc w:val="right"/>
        <w:rPr>
          <w:rFonts w:ascii="Times New Roman" w:eastAsia="黑体" w:hAnsi="Times New Roman"/>
          <w:bCs w:val="0"/>
          <w:sz w:val="36"/>
          <w:szCs w:val="36"/>
        </w:rPr>
      </w:pPr>
    </w:p>
    <w:p w:rsidR="001457A4" w:rsidRDefault="001457A4">
      <w:pPr>
        <w:jc w:val="center"/>
        <w:rPr>
          <w:rFonts w:eastAsia="黑体"/>
          <w:sz w:val="48"/>
          <w:szCs w:val="48"/>
        </w:rPr>
      </w:pPr>
    </w:p>
    <w:p w:rsidR="001457A4" w:rsidRDefault="001457A4">
      <w:pPr>
        <w:jc w:val="center"/>
        <w:rPr>
          <w:sz w:val="32"/>
          <w:szCs w:val="48"/>
          <w:u w:val="single"/>
        </w:rPr>
      </w:pPr>
    </w:p>
    <w:p w:rsidR="001457A4" w:rsidRDefault="001457A4">
      <w:pPr>
        <w:jc w:val="center"/>
        <w:rPr>
          <w:sz w:val="32"/>
          <w:szCs w:val="48"/>
          <w:u w:val="single"/>
        </w:rPr>
      </w:pPr>
    </w:p>
    <w:p w:rsidR="001457A4" w:rsidRDefault="001457A4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学生姓名：张恩赐</w:t>
      </w:r>
    </w:p>
    <w:p w:rsidR="001457A4" w:rsidRDefault="001457A4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    号：20150401</w:t>
      </w:r>
    </w:p>
    <w:p w:rsidR="001457A4" w:rsidRDefault="001457A4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专业班级：火星1班</w:t>
      </w:r>
    </w:p>
    <w:p w:rsidR="001457A4" w:rsidRDefault="001457A4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指导教师：张Sir</w:t>
      </w:r>
    </w:p>
    <w:p w:rsidR="001457A4" w:rsidRDefault="001457A4">
      <w:pPr>
        <w:spacing w:line="800" w:lineRule="exact"/>
        <w:ind w:firstLineChars="600" w:firstLine="1920"/>
        <w:jc w:val="left"/>
        <w:rPr>
          <w:rFonts w:eastAsia="仿宋_GB2312"/>
          <w:sz w:val="32"/>
        </w:rPr>
      </w:pPr>
    </w:p>
    <w:p w:rsidR="001457A4" w:rsidRDefault="001457A4">
      <w:pPr>
        <w:spacing w:line="800" w:lineRule="exact"/>
        <w:ind w:firstLineChars="600" w:firstLine="1920"/>
        <w:jc w:val="left"/>
        <w:rPr>
          <w:rFonts w:eastAsia="仿宋_GB2312"/>
          <w:sz w:val="32"/>
        </w:rPr>
      </w:pPr>
    </w:p>
    <w:p w:rsidR="001457A4" w:rsidRDefault="001457A4">
      <w:pPr>
        <w:spacing w:beforeLines="50" w:before="156" w:afterLines="50" w:after="156" w:line="360" w:lineRule="auto"/>
        <w:jc w:val="center"/>
        <w:rPr>
          <w:rFonts w:ascii="仿宋_GB2312" w:eastAsia="仿宋_GB2312"/>
          <w:sz w:val="32"/>
        </w:rPr>
        <w:sectPr w:rsidR="001457A4" w:rsidSect="00186520">
          <w:footerReference w:type="default" r:id="rId7"/>
          <w:headerReference w:type="firs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_GB2312" w:eastAsia="仿宋_GB2312" w:hint="eastAsia"/>
          <w:sz w:val="32"/>
        </w:rPr>
        <w:t xml:space="preserve">2019年 </w:t>
      </w:r>
      <w:r w:rsidR="00AC6149">
        <w:rPr>
          <w:rFonts w:ascii="仿宋_GB2312" w:eastAsia="仿宋_GB2312" w:hint="eastAsia"/>
          <w:sz w:val="32"/>
        </w:rPr>
        <w:t>4</w:t>
      </w:r>
      <w:r>
        <w:rPr>
          <w:rFonts w:ascii="仿宋_GB2312" w:eastAsia="仿宋_GB2312" w:hint="eastAsia"/>
          <w:sz w:val="32"/>
        </w:rPr>
        <w:t>月</w:t>
      </w:r>
      <w:r w:rsidR="00AC6149">
        <w:rPr>
          <w:rFonts w:ascii="仿宋_GB2312" w:eastAsia="仿宋_GB2312" w:hint="eastAsia"/>
          <w:sz w:val="32"/>
        </w:rPr>
        <w:t>17</w:t>
      </w:r>
      <w:r>
        <w:rPr>
          <w:rFonts w:ascii="仿宋_GB2312" w:eastAsia="仿宋_GB2312" w:hint="eastAsia"/>
          <w:sz w:val="32"/>
        </w:rPr>
        <w:t>日</w:t>
      </w:r>
    </w:p>
    <w:p w:rsidR="001457A4" w:rsidRDefault="001457A4">
      <w:pPr>
        <w:pStyle w:val="1"/>
        <w:spacing w:beforeLines="50" w:before="156" w:afterLines="50" w:after="156"/>
        <w:rPr>
          <w:rFonts w:eastAsia="黑体"/>
          <w:b w:val="0"/>
          <w:sz w:val="32"/>
        </w:rPr>
      </w:pPr>
      <w:bookmarkStart w:id="0" w:name="_Toc345138880"/>
      <w:bookmarkStart w:id="1" w:name="_Toc20254"/>
      <w:r>
        <w:rPr>
          <w:rFonts w:eastAsia="黑体"/>
          <w:b w:val="0"/>
          <w:sz w:val="32"/>
        </w:rPr>
        <w:lastRenderedPageBreak/>
        <w:t>第</w:t>
      </w:r>
      <w:r>
        <w:rPr>
          <w:rFonts w:eastAsia="黑体" w:hint="eastAsia"/>
          <w:b w:val="0"/>
          <w:sz w:val="32"/>
        </w:rPr>
        <w:t>1</w:t>
      </w:r>
      <w:r>
        <w:rPr>
          <w:rFonts w:eastAsia="黑体"/>
          <w:b w:val="0"/>
          <w:sz w:val="32"/>
        </w:rPr>
        <w:t>章</w:t>
      </w:r>
      <w:r>
        <w:rPr>
          <w:rFonts w:eastAsia="黑体"/>
          <w:b w:val="0"/>
          <w:sz w:val="32"/>
        </w:rPr>
        <w:t xml:space="preserve">  </w:t>
      </w:r>
      <w:r>
        <w:rPr>
          <w:rFonts w:eastAsia="黑体"/>
          <w:b w:val="0"/>
          <w:sz w:val="32"/>
        </w:rPr>
        <w:t>引言</w:t>
      </w:r>
      <w:bookmarkEnd w:id="0"/>
      <w:bookmarkEnd w:id="1"/>
    </w:p>
    <w:p w:rsidR="001457A4" w:rsidRDefault="001457A4"/>
    <w:p w:rsidR="001457A4" w:rsidRDefault="00287AC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The</w:t>
      </w:r>
      <w:r>
        <w:rPr>
          <w:sz w:val="24"/>
        </w:rPr>
        <w:t>S</w:t>
      </w:r>
      <w:r>
        <w:rPr>
          <w:rFonts w:hint="eastAsia"/>
          <w:sz w:val="24"/>
        </w:rPr>
        <w:t>econd</w:t>
      </w:r>
      <w:r>
        <w:rPr>
          <w:sz w:val="24"/>
        </w:rPr>
        <w:t>Element</w:t>
      </w:r>
      <w:r>
        <w:rPr>
          <w:rFonts w:hint="eastAsia"/>
          <w:sz w:val="24"/>
        </w:rPr>
        <w:t>文件中，我们已经找到了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产品的</w:t>
      </w:r>
      <w:r>
        <w:rPr>
          <w:rFonts w:hint="eastAsia"/>
          <w:sz w:val="24"/>
        </w:rPr>
        <w:t>1</w:t>
      </w:r>
      <w:r>
        <w:rPr>
          <w:sz w:val="24"/>
        </w:rPr>
        <w:t>H</w:t>
      </w:r>
      <w:r>
        <w:rPr>
          <w:rFonts w:hint="eastAsia"/>
          <w:sz w:val="24"/>
        </w:rPr>
        <w:t>图下可以盈利的交易策略，但是关于这个策略的一些问题我们还没有答案，第一个问题为：</w:t>
      </w:r>
      <w:r w:rsidR="00404431">
        <w:rPr>
          <w:rFonts w:hint="eastAsia"/>
          <w:sz w:val="24"/>
        </w:rPr>
        <w:t>这个策略能否适用于</w:t>
      </w:r>
      <w:r w:rsidR="00404431">
        <w:rPr>
          <w:rFonts w:hint="eastAsia"/>
          <w:sz w:val="24"/>
        </w:rPr>
        <w:t>X</w:t>
      </w:r>
      <w:r w:rsidR="00404431">
        <w:rPr>
          <w:sz w:val="24"/>
        </w:rPr>
        <w:t>AUUSD</w:t>
      </w:r>
      <w:r w:rsidR="00404431">
        <w:rPr>
          <w:rFonts w:hint="eastAsia"/>
          <w:sz w:val="24"/>
        </w:rPr>
        <w:t>的其他时间周期</w:t>
      </w:r>
      <w:r>
        <w:rPr>
          <w:rFonts w:hint="eastAsia"/>
          <w:sz w:val="24"/>
        </w:rPr>
        <w:t>？第二个问题：</w:t>
      </w:r>
      <w:r w:rsidR="00404431">
        <w:rPr>
          <w:rFonts w:hint="eastAsia"/>
          <w:sz w:val="24"/>
        </w:rPr>
        <w:t>这个策略能否适用于其他的交易产品？第三个问题：能否通过资金管理使一些无收益的年份也有一定的收益？本篇文章通过解答这三个问题来试图说明</w:t>
      </w:r>
      <w:r w:rsidR="00404431">
        <w:rPr>
          <w:rFonts w:hint="eastAsia"/>
          <w:sz w:val="24"/>
        </w:rPr>
        <w:t>The</w:t>
      </w:r>
      <w:r w:rsidR="00404431">
        <w:rPr>
          <w:sz w:val="24"/>
        </w:rPr>
        <w:t>SecondElement</w:t>
      </w:r>
      <w:r w:rsidR="00404431">
        <w:rPr>
          <w:rFonts w:hint="eastAsia"/>
          <w:sz w:val="24"/>
        </w:rPr>
        <w:t>策略的适用范围，</w:t>
      </w:r>
      <w:r w:rsidR="00CB7D93">
        <w:rPr>
          <w:rFonts w:hint="eastAsia"/>
          <w:sz w:val="24"/>
        </w:rPr>
        <w:t>及</w:t>
      </w:r>
      <w:r w:rsidR="00404431">
        <w:rPr>
          <w:rFonts w:hint="eastAsia"/>
          <w:sz w:val="24"/>
        </w:rPr>
        <w:t>符合一些特征的一系列的交易策略的适用范围</w:t>
      </w:r>
      <w:r w:rsidR="00CB7D93">
        <w:rPr>
          <w:rFonts w:hint="eastAsia"/>
          <w:sz w:val="24"/>
        </w:rPr>
        <w:t>，并提出一种</w:t>
      </w:r>
      <w:r w:rsidR="00404431">
        <w:rPr>
          <w:rFonts w:hint="eastAsia"/>
          <w:sz w:val="24"/>
        </w:rPr>
        <w:t>可用于多数交易策略上的资金管理方案。</w:t>
      </w:r>
    </w:p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/>
    <w:p w:rsidR="001457A4" w:rsidRDefault="001457A4">
      <w:pPr>
        <w:sectPr w:rsidR="001457A4">
          <w:headerReference w:type="default" r:id="rId9"/>
          <w:footerReference w:type="default" r:id="rId10"/>
          <w:pgSz w:w="11906" w:h="16838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:rsidR="001457A4" w:rsidRDefault="001457A4">
      <w:pPr>
        <w:pStyle w:val="1"/>
        <w:spacing w:beforeLines="50" w:before="156" w:afterLines="50" w:after="156"/>
        <w:rPr>
          <w:rFonts w:eastAsia="黑体"/>
          <w:b w:val="0"/>
          <w:sz w:val="32"/>
        </w:rPr>
      </w:pPr>
      <w:bookmarkStart w:id="2" w:name="_Toc341875571"/>
      <w:bookmarkStart w:id="3" w:name="_Toc345138881"/>
      <w:bookmarkStart w:id="4" w:name="_Toc14751"/>
      <w:bookmarkStart w:id="5" w:name="_Toc201053672"/>
      <w:r>
        <w:rPr>
          <w:rFonts w:eastAsia="黑体"/>
          <w:b w:val="0"/>
          <w:sz w:val="32"/>
        </w:rPr>
        <w:lastRenderedPageBreak/>
        <w:t>第</w:t>
      </w:r>
      <w:r>
        <w:rPr>
          <w:rFonts w:eastAsia="黑体" w:hint="eastAsia"/>
          <w:b w:val="0"/>
          <w:sz w:val="32"/>
        </w:rPr>
        <w:t>2</w:t>
      </w:r>
      <w:r>
        <w:rPr>
          <w:rFonts w:eastAsia="黑体"/>
          <w:b w:val="0"/>
          <w:sz w:val="32"/>
        </w:rPr>
        <w:t>章</w:t>
      </w:r>
      <w:r>
        <w:rPr>
          <w:rFonts w:eastAsia="黑体"/>
          <w:b w:val="0"/>
          <w:sz w:val="32"/>
        </w:rPr>
        <w:t xml:space="preserve">  </w:t>
      </w:r>
      <w:bookmarkEnd w:id="2"/>
      <w:bookmarkEnd w:id="3"/>
      <w:bookmarkEnd w:id="4"/>
      <w:r w:rsidR="002D0EA0">
        <w:rPr>
          <w:rFonts w:eastAsia="黑体" w:hint="eastAsia"/>
          <w:b w:val="0"/>
          <w:sz w:val="32"/>
        </w:rPr>
        <w:t>数学建模</w:t>
      </w:r>
    </w:p>
    <w:p w:rsidR="002D0EA0" w:rsidRPr="002D0EA0" w:rsidRDefault="002D0EA0" w:rsidP="002D0EA0">
      <w:r>
        <w:rPr>
          <w:b/>
          <w:sz w:val="28"/>
          <w:szCs w:val="28"/>
        </w:rPr>
        <w:t xml:space="preserve">2.1 </w:t>
      </w:r>
      <w:r>
        <w:rPr>
          <w:rFonts w:hint="eastAsia"/>
          <w:b/>
          <w:sz w:val="28"/>
          <w:szCs w:val="28"/>
        </w:rPr>
        <w:t>策略收益的数学模型</w:t>
      </w:r>
    </w:p>
    <w:p w:rsidR="002D0EA0" w:rsidRDefault="002D0EA0" w:rsidP="00430BC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设一个策略的胜率为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，亏损率为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+q=1</m:t>
        </m:r>
      </m:oMath>
      <w:r>
        <w:rPr>
          <w:rFonts w:hint="eastAsia"/>
          <w:sz w:val="24"/>
        </w:rPr>
        <w:t>，亏损单均亏损为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，盈利单均盈利为</w:t>
      </w:r>
      <w:r w:rsidR="005B4189">
        <w:rPr>
          <w:sz w:val="24"/>
        </w:rPr>
        <w:t>G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在一段时间内一共交易了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单，则这段时间后的总盈利为：</w:t>
      </w:r>
    </w:p>
    <w:p w:rsidR="002D0EA0" w:rsidRDefault="000D1F8F" w:rsidP="00430BC5">
      <w:pPr>
        <w:spacing w:line="360" w:lineRule="auto"/>
        <w:jc w:val="right"/>
        <w:rPr>
          <w:szCs w:val="21"/>
          <w:lang w:bidi="th-TH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=n*p*G-n*q*L=n*(pG-qL)</m:t>
        </m:r>
      </m:oMath>
      <w:r w:rsidR="002D0EA0">
        <w:rPr>
          <w:rFonts w:hint="eastAsia"/>
          <w:sz w:val="24"/>
        </w:rPr>
        <w:t xml:space="preserve">              </w:t>
      </w:r>
      <w:r w:rsidR="002D0EA0">
        <w:rPr>
          <w:rFonts w:hint="eastAsia"/>
          <w:szCs w:val="21"/>
          <w:lang w:bidi="th-TH"/>
        </w:rPr>
        <w:t xml:space="preserve">  </w:t>
      </w:r>
      <w:r w:rsidR="002D0EA0">
        <w:rPr>
          <w:rFonts w:hint="eastAsia"/>
          <w:szCs w:val="21"/>
          <w:lang w:bidi="th-TH"/>
        </w:rPr>
        <w:t>（</w:t>
      </w:r>
      <w:r w:rsidR="005B4189">
        <w:rPr>
          <w:rFonts w:hint="eastAsia"/>
          <w:szCs w:val="21"/>
          <w:lang w:bidi="th-TH"/>
        </w:rPr>
        <w:t>2</w:t>
      </w:r>
      <w:r w:rsidR="002D0EA0">
        <w:rPr>
          <w:rFonts w:hint="eastAsia"/>
          <w:szCs w:val="21"/>
          <w:lang w:bidi="th-TH"/>
        </w:rPr>
        <w:t>-</w:t>
      </w:r>
      <w:r w:rsidR="005B4189">
        <w:rPr>
          <w:rFonts w:hint="eastAsia"/>
          <w:szCs w:val="21"/>
          <w:lang w:bidi="th-TH"/>
        </w:rPr>
        <w:t>1</w:t>
      </w:r>
      <w:r w:rsidR="002D0EA0">
        <w:rPr>
          <w:rFonts w:hint="eastAsia"/>
          <w:szCs w:val="21"/>
          <w:lang w:bidi="th-TH"/>
        </w:rPr>
        <w:t>）</w:t>
      </w:r>
    </w:p>
    <w:p w:rsidR="002D0EA0" w:rsidRDefault="005B4189" w:rsidP="00430BC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又在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策略中有</w:t>
      </w:r>
      <m:oMath>
        <m:r>
          <m:rPr>
            <m:sty m:val="p"/>
          </m:rPr>
          <w:rPr>
            <w:rFonts w:ascii="Cambria Math" w:hAnsi="Cambria Math"/>
            <w:sz w:val="24"/>
          </w:rPr>
          <m:t>G≈R*L</m:t>
        </m:r>
      </m:oMath>
      <w:r w:rsidR="002D0EA0">
        <w:rPr>
          <w:rFonts w:hint="eastAsia"/>
          <w:sz w:val="24"/>
        </w:rPr>
        <w:t>式（</w:t>
      </w:r>
      <w:r>
        <w:rPr>
          <w:rFonts w:hint="eastAsia"/>
          <w:sz w:val="24"/>
        </w:rPr>
        <w:t>2</w:t>
      </w:r>
      <w:r w:rsidR="002D0EA0">
        <w:rPr>
          <w:rFonts w:hint="eastAsia"/>
          <w:sz w:val="24"/>
        </w:rPr>
        <w:t>-</w:t>
      </w:r>
      <w:r>
        <w:rPr>
          <w:rFonts w:hint="eastAsia"/>
          <w:sz w:val="24"/>
        </w:rPr>
        <w:t>1</w:t>
      </w:r>
      <w:r w:rsidR="002D0EA0">
        <w:rPr>
          <w:rFonts w:hint="eastAsia"/>
          <w:sz w:val="24"/>
        </w:rPr>
        <w:t>）化简为（</w:t>
      </w:r>
      <w:r>
        <w:rPr>
          <w:rFonts w:hint="eastAsia"/>
          <w:sz w:val="24"/>
        </w:rPr>
        <w:t>2</w:t>
      </w:r>
      <w:r w:rsidR="002D0EA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="002D0EA0">
        <w:rPr>
          <w:rFonts w:hint="eastAsia"/>
          <w:sz w:val="24"/>
        </w:rPr>
        <w:t>）式：</w:t>
      </w:r>
      <w:r w:rsidR="002D0EA0">
        <w:rPr>
          <w:rFonts w:hint="eastAsia"/>
          <w:sz w:val="24"/>
        </w:rPr>
        <w:t xml:space="preserve"> </w:t>
      </w:r>
    </w:p>
    <w:p w:rsidR="00E564C2" w:rsidRDefault="000D1F8F" w:rsidP="00E564C2">
      <w:pPr>
        <w:spacing w:line="360" w:lineRule="auto"/>
        <w:ind w:firstLineChars="200" w:firstLine="480"/>
        <w:jc w:val="right"/>
        <w:rPr>
          <w:szCs w:val="21"/>
          <w:lang w:bidi="th-TH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=n*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pG-qL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nL*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R+1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 w:rsidR="002D0EA0" w:rsidRPr="00E20F1B">
        <w:rPr>
          <w:rFonts w:hint="eastAsia"/>
          <w:sz w:val="24"/>
        </w:rPr>
        <w:t xml:space="preserve">               </w:t>
      </w:r>
      <w:r w:rsidR="002D0EA0" w:rsidRPr="00E20F1B">
        <w:rPr>
          <w:rFonts w:hint="eastAsia"/>
          <w:sz w:val="24"/>
        </w:rPr>
        <w:t>（</w:t>
      </w:r>
      <w:r w:rsidR="009D4DD1">
        <w:rPr>
          <w:szCs w:val="21"/>
          <w:lang w:bidi="th-TH"/>
        </w:rPr>
        <w:t>2</w:t>
      </w:r>
      <w:r w:rsidR="002D0EA0" w:rsidRPr="00E20F1B">
        <w:rPr>
          <w:rFonts w:hint="eastAsia"/>
          <w:szCs w:val="21"/>
          <w:lang w:bidi="th-TH"/>
        </w:rPr>
        <w:t>-</w:t>
      </w:r>
      <w:r w:rsidR="009D4DD1">
        <w:rPr>
          <w:szCs w:val="21"/>
          <w:lang w:bidi="th-TH"/>
        </w:rPr>
        <w:t>2</w:t>
      </w:r>
      <w:r w:rsidR="002D0EA0" w:rsidRPr="00E20F1B">
        <w:rPr>
          <w:rFonts w:hint="eastAsia"/>
          <w:szCs w:val="21"/>
          <w:lang w:bidi="th-TH"/>
        </w:rPr>
        <w:t>）</w:t>
      </w:r>
      <w:bookmarkStart w:id="6" w:name="_Toc341875572"/>
      <w:bookmarkStart w:id="7" w:name="_Toc345138882"/>
      <w:bookmarkStart w:id="8" w:name="_Toc20435"/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Default="00E564C2" w:rsidP="00E564C2">
      <w:pPr>
        <w:spacing w:line="360" w:lineRule="auto"/>
        <w:ind w:right="560" w:firstLineChars="200" w:firstLine="560"/>
        <w:rPr>
          <w:sz w:val="28"/>
          <w:szCs w:val="28"/>
        </w:rPr>
      </w:pPr>
    </w:p>
    <w:p w:rsidR="00E564C2" w:rsidRPr="00E564C2" w:rsidRDefault="00E564C2" w:rsidP="00E564C2">
      <w:pPr>
        <w:pStyle w:val="1"/>
        <w:spacing w:beforeLines="50" w:before="156" w:afterLines="50" w:after="156"/>
        <w:rPr>
          <w:rFonts w:eastAsia="黑体"/>
          <w:b w:val="0"/>
          <w:sz w:val="32"/>
        </w:rPr>
      </w:pPr>
      <w:r>
        <w:rPr>
          <w:rFonts w:eastAsia="黑体"/>
          <w:b w:val="0"/>
          <w:sz w:val="32"/>
        </w:rPr>
        <w:lastRenderedPageBreak/>
        <w:t>第</w:t>
      </w:r>
      <w:r>
        <w:rPr>
          <w:rFonts w:eastAsia="黑体" w:hint="eastAsia"/>
          <w:b w:val="0"/>
          <w:sz w:val="32"/>
        </w:rPr>
        <w:t>3</w:t>
      </w:r>
      <w:r>
        <w:rPr>
          <w:rFonts w:eastAsia="黑体"/>
          <w:b w:val="0"/>
          <w:sz w:val="32"/>
        </w:rPr>
        <w:t>章</w:t>
      </w:r>
      <w:r>
        <w:rPr>
          <w:rFonts w:eastAsia="黑体"/>
          <w:b w:val="0"/>
          <w:sz w:val="32"/>
        </w:rPr>
        <w:t xml:space="preserve">  </w:t>
      </w:r>
      <w:r>
        <w:rPr>
          <w:rFonts w:eastAsia="黑体" w:hint="eastAsia"/>
          <w:b w:val="0"/>
          <w:sz w:val="32"/>
        </w:rPr>
        <w:t>相关策略介绍</w:t>
      </w:r>
    </w:p>
    <w:p w:rsidR="001457A4" w:rsidRPr="00007931" w:rsidRDefault="00E564C2" w:rsidP="00E564C2">
      <w:pPr>
        <w:spacing w:line="360" w:lineRule="auto"/>
        <w:ind w:right="560"/>
        <w:rPr>
          <w:rFonts w:eastAsia="黑体"/>
          <w:bCs/>
          <w:kern w:val="0"/>
          <w:sz w:val="28"/>
          <w:szCs w:val="28"/>
          <w:lang w:bidi="th-TH"/>
        </w:rPr>
      </w:pP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3</w:t>
      </w:r>
      <w:r w:rsidR="001457A4" w:rsidRPr="00007931">
        <w:rPr>
          <w:rFonts w:eastAsia="黑体"/>
          <w:bCs/>
          <w:kern w:val="0"/>
          <w:sz w:val="28"/>
          <w:szCs w:val="28"/>
          <w:lang w:bidi="th-TH"/>
        </w:rPr>
        <w:t xml:space="preserve">.1 </w:t>
      </w:r>
      <w:bookmarkEnd w:id="6"/>
      <w:bookmarkEnd w:id="7"/>
      <w:r w:rsidR="001457A4" w:rsidRPr="00007931">
        <w:rPr>
          <w:rFonts w:eastAsia="黑体" w:hint="eastAsia"/>
          <w:bCs/>
          <w:kern w:val="0"/>
          <w:sz w:val="28"/>
          <w:szCs w:val="28"/>
          <w:lang w:bidi="th-TH"/>
        </w:rPr>
        <w:t>第</w:t>
      </w:r>
      <w:r w:rsidR="001457A4" w:rsidRPr="00007931">
        <w:rPr>
          <w:rFonts w:eastAsia="黑体" w:hint="eastAsia"/>
          <w:bCs/>
          <w:kern w:val="0"/>
          <w:sz w:val="28"/>
          <w:szCs w:val="28"/>
          <w:lang w:bidi="th-TH"/>
        </w:rPr>
        <w:t>2</w:t>
      </w:r>
      <w:r w:rsidR="001457A4" w:rsidRPr="00007931">
        <w:rPr>
          <w:rFonts w:eastAsia="黑体" w:hint="eastAsia"/>
          <w:bCs/>
          <w:kern w:val="0"/>
          <w:sz w:val="28"/>
          <w:szCs w:val="28"/>
          <w:lang w:bidi="th-TH"/>
        </w:rPr>
        <w:t>元素策略</w:t>
      </w:r>
      <w:bookmarkEnd w:id="8"/>
    </w:p>
    <w:bookmarkEnd w:id="5"/>
    <w:p w:rsidR="001457A4" w:rsidRPr="00007931" w:rsidRDefault="001457A4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第</w:t>
      </w:r>
      <w:r w:rsidRPr="00007931">
        <w:rPr>
          <w:rFonts w:hint="eastAsia"/>
          <w:kern w:val="0"/>
          <w:sz w:val="24"/>
        </w:rPr>
        <w:t>2</w:t>
      </w:r>
      <w:r w:rsidRPr="00007931">
        <w:rPr>
          <w:rFonts w:hint="eastAsia"/>
          <w:kern w:val="0"/>
          <w:sz w:val="24"/>
        </w:rPr>
        <w:t>元素策略适用范围：</w:t>
      </w:r>
      <w:r w:rsidRPr="00007931">
        <w:rPr>
          <w:rFonts w:hint="eastAsia"/>
          <w:kern w:val="0"/>
          <w:sz w:val="24"/>
        </w:rPr>
        <w:t>XAUUSD60</w:t>
      </w:r>
    </w:p>
    <w:p w:rsidR="001457A4" w:rsidRPr="00007931" w:rsidRDefault="001457A4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第</w:t>
      </w:r>
      <w:r w:rsidRPr="00007931">
        <w:rPr>
          <w:rFonts w:hint="eastAsia"/>
          <w:kern w:val="0"/>
          <w:sz w:val="24"/>
        </w:rPr>
        <w:t>2</w:t>
      </w:r>
      <w:r w:rsidRPr="00007931">
        <w:rPr>
          <w:rFonts w:hint="eastAsia"/>
          <w:kern w:val="0"/>
          <w:sz w:val="24"/>
        </w:rPr>
        <w:t>元素策略买进：</w:t>
      </w:r>
      <w:r w:rsidRPr="00007931">
        <w:rPr>
          <w:rFonts w:hint="eastAsia"/>
          <w:kern w:val="0"/>
          <w:sz w:val="24"/>
        </w:rPr>
        <w:t>MACD</w:t>
      </w:r>
      <w:r w:rsidRPr="00007931">
        <w:rPr>
          <w:rFonts w:hint="eastAsia"/>
          <w:kern w:val="0"/>
          <w:sz w:val="24"/>
        </w:rPr>
        <w:t>从零轴之下转变为零轴之上，等待零轴之上第</w:t>
      </w:r>
      <w:r w:rsidRPr="00007931">
        <w:rPr>
          <w:rFonts w:hint="eastAsia"/>
          <w:kern w:val="0"/>
          <w:sz w:val="24"/>
        </w:rPr>
        <w:t>1</w:t>
      </w:r>
      <w:r w:rsidRPr="00007931">
        <w:rPr>
          <w:rFonts w:hint="eastAsia"/>
          <w:kern w:val="0"/>
          <w:sz w:val="24"/>
        </w:rPr>
        <w:t>根柱体形成，在第</w:t>
      </w:r>
      <w:r w:rsidRPr="00007931">
        <w:rPr>
          <w:rFonts w:hint="eastAsia"/>
          <w:kern w:val="0"/>
          <w:sz w:val="24"/>
        </w:rPr>
        <w:t>2</w:t>
      </w:r>
      <w:r w:rsidRPr="00007931">
        <w:rPr>
          <w:rFonts w:hint="eastAsia"/>
          <w:kern w:val="0"/>
          <w:sz w:val="24"/>
        </w:rPr>
        <w:t>根柱</w:t>
      </w:r>
      <w:proofErr w:type="gramStart"/>
      <w:r w:rsidRPr="00007931">
        <w:rPr>
          <w:rFonts w:hint="eastAsia"/>
          <w:kern w:val="0"/>
          <w:sz w:val="24"/>
        </w:rPr>
        <w:t>体开始</w:t>
      </w:r>
      <w:proofErr w:type="gramEnd"/>
      <w:r w:rsidRPr="00007931">
        <w:rPr>
          <w:rFonts w:hint="eastAsia"/>
          <w:kern w:val="0"/>
          <w:sz w:val="24"/>
        </w:rPr>
        <w:t>时入场做多，止损设为</w:t>
      </w:r>
      <w:r w:rsidRPr="00007931">
        <w:rPr>
          <w:rFonts w:hint="eastAsia"/>
          <w:kern w:val="0"/>
          <w:sz w:val="24"/>
        </w:rPr>
        <w:t>24H</w:t>
      </w:r>
      <w:r w:rsidRPr="00007931">
        <w:rPr>
          <w:rFonts w:hint="eastAsia"/>
          <w:kern w:val="0"/>
          <w:sz w:val="24"/>
        </w:rPr>
        <w:t>内的收盘价和开盘价的最低点，按</w:t>
      </w:r>
      <w:r w:rsidRPr="00007931">
        <w:rPr>
          <w:rFonts w:hint="eastAsia"/>
          <w:kern w:val="0"/>
          <w:sz w:val="24"/>
        </w:rPr>
        <w:t>1</w:t>
      </w:r>
      <w:r w:rsidRPr="00007931">
        <w:rPr>
          <w:rFonts w:hint="eastAsia"/>
          <w:kern w:val="0"/>
          <w:sz w:val="24"/>
        </w:rPr>
        <w:t>：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的</w:t>
      </w:r>
      <w:proofErr w:type="gramStart"/>
      <w:r w:rsidRPr="00007931">
        <w:rPr>
          <w:rFonts w:hint="eastAsia"/>
          <w:kern w:val="0"/>
          <w:sz w:val="24"/>
        </w:rPr>
        <w:t>损盈比设置</w:t>
      </w:r>
      <w:proofErr w:type="gramEnd"/>
      <w:r w:rsidRPr="00007931">
        <w:rPr>
          <w:rFonts w:hint="eastAsia"/>
          <w:kern w:val="0"/>
          <w:sz w:val="24"/>
        </w:rPr>
        <w:t>止盈。</w:t>
      </w:r>
    </w:p>
    <w:p w:rsidR="001457A4" w:rsidRPr="00007931" w:rsidRDefault="001457A4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第</w:t>
      </w:r>
      <w:r w:rsidRPr="00007931">
        <w:rPr>
          <w:rFonts w:hint="eastAsia"/>
          <w:kern w:val="0"/>
          <w:sz w:val="24"/>
        </w:rPr>
        <w:t>2</w:t>
      </w:r>
      <w:r w:rsidRPr="00007931">
        <w:rPr>
          <w:rFonts w:hint="eastAsia"/>
          <w:kern w:val="0"/>
          <w:sz w:val="24"/>
        </w:rPr>
        <w:t>元素策略卖出：</w:t>
      </w:r>
      <w:r w:rsidRPr="00007931">
        <w:rPr>
          <w:rFonts w:hint="eastAsia"/>
          <w:kern w:val="0"/>
          <w:sz w:val="24"/>
        </w:rPr>
        <w:t>MACD</w:t>
      </w:r>
      <w:r w:rsidRPr="00007931">
        <w:rPr>
          <w:rFonts w:hint="eastAsia"/>
          <w:kern w:val="0"/>
          <w:sz w:val="24"/>
        </w:rPr>
        <w:t>从零轴之上转变为零轴之下，等待零轴之下第</w:t>
      </w:r>
      <w:r w:rsidRPr="00007931">
        <w:rPr>
          <w:rFonts w:hint="eastAsia"/>
          <w:kern w:val="0"/>
          <w:sz w:val="24"/>
        </w:rPr>
        <w:t>1</w:t>
      </w:r>
      <w:r w:rsidRPr="00007931">
        <w:rPr>
          <w:rFonts w:hint="eastAsia"/>
          <w:kern w:val="0"/>
          <w:sz w:val="24"/>
        </w:rPr>
        <w:t>根柱体形成，在第</w:t>
      </w:r>
      <w:r w:rsidRPr="00007931">
        <w:rPr>
          <w:rFonts w:hint="eastAsia"/>
          <w:kern w:val="0"/>
          <w:sz w:val="24"/>
        </w:rPr>
        <w:t>2</w:t>
      </w:r>
      <w:r w:rsidRPr="00007931">
        <w:rPr>
          <w:rFonts w:hint="eastAsia"/>
          <w:kern w:val="0"/>
          <w:sz w:val="24"/>
        </w:rPr>
        <w:t>根柱</w:t>
      </w:r>
      <w:proofErr w:type="gramStart"/>
      <w:r w:rsidRPr="00007931">
        <w:rPr>
          <w:rFonts w:hint="eastAsia"/>
          <w:kern w:val="0"/>
          <w:sz w:val="24"/>
        </w:rPr>
        <w:t>体开始</w:t>
      </w:r>
      <w:proofErr w:type="gramEnd"/>
      <w:r w:rsidRPr="00007931">
        <w:rPr>
          <w:rFonts w:hint="eastAsia"/>
          <w:kern w:val="0"/>
          <w:sz w:val="24"/>
        </w:rPr>
        <w:t>时入场做空，止损设为</w:t>
      </w:r>
      <w:r w:rsidRPr="00007931">
        <w:rPr>
          <w:rFonts w:hint="eastAsia"/>
          <w:kern w:val="0"/>
          <w:sz w:val="24"/>
        </w:rPr>
        <w:t>24H</w:t>
      </w:r>
      <w:r w:rsidRPr="00007931">
        <w:rPr>
          <w:rFonts w:hint="eastAsia"/>
          <w:kern w:val="0"/>
          <w:sz w:val="24"/>
        </w:rPr>
        <w:t>内的收盘价和开盘价的最高点，按</w:t>
      </w:r>
      <w:r w:rsidRPr="00007931">
        <w:rPr>
          <w:rFonts w:hint="eastAsia"/>
          <w:kern w:val="0"/>
          <w:sz w:val="24"/>
        </w:rPr>
        <w:t>1</w:t>
      </w:r>
      <w:r w:rsidRPr="00007931">
        <w:rPr>
          <w:rFonts w:hint="eastAsia"/>
          <w:kern w:val="0"/>
          <w:sz w:val="24"/>
        </w:rPr>
        <w:t>：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的</w:t>
      </w:r>
      <w:proofErr w:type="gramStart"/>
      <w:r w:rsidRPr="00007931">
        <w:rPr>
          <w:rFonts w:hint="eastAsia"/>
          <w:kern w:val="0"/>
          <w:sz w:val="24"/>
        </w:rPr>
        <w:t>损盈比设置</w:t>
      </w:r>
      <w:proofErr w:type="gramEnd"/>
      <w:r w:rsidRPr="00007931">
        <w:rPr>
          <w:rFonts w:hint="eastAsia"/>
          <w:kern w:val="0"/>
          <w:sz w:val="24"/>
        </w:rPr>
        <w:t>止盈。</w:t>
      </w:r>
    </w:p>
    <w:p w:rsidR="00E564C2" w:rsidRPr="00007931" w:rsidRDefault="001457A4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第</w:t>
      </w:r>
      <w:r w:rsidRPr="00007931">
        <w:rPr>
          <w:rFonts w:hint="eastAsia"/>
          <w:kern w:val="0"/>
          <w:sz w:val="24"/>
        </w:rPr>
        <w:t>2</w:t>
      </w:r>
      <w:r w:rsidRPr="00007931">
        <w:rPr>
          <w:rFonts w:hint="eastAsia"/>
          <w:kern w:val="0"/>
          <w:sz w:val="24"/>
        </w:rPr>
        <w:t>元素策略出场：打掉止损或止盈。</w:t>
      </w:r>
    </w:p>
    <w:p w:rsidR="00E564C2" w:rsidRPr="00007931" w:rsidRDefault="00E564C2" w:rsidP="00E564C2">
      <w:pPr>
        <w:spacing w:line="360" w:lineRule="auto"/>
        <w:ind w:right="560"/>
        <w:rPr>
          <w:rFonts w:eastAsia="黑体"/>
          <w:bCs/>
          <w:kern w:val="0"/>
          <w:sz w:val="28"/>
          <w:szCs w:val="28"/>
          <w:lang w:bidi="th-TH"/>
        </w:rPr>
      </w:pP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3</w:t>
      </w:r>
      <w:r w:rsidRPr="00007931">
        <w:rPr>
          <w:rFonts w:eastAsia="黑体"/>
          <w:bCs/>
          <w:kern w:val="0"/>
          <w:sz w:val="28"/>
          <w:szCs w:val="28"/>
          <w:lang w:bidi="th-TH"/>
        </w:rPr>
        <w:t>.</w:t>
      </w: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2</w:t>
      </w:r>
      <w:r w:rsidRPr="00007931">
        <w:rPr>
          <w:rFonts w:eastAsia="黑体"/>
          <w:bCs/>
          <w:kern w:val="0"/>
          <w:sz w:val="28"/>
          <w:szCs w:val="28"/>
          <w:lang w:bidi="th-TH"/>
        </w:rPr>
        <w:t xml:space="preserve"> </w:t>
      </w: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R</w:t>
      </w: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策略</w:t>
      </w:r>
    </w:p>
    <w:p w:rsidR="007649D0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符合这样特点的策略，我们称之为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策略：</w:t>
      </w:r>
    </w:p>
    <w:p w:rsidR="00E564C2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1.</w:t>
      </w:r>
      <w:r w:rsidRPr="00007931">
        <w:rPr>
          <w:rFonts w:hint="eastAsia"/>
          <w:kern w:val="0"/>
          <w:sz w:val="24"/>
        </w:rPr>
        <w:t>每笔交易的结果只有两种：打掉止</w:t>
      </w:r>
      <w:proofErr w:type="gramStart"/>
      <w:r w:rsidRPr="00007931">
        <w:rPr>
          <w:rFonts w:hint="eastAsia"/>
          <w:kern w:val="0"/>
          <w:sz w:val="24"/>
        </w:rPr>
        <w:t>损或者</w:t>
      </w:r>
      <w:proofErr w:type="gramEnd"/>
      <w:r w:rsidRPr="00007931">
        <w:rPr>
          <w:rFonts w:hint="eastAsia"/>
          <w:kern w:val="0"/>
          <w:sz w:val="24"/>
        </w:rPr>
        <w:t>打掉止盈。</w:t>
      </w:r>
    </w:p>
    <w:p w:rsidR="007649D0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2.</w:t>
      </w:r>
      <w:r w:rsidRPr="00007931">
        <w:rPr>
          <w:rFonts w:hint="eastAsia"/>
          <w:kern w:val="0"/>
          <w:sz w:val="24"/>
        </w:rPr>
        <w:t>每笔交易的设定</w:t>
      </w:r>
      <w:proofErr w:type="gramStart"/>
      <w:r w:rsidRPr="00007931">
        <w:rPr>
          <w:rFonts w:hint="eastAsia"/>
          <w:kern w:val="0"/>
          <w:sz w:val="24"/>
        </w:rPr>
        <w:t>止盈都为</w:t>
      </w:r>
      <w:proofErr w:type="gramEnd"/>
      <w:r w:rsidRPr="00007931">
        <w:rPr>
          <w:rFonts w:hint="eastAsia"/>
          <w:kern w:val="0"/>
          <w:sz w:val="24"/>
        </w:rPr>
        <w:t>设定止损的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倍，历史统计结果表现为盈利单均盈利为亏损单均亏损的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倍。</w:t>
      </w:r>
    </w:p>
    <w:p w:rsidR="007649D0" w:rsidRPr="00007931" w:rsidRDefault="007649D0" w:rsidP="00007931">
      <w:pPr>
        <w:spacing w:line="360" w:lineRule="auto"/>
        <w:ind w:right="560"/>
        <w:rPr>
          <w:rFonts w:eastAsia="黑体"/>
          <w:bCs/>
          <w:kern w:val="0"/>
          <w:sz w:val="28"/>
          <w:szCs w:val="28"/>
          <w:lang w:bidi="th-TH"/>
        </w:rPr>
      </w:pP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3.3</w:t>
      </w:r>
      <w:r w:rsidRPr="00007931">
        <w:rPr>
          <w:rFonts w:eastAsia="黑体"/>
          <w:bCs/>
          <w:kern w:val="0"/>
          <w:sz w:val="28"/>
          <w:szCs w:val="28"/>
          <w:lang w:bidi="th-TH"/>
        </w:rPr>
        <w:t xml:space="preserve"> </w:t>
      </w: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标准止损的</w:t>
      </w: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R</w:t>
      </w:r>
      <w:r w:rsidRPr="00007931">
        <w:rPr>
          <w:rFonts w:eastAsia="黑体" w:hint="eastAsia"/>
          <w:bCs/>
          <w:kern w:val="0"/>
          <w:sz w:val="28"/>
          <w:szCs w:val="28"/>
          <w:lang w:bidi="th-TH"/>
        </w:rPr>
        <w:t>策略</w:t>
      </w:r>
    </w:p>
    <w:p w:rsidR="007649D0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符合这样特点的策略，我们称之为标准止损的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策略：</w:t>
      </w:r>
    </w:p>
    <w:p w:rsidR="007649D0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1.</w:t>
      </w:r>
      <w:r w:rsidRPr="00007931">
        <w:rPr>
          <w:rFonts w:hint="eastAsia"/>
          <w:kern w:val="0"/>
          <w:sz w:val="24"/>
        </w:rPr>
        <w:t>每笔交易的结果只有两种：打掉止</w:t>
      </w:r>
      <w:proofErr w:type="gramStart"/>
      <w:r w:rsidRPr="00007931">
        <w:rPr>
          <w:rFonts w:hint="eastAsia"/>
          <w:kern w:val="0"/>
          <w:sz w:val="24"/>
        </w:rPr>
        <w:t>损或者</w:t>
      </w:r>
      <w:proofErr w:type="gramEnd"/>
      <w:r w:rsidRPr="00007931">
        <w:rPr>
          <w:rFonts w:hint="eastAsia"/>
          <w:kern w:val="0"/>
          <w:sz w:val="24"/>
        </w:rPr>
        <w:t>打掉止盈。</w:t>
      </w:r>
    </w:p>
    <w:p w:rsidR="007649D0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2.</w:t>
      </w:r>
      <w:r w:rsidRPr="00007931">
        <w:rPr>
          <w:rFonts w:hint="eastAsia"/>
          <w:kern w:val="0"/>
          <w:sz w:val="24"/>
        </w:rPr>
        <w:t>每笔交易的设定</w:t>
      </w:r>
      <w:proofErr w:type="gramStart"/>
      <w:r w:rsidRPr="00007931">
        <w:rPr>
          <w:rFonts w:hint="eastAsia"/>
          <w:kern w:val="0"/>
          <w:sz w:val="24"/>
        </w:rPr>
        <w:t>止盈都为</w:t>
      </w:r>
      <w:proofErr w:type="gramEnd"/>
      <w:r w:rsidRPr="00007931">
        <w:rPr>
          <w:rFonts w:hint="eastAsia"/>
          <w:kern w:val="0"/>
          <w:sz w:val="24"/>
        </w:rPr>
        <w:t>设定止损的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倍，历史统计结果表现为盈利单均盈利为亏损单均亏损的</w:t>
      </w:r>
      <w:r w:rsidRPr="00007931">
        <w:rPr>
          <w:rFonts w:hint="eastAsia"/>
          <w:kern w:val="0"/>
          <w:sz w:val="24"/>
        </w:rPr>
        <w:t>R</w:t>
      </w:r>
      <w:r w:rsidRPr="00007931">
        <w:rPr>
          <w:rFonts w:hint="eastAsia"/>
          <w:kern w:val="0"/>
          <w:sz w:val="24"/>
        </w:rPr>
        <w:t>倍。</w:t>
      </w:r>
    </w:p>
    <w:p w:rsidR="007649D0" w:rsidRPr="00007931" w:rsidRDefault="007649D0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rFonts w:hint="eastAsia"/>
          <w:kern w:val="0"/>
          <w:sz w:val="24"/>
        </w:rPr>
        <w:t>3.</w:t>
      </w:r>
      <w:r w:rsidRPr="00007931">
        <w:rPr>
          <w:rFonts w:hint="eastAsia"/>
          <w:kern w:val="0"/>
          <w:sz w:val="24"/>
        </w:rPr>
        <w:t>每笔交易都以临近价格的高点，高点附近或低点，低点附近作为止损位。</w:t>
      </w:r>
    </w:p>
    <w:p w:rsidR="00E564C2" w:rsidRDefault="00E564C2" w:rsidP="00E564C2">
      <w:pPr>
        <w:spacing w:line="360" w:lineRule="auto"/>
        <w:ind w:firstLineChars="200" w:firstLine="480"/>
        <w:rPr>
          <w:rFonts w:hAnsi="宋体"/>
          <w:sz w:val="24"/>
        </w:rPr>
      </w:pPr>
    </w:p>
    <w:p w:rsidR="001457A4" w:rsidRDefault="001457A4">
      <w:pPr>
        <w:spacing w:line="360" w:lineRule="auto"/>
        <w:ind w:firstLineChars="200" w:firstLine="480"/>
        <w:rPr>
          <w:rFonts w:hAnsi="宋体"/>
          <w:sz w:val="24"/>
        </w:rPr>
        <w:sectPr w:rsidR="001457A4">
          <w:headerReference w:type="default" r:id="rId11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:rsidR="001457A4" w:rsidRDefault="001457A4">
      <w:pPr>
        <w:pStyle w:val="1"/>
        <w:spacing w:beforeLines="50" w:before="156" w:afterLines="50" w:after="156"/>
        <w:rPr>
          <w:rFonts w:eastAsia="黑体"/>
          <w:b w:val="0"/>
          <w:sz w:val="32"/>
        </w:rPr>
      </w:pPr>
      <w:bookmarkStart w:id="9" w:name="_Toc201053677"/>
      <w:bookmarkStart w:id="10" w:name="_Toc341875577"/>
      <w:bookmarkStart w:id="11" w:name="_Toc345138887"/>
      <w:bookmarkStart w:id="12" w:name="_Toc13468"/>
      <w:r>
        <w:rPr>
          <w:rFonts w:eastAsia="黑体"/>
          <w:b w:val="0"/>
          <w:sz w:val="32"/>
        </w:rPr>
        <w:lastRenderedPageBreak/>
        <w:t>第</w:t>
      </w:r>
      <w:r>
        <w:rPr>
          <w:rFonts w:eastAsia="黑体" w:hint="eastAsia"/>
          <w:b w:val="0"/>
          <w:sz w:val="32"/>
        </w:rPr>
        <w:t>3</w:t>
      </w:r>
      <w:r>
        <w:rPr>
          <w:rFonts w:eastAsia="黑体"/>
          <w:b w:val="0"/>
          <w:sz w:val="32"/>
        </w:rPr>
        <w:t>章</w:t>
      </w:r>
      <w:r>
        <w:rPr>
          <w:rFonts w:eastAsia="黑体"/>
          <w:b w:val="0"/>
          <w:sz w:val="32"/>
        </w:rPr>
        <w:t xml:space="preserve">  </w:t>
      </w:r>
      <w:bookmarkEnd w:id="9"/>
      <w:bookmarkEnd w:id="10"/>
      <w:bookmarkEnd w:id="11"/>
      <w:r>
        <w:rPr>
          <w:rFonts w:eastAsia="黑体" w:hint="eastAsia"/>
          <w:b w:val="0"/>
          <w:sz w:val="32"/>
        </w:rPr>
        <w:t>策略的程序回测</w:t>
      </w:r>
      <w:bookmarkEnd w:id="12"/>
    </w:p>
    <w:p w:rsidR="001457A4" w:rsidRDefault="001457A4"/>
    <w:p w:rsidR="001457A4" w:rsidRDefault="001457A4">
      <w:pPr>
        <w:pStyle w:val="2"/>
        <w:spacing w:before="0" w:after="0" w:line="360" w:lineRule="auto"/>
        <w:rPr>
          <w:rFonts w:ascii="Times New Roman" w:hAnsi="Times New Roman"/>
          <w:b w:val="0"/>
          <w:sz w:val="28"/>
          <w:szCs w:val="28"/>
          <w:lang w:bidi="th-TH"/>
        </w:rPr>
      </w:pPr>
      <w:bookmarkStart w:id="13" w:name="_Toc9456"/>
      <w:r>
        <w:rPr>
          <w:rFonts w:ascii="Times New Roman" w:hAnsi="Times New Roman"/>
          <w:b w:val="0"/>
          <w:sz w:val="28"/>
          <w:szCs w:val="28"/>
          <w:lang w:bidi="th-TH"/>
        </w:rPr>
        <w:t xml:space="preserve">3.1 </w:t>
      </w:r>
      <w:r>
        <w:rPr>
          <w:rFonts w:ascii="Times New Roman" w:hAnsi="Times New Roman" w:hint="eastAsia"/>
          <w:b w:val="0"/>
          <w:sz w:val="28"/>
          <w:szCs w:val="28"/>
          <w:lang w:bidi="th-TH"/>
        </w:rPr>
        <w:t>第</w:t>
      </w:r>
      <w:r>
        <w:rPr>
          <w:rFonts w:ascii="Times New Roman" w:hAnsi="Times New Roman" w:hint="eastAsia"/>
          <w:b w:val="0"/>
          <w:sz w:val="28"/>
          <w:szCs w:val="28"/>
          <w:lang w:bidi="th-TH"/>
        </w:rPr>
        <w:t>2</w:t>
      </w:r>
      <w:r>
        <w:rPr>
          <w:rFonts w:ascii="Times New Roman" w:hAnsi="Times New Roman" w:hint="eastAsia"/>
          <w:b w:val="0"/>
          <w:sz w:val="28"/>
          <w:szCs w:val="28"/>
          <w:lang w:bidi="th-TH"/>
        </w:rPr>
        <w:t>元素策略的</w:t>
      </w:r>
      <w:r w:rsidR="00E37CF3">
        <w:rPr>
          <w:rFonts w:ascii="Times New Roman" w:hAnsi="Times New Roman" w:hint="eastAsia"/>
          <w:b w:val="0"/>
          <w:sz w:val="28"/>
          <w:szCs w:val="28"/>
          <w:lang w:bidi="th-TH"/>
        </w:rPr>
        <w:t>X</w:t>
      </w:r>
      <w:r w:rsidR="00E37CF3">
        <w:rPr>
          <w:rFonts w:ascii="Times New Roman" w:hAnsi="Times New Roman"/>
          <w:b w:val="0"/>
          <w:sz w:val="28"/>
          <w:szCs w:val="28"/>
          <w:lang w:bidi="th-TH"/>
        </w:rPr>
        <w:t>AUUSD</w:t>
      </w:r>
      <w:r>
        <w:rPr>
          <w:rFonts w:ascii="Times New Roman" w:hAnsi="Times New Roman" w:hint="eastAsia"/>
          <w:b w:val="0"/>
          <w:sz w:val="28"/>
          <w:szCs w:val="28"/>
          <w:lang w:bidi="th-TH"/>
        </w:rPr>
        <w:t>历史回测</w:t>
      </w:r>
      <w:bookmarkEnd w:id="13"/>
    </w:p>
    <w:p w:rsidR="00F859C9" w:rsidRPr="00007931" w:rsidRDefault="00F859C9" w:rsidP="00007931">
      <w:pPr>
        <w:spacing w:line="360" w:lineRule="auto"/>
        <w:ind w:firstLine="420"/>
        <w:rPr>
          <w:kern w:val="0"/>
          <w:sz w:val="24"/>
        </w:rPr>
      </w:pPr>
      <w:r w:rsidRPr="00007931">
        <w:rPr>
          <w:kern w:val="0"/>
          <w:sz w:val="24"/>
        </w:rPr>
        <w:t>XAUUSD</w:t>
      </w:r>
      <w:r w:rsidRPr="00007931">
        <w:rPr>
          <w:rFonts w:hint="eastAsia"/>
          <w:kern w:val="0"/>
          <w:sz w:val="24"/>
        </w:rPr>
        <w:t>30</w:t>
      </w:r>
      <w:r w:rsidR="00B21EB4" w:rsidRPr="00007931">
        <w:rPr>
          <w:rFonts w:hint="eastAsia"/>
          <w:kern w:val="0"/>
          <w:sz w:val="24"/>
        </w:rPr>
        <w:t>统计结果</w:t>
      </w:r>
      <w:r w:rsidRPr="00007931">
        <w:rPr>
          <w:rFonts w:hint="eastAsia"/>
          <w:kern w:val="0"/>
          <w:sz w:val="24"/>
        </w:rPr>
        <w:t>如表</w:t>
      </w:r>
      <w:r w:rsidRPr="00007931">
        <w:rPr>
          <w:rFonts w:hint="eastAsia"/>
          <w:kern w:val="0"/>
          <w:sz w:val="24"/>
        </w:rPr>
        <w:t>3-1</w:t>
      </w:r>
      <w:r w:rsidRPr="00007931">
        <w:rPr>
          <w:rFonts w:hint="eastAsia"/>
          <w:kern w:val="0"/>
          <w:sz w:val="24"/>
        </w:rPr>
        <w:t>所示，月均交易</w:t>
      </w:r>
      <w:r w:rsidRPr="00007931">
        <w:rPr>
          <w:rFonts w:hint="eastAsia"/>
          <w:kern w:val="0"/>
          <w:sz w:val="24"/>
        </w:rPr>
        <w:t>32.5</w:t>
      </w:r>
      <w:r w:rsidRPr="00007931">
        <w:rPr>
          <w:rFonts w:hint="eastAsia"/>
          <w:kern w:val="0"/>
          <w:sz w:val="24"/>
        </w:rPr>
        <w:t>；</w:t>
      </w:r>
      <w:r w:rsidRPr="00007931">
        <w:rPr>
          <w:rFonts w:hint="eastAsia"/>
          <w:kern w:val="0"/>
          <w:sz w:val="24"/>
        </w:rPr>
        <w:t>X</w:t>
      </w:r>
      <w:r w:rsidRPr="00007931">
        <w:rPr>
          <w:kern w:val="0"/>
          <w:sz w:val="24"/>
        </w:rPr>
        <w:t>AUUSD6</w:t>
      </w:r>
      <w:r w:rsidRPr="00007931">
        <w:rPr>
          <w:rFonts w:hint="eastAsia"/>
          <w:kern w:val="0"/>
          <w:sz w:val="24"/>
        </w:rPr>
        <w:t>0</w:t>
      </w:r>
      <w:r w:rsidRPr="00007931">
        <w:rPr>
          <w:rFonts w:hint="eastAsia"/>
          <w:kern w:val="0"/>
          <w:sz w:val="24"/>
        </w:rPr>
        <w:t>统计结果如表</w:t>
      </w:r>
      <w:r w:rsidRPr="00007931">
        <w:rPr>
          <w:rFonts w:hint="eastAsia"/>
          <w:kern w:val="0"/>
          <w:sz w:val="24"/>
        </w:rPr>
        <w:t>3-2</w:t>
      </w:r>
      <w:r w:rsidRPr="00007931">
        <w:rPr>
          <w:rFonts w:hint="eastAsia"/>
          <w:kern w:val="0"/>
          <w:sz w:val="24"/>
        </w:rPr>
        <w:t>所示，月均交易</w:t>
      </w:r>
      <w:r w:rsidRPr="00007931">
        <w:rPr>
          <w:rFonts w:hint="eastAsia"/>
          <w:kern w:val="0"/>
          <w:sz w:val="24"/>
        </w:rPr>
        <w:t>15.6</w:t>
      </w:r>
      <w:r w:rsidRPr="00007931">
        <w:rPr>
          <w:rFonts w:hint="eastAsia"/>
          <w:kern w:val="0"/>
          <w:sz w:val="24"/>
        </w:rPr>
        <w:t>；</w:t>
      </w:r>
      <w:r w:rsidRPr="00007931">
        <w:rPr>
          <w:rFonts w:hint="eastAsia"/>
          <w:kern w:val="0"/>
          <w:sz w:val="24"/>
        </w:rPr>
        <w:t>X</w:t>
      </w:r>
      <w:r w:rsidRPr="00007931">
        <w:rPr>
          <w:kern w:val="0"/>
          <w:sz w:val="24"/>
        </w:rPr>
        <w:t>AUUSD</w:t>
      </w:r>
      <w:r w:rsidRPr="00007931">
        <w:rPr>
          <w:rFonts w:hint="eastAsia"/>
          <w:kern w:val="0"/>
          <w:sz w:val="24"/>
        </w:rPr>
        <w:t>240</w:t>
      </w:r>
      <w:r w:rsidRPr="00007931">
        <w:rPr>
          <w:rFonts w:hint="eastAsia"/>
          <w:kern w:val="0"/>
          <w:sz w:val="24"/>
        </w:rPr>
        <w:t>统计结果如表</w:t>
      </w:r>
      <w:r w:rsidRPr="00007931">
        <w:rPr>
          <w:rFonts w:hint="eastAsia"/>
          <w:kern w:val="0"/>
          <w:sz w:val="24"/>
        </w:rPr>
        <w:t>3-3</w:t>
      </w:r>
      <w:r w:rsidRPr="00007931">
        <w:rPr>
          <w:rFonts w:hint="eastAsia"/>
          <w:kern w:val="0"/>
          <w:sz w:val="24"/>
        </w:rPr>
        <w:t>所示，月均交易</w:t>
      </w:r>
      <w:r w:rsidRPr="00007931">
        <w:rPr>
          <w:rFonts w:hint="eastAsia"/>
          <w:kern w:val="0"/>
          <w:sz w:val="24"/>
        </w:rPr>
        <w:t>3.9</w:t>
      </w:r>
      <w:r w:rsidRPr="00007931">
        <w:rPr>
          <w:rFonts w:hint="eastAsia"/>
          <w:kern w:val="0"/>
          <w:sz w:val="24"/>
        </w:rPr>
        <w:t>；</w:t>
      </w:r>
    </w:p>
    <w:p w:rsidR="00A30AC0" w:rsidRDefault="00A30AC0" w:rsidP="00A30AC0">
      <w:pPr>
        <w:pStyle w:val="a4"/>
        <w:spacing w:line="360" w:lineRule="auto"/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表</w:t>
      </w:r>
      <w:r>
        <w:rPr>
          <w:rFonts w:hint="eastAsia"/>
          <w:bCs/>
          <w:sz w:val="21"/>
          <w:szCs w:val="21"/>
        </w:rPr>
        <w:t xml:space="preserve">3-1 </w:t>
      </w:r>
      <w:r>
        <w:rPr>
          <w:rFonts w:hint="eastAsia"/>
          <w:bCs/>
          <w:sz w:val="21"/>
          <w:szCs w:val="21"/>
        </w:rPr>
        <w:t>第</w:t>
      </w: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元素的</w:t>
      </w:r>
      <w:r>
        <w:rPr>
          <w:rFonts w:hint="eastAsia"/>
          <w:bCs/>
          <w:sz w:val="21"/>
          <w:szCs w:val="21"/>
        </w:rPr>
        <w:t>XAUUSD</w:t>
      </w:r>
      <w:r w:rsidR="0069221A">
        <w:rPr>
          <w:rFonts w:hint="eastAsia"/>
          <w:bCs/>
          <w:sz w:val="21"/>
          <w:szCs w:val="21"/>
        </w:rPr>
        <w:t>30</w:t>
      </w:r>
      <w:r>
        <w:rPr>
          <w:rFonts w:hint="eastAsia"/>
          <w:bCs/>
          <w:sz w:val="21"/>
          <w:szCs w:val="21"/>
        </w:rPr>
        <w:t>回测结果</w:t>
      </w:r>
    </w:p>
    <w:tbl>
      <w:tblPr>
        <w:tblW w:w="104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157A50" w:rsidRPr="000C3932" w:rsidTr="00DC38B8">
        <w:trPr>
          <w:tblHeader/>
          <w:jc w:val="center"/>
        </w:trPr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年收益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最大衰落金额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每笔</w:t>
            </w:r>
          </w:p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期望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</w:t>
            </w:r>
          </w:p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衰落期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胜率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亏损单均亏损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获利因子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-13958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78573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-0.178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-35.3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1231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0.751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-249.6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157A50" w:rsidRPr="000C3932" w:rsidRDefault="00157A50" w:rsidP="00157A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-0.432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-11298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64217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-0.176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-28.6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1235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0.828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-591.3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-0.719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-9388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56108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-0.167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-23.7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1241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0.773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-606.7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-0.827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-8665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51383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-0.169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-21.9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1293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0.716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-601.1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-0.871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-7914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48136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-0.164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-20.0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1281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0.672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-605.7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-0.899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-4393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33643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-0.131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-11.1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1271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0.637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-603.0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-0.949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-6349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41270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-0.154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-16.1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1295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0.600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-613.3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-0.935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-3686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34581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-0.107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-9.3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1293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0.569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-608.6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-0.964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-1569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30543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-0.051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-4.0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1305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0.542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-606.2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-0.986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-4293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33262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-0.129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-10.9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1363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0.512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-611.0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-0.964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1.1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-3134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33163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-0.094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-7.9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1338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0.491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-612.2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-0.975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1.2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-3136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25312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-0.124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-7.9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1353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0.473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-617.1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-0.976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1.3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-3060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30244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-0.101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-7.7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735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0.452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-616.4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-0.977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1.4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1787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26255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0.068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727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0.441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-615.5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-1.013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1.5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1383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30187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0.046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551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0.424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-616.6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-1.010 </w:t>
            </w:r>
          </w:p>
        </w:tc>
      </w:tr>
      <w:tr w:rsidR="00157A50" w:rsidRPr="000C3932" w:rsidTr="007012B2">
        <w:trPr>
          <w:trHeight w:val="187"/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1.6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-940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38433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-0.024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-2.4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688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0.404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-616.2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-0.994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1.7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-1262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36437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-0.035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759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0.388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-615.7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-0.992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1.8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-1682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38204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-0.044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-4.3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763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0.372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-614.4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-0.989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1.9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-529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36345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-0.015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766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0.361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-613.6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-0.997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260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35160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0.007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554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0.352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-615.3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-1.002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2.1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321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41897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0.008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578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0.340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-614.8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-1.002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2.2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-2532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54427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-0.047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-6.4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1062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0.328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-616.5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-0.985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2.3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-369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50296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-0.007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554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0.320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-615.4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-0.998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2.4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-1630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51814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-0.031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-4.1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597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0.311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-616.3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-0.990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2.5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-200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55130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-0.004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630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0.303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-615.5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-0.999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2.6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1630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52490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0.031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4.1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633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0.297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-615.2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-1.010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2.7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3625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55286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0.066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9.2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589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0.291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-614.8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-1.021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2.8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3130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51398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0.061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7.9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590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0.282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-614.5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-1.018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2.9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6189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49057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0.126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15.7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537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0.277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-613.2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-1.035 </w:t>
            </w:r>
          </w:p>
        </w:tc>
      </w:tr>
      <w:tr w:rsidR="00157A50" w:rsidRPr="000C3932" w:rsidTr="00DC38B8">
        <w:trPr>
          <w:jc w:val="center"/>
        </w:trPr>
        <w:tc>
          <w:tcPr>
            <w:tcW w:w="1159" w:type="dxa"/>
            <w:vAlign w:val="center"/>
          </w:tcPr>
          <w:p w:rsidR="00157A50" w:rsidRPr="000C3932" w:rsidRDefault="00157A50" w:rsidP="00157A5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159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6223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53987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0.115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15.7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578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0.270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-613.2 </w:t>
            </w:r>
          </w:p>
        </w:tc>
        <w:tc>
          <w:tcPr>
            <w:tcW w:w="1160" w:type="dxa"/>
            <w:vAlign w:val="center"/>
          </w:tcPr>
          <w:p w:rsidR="00157A50" w:rsidRPr="000C3932" w:rsidRDefault="00157A50" w:rsidP="00157A50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-1.035 </w:t>
            </w:r>
          </w:p>
        </w:tc>
      </w:tr>
    </w:tbl>
    <w:p w:rsidR="00A30AC0" w:rsidRDefault="00A30AC0">
      <w:pPr>
        <w:pStyle w:val="a4"/>
        <w:spacing w:line="360" w:lineRule="auto"/>
        <w:jc w:val="center"/>
        <w:rPr>
          <w:bCs/>
          <w:sz w:val="21"/>
          <w:szCs w:val="21"/>
        </w:rPr>
      </w:pPr>
    </w:p>
    <w:p w:rsidR="00157A50" w:rsidRDefault="00157A50">
      <w:pPr>
        <w:pStyle w:val="a4"/>
        <w:spacing w:line="360" w:lineRule="auto"/>
        <w:jc w:val="center"/>
        <w:rPr>
          <w:bCs/>
          <w:sz w:val="21"/>
          <w:szCs w:val="21"/>
        </w:rPr>
      </w:pPr>
    </w:p>
    <w:p w:rsidR="001457A4" w:rsidRDefault="001457A4">
      <w:pPr>
        <w:pStyle w:val="a4"/>
        <w:spacing w:line="360" w:lineRule="auto"/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表</w:t>
      </w:r>
      <w:r>
        <w:rPr>
          <w:rFonts w:hint="eastAsia"/>
          <w:bCs/>
          <w:sz w:val="21"/>
          <w:szCs w:val="21"/>
        </w:rPr>
        <w:t>3-</w:t>
      </w:r>
      <w:r w:rsidR="00DA61E2"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第</w:t>
      </w: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元素的</w:t>
      </w:r>
      <w:r>
        <w:rPr>
          <w:rFonts w:hint="eastAsia"/>
          <w:bCs/>
          <w:sz w:val="21"/>
          <w:szCs w:val="21"/>
        </w:rPr>
        <w:t>XAUUSD60</w:t>
      </w:r>
      <w:r>
        <w:rPr>
          <w:rFonts w:hint="eastAsia"/>
          <w:bCs/>
          <w:sz w:val="21"/>
          <w:szCs w:val="21"/>
        </w:rPr>
        <w:t>回测结果</w:t>
      </w:r>
    </w:p>
    <w:tbl>
      <w:tblPr>
        <w:tblW w:w="10438" w:type="dxa"/>
        <w:tblInd w:w="-67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7E04FC" w:rsidTr="004C7587">
        <w:trPr>
          <w:tblHeader/>
        </w:trPr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年收益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最大衰落金额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每笔</w:t>
            </w:r>
          </w:p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期望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</w:t>
            </w:r>
          </w:p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衰落期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胜率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亏损单均亏损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获利因子</w:t>
            </w:r>
          </w:p>
        </w:tc>
      </w:tr>
      <w:tr w:rsidR="007E04FC" w:rsidTr="004C7587"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-5571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77775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-0.072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-29.3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4018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0.822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-527.1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-0.687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-5160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72681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-0.071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-27.1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4066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0.817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-922.6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-0.839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-3373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61610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-0.055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-17.7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4102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0.769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-984.1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-0.922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-1470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61585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-0.024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-7.7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3481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0.724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-1002.8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-0.972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-780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50617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-0.015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-4.1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3530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0.678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-1004.6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-0.987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-183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45300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-0.004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2187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0.639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-1012.6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-0.997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4416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35571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0.124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23.2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958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0.616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-1012.7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-1.060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5095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39022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0.131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794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0.583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-1011.2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-1.063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8126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31898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0.255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42.7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706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0.558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-1006.0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-1.096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9156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38286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0.239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48.2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730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0.531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-1003.3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-1.102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1.1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10379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30887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0.336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54.6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622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0.506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-1000.4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-1.111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1.2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11942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30487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0.392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62.8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523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0.485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-997.4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-1.122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1.3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14454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26578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0.544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76.0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432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0.470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-999.2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-1.144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1.4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17335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23687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0.732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91.2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396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0.456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-998.9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-1.168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1.5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19733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29436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0.670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103.8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439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0.443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-999.8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-1.186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1.6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21143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33778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0.626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111.2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445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0.428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-999.5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-1.195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1.7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22684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33199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0.683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119.3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410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0.417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-1001.7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-1.204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1.8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22345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38049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0.587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117.5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394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-1007.1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-1.196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1.9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24117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54621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0.442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126.8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1316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0.395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-1009.8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-1.208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22756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56027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119.7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1385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0.382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-1014.1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-1.191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2.1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23465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51823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0.453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123.4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1381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0.370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-1013.0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-1.193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2.2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23348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50921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0.459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122.8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1333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0.360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-1014.5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-1.189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2.3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25858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44292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0.584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136.0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1303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-1011.3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-1.207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2.4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25697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52658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0.488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135.1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1371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0.342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-1012.1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-1.203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2.5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24321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62284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0.390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127.9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1724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0.332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-1013.2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-1.189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2.6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22970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58913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0.390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120.8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1704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0.322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-1015.9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-1.175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2.7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24158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59380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127.1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809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0.316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-1016.5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-1.183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2.8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23169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57869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121.8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1238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0.307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-1019.3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-1.173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2.9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24455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56332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0.434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128.6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1565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0.301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-1019.0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-1.181</w:t>
            </w:r>
          </w:p>
        </w:tc>
      </w:tr>
      <w:tr w:rsidR="007E04FC" w:rsidTr="004C7587"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159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25919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54802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0.473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136.3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584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0.295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-1016.8</w:t>
            </w:r>
          </w:p>
        </w:tc>
        <w:tc>
          <w:tcPr>
            <w:tcW w:w="1160" w:type="dxa"/>
            <w:vAlign w:val="center"/>
          </w:tcPr>
          <w:p w:rsidR="007E04FC" w:rsidRPr="009F4384" w:rsidRDefault="007E04FC" w:rsidP="007E04FC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-1.190</w:t>
            </w:r>
          </w:p>
        </w:tc>
      </w:tr>
    </w:tbl>
    <w:p w:rsidR="00CC3BB1" w:rsidRDefault="00CC3BB1" w:rsidP="008A79E2">
      <w:pPr>
        <w:pStyle w:val="a4"/>
        <w:spacing w:line="360" w:lineRule="auto"/>
        <w:ind w:firstLineChars="0" w:firstLine="0"/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表</w:t>
      </w:r>
      <w:r>
        <w:rPr>
          <w:rFonts w:hint="eastAsia"/>
          <w:bCs/>
          <w:sz w:val="21"/>
          <w:szCs w:val="21"/>
        </w:rPr>
        <w:t>3-</w:t>
      </w:r>
      <w:r w:rsidR="00DA61E2">
        <w:rPr>
          <w:rFonts w:hint="eastAsia"/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第</w:t>
      </w: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元素的</w:t>
      </w:r>
      <w:r>
        <w:rPr>
          <w:rFonts w:hint="eastAsia"/>
          <w:bCs/>
          <w:sz w:val="21"/>
          <w:szCs w:val="21"/>
        </w:rPr>
        <w:t>XAUUSD240</w:t>
      </w:r>
      <w:r>
        <w:rPr>
          <w:rFonts w:hint="eastAsia"/>
          <w:bCs/>
          <w:sz w:val="21"/>
          <w:szCs w:val="21"/>
        </w:rPr>
        <w:t>回测结果</w:t>
      </w:r>
    </w:p>
    <w:tbl>
      <w:tblPr>
        <w:tblW w:w="10438" w:type="dxa"/>
        <w:tblInd w:w="-67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DC38B8" w:rsidTr="004C7587">
        <w:trPr>
          <w:tblHeader/>
        </w:trPr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年收益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最大衰落金额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每笔</w:t>
            </w:r>
          </w:p>
          <w:p w:rsidR="00DC38B8" w:rsidRPr="000530B7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期望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</w:t>
            </w:r>
          </w:p>
          <w:p w:rsidR="00DC38B8" w:rsidRPr="000530B7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衰落期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胜率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亏损单均亏损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38B8" w:rsidRPr="000530B7" w:rsidRDefault="00DC38B8" w:rsidP="00DC38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获利因子</w:t>
            </w:r>
          </w:p>
        </w:tc>
      </w:tr>
      <w:tr w:rsidR="000530B7" w:rsidTr="004C7587"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-556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Default="000530B7" w:rsidP="000530B7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15990 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-0.035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-11.6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2498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0.900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-1753.8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0530B7" w:rsidRPr="000530B7" w:rsidRDefault="000530B7" w:rsidP="000530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-0.934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18204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0.055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21.0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1919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0.842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-1963.0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-1.067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3285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22635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0.145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68.7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1928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0.788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-1946.9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-1.166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4686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21217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0.221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97.9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799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0.750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-2053.2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-1.191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5764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21217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0.272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120.5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696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0.709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-2074.9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-1.199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7130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21217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0.336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149.0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714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0.670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-2067.1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-1.219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0.7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5079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33475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0.152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106.1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2287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0.625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-2106.5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-1.134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6439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35000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0.184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134.6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1916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0.593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-2079.2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-1.159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6572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32098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0.205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137.3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2432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0.564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-2090.2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-1.151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4540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48364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0.094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94.9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2427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0.536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-2138.2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-1.096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1.1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6131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51233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0.120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128.1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2419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0.513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-2115.5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-1.124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1.2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6045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42517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0.142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126.3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2014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0.488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-2107.8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-1.117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1.3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7099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56177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0.126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148.4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2416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0.470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-2100.8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-1.133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1.4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9402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49189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0.191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196.5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1737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0.458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-2095.4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-1.173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1.5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12161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46546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0.261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254.2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1424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0.448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-2086.2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-1.221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1.6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12159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41082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0.296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254.1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1296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0.433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-2094.3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-1.214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1.7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9555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46821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0.204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199.7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1597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0.412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-2114.4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-1.161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1.8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10204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54845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0.186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213.3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1422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-2118.1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-1.168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1.9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9786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63523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0.154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204.5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1593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0.389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-2131.4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-1.157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10660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63503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0.168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222.8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2615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0.380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-2135.5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-1.168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2.1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11321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64430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0.176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236.6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1270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0.366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-2120.3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-1.176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2.2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12466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65673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0.190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260.5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1057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-2121.3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-1.192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2.3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13661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65729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0.208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285.5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1301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-2123.1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-1.208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2.4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12689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84699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0.150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265.2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2091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0.338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-2121.0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-1.189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2.5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13507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85634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0.158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282.3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1253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0.328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-2108.1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-1.199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2.6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12991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84068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0.155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271.5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2092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0.318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-2110.1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-1.189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2.7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13678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77853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0.176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285.8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2676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0.313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-2103.4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-1.198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2.8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15731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71335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0.221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328.8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2070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0.310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-2104.1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-1.226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2.9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14809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64800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0.229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309.5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1850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0.301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-2109.3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-1.210</w:t>
            </w:r>
          </w:p>
        </w:tc>
      </w:tr>
      <w:tr w:rsidR="000530B7" w:rsidTr="004C7587">
        <w:tc>
          <w:tcPr>
            <w:tcW w:w="1159" w:type="dxa"/>
            <w:vAlign w:val="center"/>
          </w:tcPr>
          <w:p w:rsidR="000530B7" w:rsidRPr="000530B7" w:rsidRDefault="000530B7" w:rsidP="000530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159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15296</w:t>
            </w:r>
          </w:p>
        </w:tc>
        <w:tc>
          <w:tcPr>
            <w:tcW w:w="1160" w:type="dxa"/>
            <w:vAlign w:val="center"/>
          </w:tcPr>
          <w:p w:rsidR="000530B7" w:rsidRDefault="000530B7" w:rsidP="000530B7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63436 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0.241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319.7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1573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0.296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-2115.0</w:t>
            </w:r>
          </w:p>
        </w:tc>
        <w:tc>
          <w:tcPr>
            <w:tcW w:w="1160" w:type="dxa"/>
            <w:vAlign w:val="center"/>
          </w:tcPr>
          <w:p w:rsidR="000530B7" w:rsidRPr="000530B7" w:rsidRDefault="000530B7" w:rsidP="000530B7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530B7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-1.215</w:t>
            </w:r>
          </w:p>
        </w:tc>
      </w:tr>
    </w:tbl>
    <w:p w:rsidR="00CC3BB1" w:rsidRDefault="00B21EB4" w:rsidP="007322E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从结果中我们可以看到：</w:t>
      </w:r>
    </w:p>
    <w:p w:rsidR="00215E35" w:rsidRDefault="00215E35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3B39886C" wp14:editId="32F934EF">
            <wp:extent cx="5457825" cy="3228975"/>
            <wp:effectExtent l="0" t="0" r="9525" b="952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C3220419-CC19-4B61-BA17-D93A283CA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322EA" w:rsidRDefault="007322EA" w:rsidP="007322EA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3-1</w:t>
      </w:r>
      <w:r>
        <w:rPr>
          <w:sz w:val="24"/>
        </w:rPr>
        <w:t xml:space="preserve"> XAUUSD</w:t>
      </w:r>
      <w:r>
        <w:rPr>
          <w:rFonts w:hint="eastAsia"/>
          <w:sz w:val="24"/>
        </w:rPr>
        <w:t>年均收益随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变化曲线图</w:t>
      </w:r>
    </w:p>
    <w:p w:rsidR="003020A6" w:rsidRDefault="003020A6" w:rsidP="00AB374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周期越大，月均交易越少</w:t>
      </w:r>
      <w:r w:rsidR="00F9195D">
        <w:rPr>
          <w:rFonts w:hint="eastAsia"/>
          <w:sz w:val="24"/>
        </w:rPr>
        <w:t>，且呈现出月均交易比等于时间周期比的规律</w:t>
      </w:r>
      <w:r>
        <w:rPr>
          <w:rFonts w:hint="eastAsia"/>
          <w:sz w:val="24"/>
        </w:rPr>
        <w:t>。由式（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）知，一段时间后的总收益为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L*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R+1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>
        <w:rPr>
          <w:rFonts w:hint="eastAsia"/>
          <w:sz w:val="24"/>
        </w:rPr>
        <w:t>，考虑到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变小而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变大，而且周期不同，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pR</m:t>
        </m:r>
      </m:oMath>
      <w:r>
        <w:rPr>
          <w:rFonts w:hint="eastAsia"/>
          <w:sz w:val="24"/>
        </w:rPr>
        <w:t>关系也会有一定变化，年均收益结果未可知。</w:t>
      </w:r>
    </w:p>
    <w:p w:rsidR="004A1AA2" w:rsidRDefault="004A1AA2" w:rsidP="00AB374E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4B312AC7" wp14:editId="3842EE6F">
            <wp:extent cx="5600700" cy="3362325"/>
            <wp:effectExtent l="0" t="0" r="0" b="952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9F8F0637-C59B-4CB8-80EB-48440231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322EA" w:rsidRDefault="007322EA" w:rsidP="007322EA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3-2</w:t>
      </w:r>
      <w:r>
        <w:rPr>
          <w:sz w:val="24"/>
        </w:rPr>
        <w:t xml:space="preserve"> XAUUSD</w:t>
      </w:r>
      <w:r>
        <w:rPr>
          <w:rFonts w:hint="eastAsia"/>
          <w:sz w:val="24"/>
        </w:rPr>
        <w:t>系列最大衰落金额随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变化曲线图</w:t>
      </w:r>
    </w:p>
    <w:p w:rsidR="004A1AA2" w:rsidRDefault="004A1AA2" w:rsidP="00AB374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就最大衰落金额来说，</w:t>
      </w:r>
      <w:r>
        <w:rPr>
          <w:sz w:val="24"/>
        </w:rPr>
        <w:t>XAUUSD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与</w:t>
      </w:r>
      <w:r>
        <w:rPr>
          <w:sz w:val="24"/>
        </w:rPr>
        <w:t>XAUUSD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相差不多，当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0.9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240</w:t>
      </w:r>
      <w:r>
        <w:rPr>
          <w:rFonts w:hint="eastAsia"/>
          <w:sz w:val="24"/>
        </w:rPr>
        <w:t>下的最大衰落金额明显变大。</w:t>
      </w:r>
    </w:p>
    <w:p w:rsidR="00093D40" w:rsidRDefault="00093D40" w:rsidP="00AB374E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4B4AFF5B" wp14:editId="39737593">
            <wp:extent cx="5505450" cy="302895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A9A8F794-CD08-4D52-A12B-F8E4477B7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C32BA" w:rsidRDefault="009C32BA" w:rsidP="009C32BA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3-3</w:t>
      </w:r>
      <w:r>
        <w:rPr>
          <w:sz w:val="24"/>
        </w:rPr>
        <w:t xml:space="preserve"> XAUUSD</w:t>
      </w:r>
      <w:r>
        <w:rPr>
          <w:rFonts w:hint="eastAsia"/>
          <w:sz w:val="24"/>
        </w:rPr>
        <w:t>系类</w:t>
      </w:r>
      <w:r>
        <w:rPr>
          <w:rFonts w:hint="eastAsia"/>
          <w:sz w:val="24"/>
        </w:rPr>
        <w:t>M</w:t>
      </w:r>
      <w:r>
        <w:rPr>
          <w:sz w:val="24"/>
        </w:rPr>
        <w:t>AR</w:t>
      </w:r>
      <w:r>
        <w:rPr>
          <w:rFonts w:hint="eastAsia"/>
          <w:sz w:val="24"/>
        </w:rPr>
        <w:t>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变化曲线图</w:t>
      </w:r>
    </w:p>
    <w:p w:rsidR="00AC46C2" w:rsidRPr="003020A6" w:rsidRDefault="00AC46C2" w:rsidP="00AB374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就</w:t>
      </w:r>
      <w:r>
        <w:rPr>
          <w:rFonts w:hint="eastAsia"/>
          <w:sz w:val="24"/>
        </w:rPr>
        <w:t>M</w:t>
      </w:r>
      <w:r>
        <w:rPr>
          <w:sz w:val="24"/>
        </w:rPr>
        <w:t>AR</w:t>
      </w:r>
      <w:r>
        <w:rPr>
          <w:rFonts w:hint="eastAsia"/>
          <w:sz w:val="24"/>
        </w:rPr>
        <w:t>来说，策略在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下并未体现出多大的优势，在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下表现良好。</w:t>
      </w:r>
    </w:p>
    <w:p w:rsidR="00684805" w:rsidRDefault="00684805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796E34E5" wp14:editId="13F033C0">
            <wp:extent cx="5486400" cy="30480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DB67BAA-E354-46D4-9E7E-C8F69DF6E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E22FD" w:rsidRDefault="007E22FD" w:rsidP="007E22FD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3-4</w:t>
      </w:r>
      <w:r>
        <w:rPr>
          <w:sz w:val="24"/>
        </w:rPr>
        <w:t xml:space="preserve"> XAUUSD</w:t>
      </w:r>
      <w:r>
        <w:rPr>
          <w:rFonts w:hint="eastAsia"/>
          <w:sz w:val="24"/>
        </w:rPr>
        <w:t>系列每笔期望随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变化曲线图</w:t>
      </w:r>
    </w:p>
    <w:p w:rsidR="00B21EB4" w:rsidRDefault="0031396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</w:t>
      </w:r>
      <w:r w:rsidR="00B21EB4">
        <w:rPr>
          <w:rFonts w:hint="eastAsia"/>
          <w:sz w:val="24"/>
        </w:rPr>
        <w:t>.</w:t>
      </w:r>
      <w:r w:rsidR="00B21EB4">
        <w:rPr>
          <w:rFonts w:hint="eastAsia"/>
          <w:sz w:val="24"/>
        </w:rPr>
        <w:t>周期越大，亏损单均亏损越大</w:t>
      </w:r>
      <w:r w:rsidR="00164357">
        <w:rPr>
          <w:rFonts w:hint="eastAsia"/>
          <w:sz w:val="24"/>
        </w:rPr>
        <w:t>（</w:t>
      </w:r>
      <w:r w:rsidR="00164357">
        <w:rPr>
          <w:rFonts w:hint="eastAsia"/>
          <w:sz w:val="24"/>
        </w:rPr>
        <w:t>L</w:t>
      </w:r>
      <w:r w:rsidR="00164357">
        <w:rPr>
          <w:rFonts w:hint="eastAsia"/>
          <w:sz w:val="24"/>
        </w:rPr>
        <w:t>越大）</w:t>
      </w:r>
      <w:r w:rsidR="00EC45CB">
        <w:rPr>
          <w:rFonts w:hint="eastAsia"/>
          <w:sz w:val="24"/>
        </w:rPr>
        <w:t>。</w:t>
      </w:r>
      <w:r w:rsidR="00B21EB4">
        <w:rPr>
          <w:rFonts w:hint="eastAsia"/>
          <w:sz w:val="24"/>
        </w:rPr>
        <w:t>由式</w:t>
      </w:r>
      <w:r w:rsidR="00164357">
        <w:rPr>
          <w:rFonts w:hint="eastAsia"/>
          <w:sz w:val="24"/>
        </w:rPr>
        <w:t>（</w:t>
      </w:r>
      <w:r w:rsidR="00164357">
        <w:rPr>
          <w:rFonts w:hint="eastAsia"/>
          <w:sz w:val="24"/>
        </w:rPr>
        <w:t>2-2</w:t>
      </w:r>
      <w:r w:rsidR="00164357">
        <w:rPr>
          <w:rFonts w:hint="eastAsia"/>
          <w:sz w:val="24"/>
        </w:rPr>
        <w:t>）知，每笔期望为</w:t>
      </w:r>
      <m:oMath>
        <m:r>
          <w:rPr>
            <w:rFonts w:ascii="Cambria Math" w:hAnsi="Cambria Math"/>
            <w:sz w:val="24"/>
          </w:rPr>
          <m:t>L*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R+1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 xml:space="preserve"> </m:t>
        </m:r>
      </m:oMath>
      <w:r w:rsidR="00164357">
        <w:rPr>
          <w:rFonts w:hint="eastAsia"/>
          <w:sz w:val="24"/>
        </w:rPr>
        <w:t>，故而每笔期望可能更大。</w:t>
      </w:r>
    </w:p>
    <w:p w:rsidR="00313967" w:rsidRDefault="00313967" w:rsidP="00313967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0D430DE3" wp14:editId="60787C41">
            <wp:extent cx="5619750" cy="3076575"/>
            <wp:effectExtent l="0" t="0" r="0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6DB4B3D-735C-4CB7-A79E-0D72D2399E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D70D9" w:rsidRDefault="003D70D9" w:rsidP="003D70D9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3-5</w:t>
      </w:r>
      <w:r>
        <w:rPr>
          <w:sz w:val="24"/>
        </w:rPr>
        <w:t xml:space="preserve"> XAUUSD</w:t>
      </w:r>
      <w:r>
        <w:rPr>
          <w:rFonts w:hint="eastAsia"/>
          <w:sz w:val="24"/>
        </w:rPr>
        <w:t>系列最大</w:t>
      </w:r>
      <w:proofErr w:type="gramStart"/>
      <w:r>
        <w:rPr>
          <w:rFonts w:hint="eastAsia"/>
          <w:sz w:val="24"/>
        </w:rPr>
        <w:t>衰落期随</w:t>
      </w:r>
      <w:proofErr w:type="gramEnd"/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变化曲线图</w:t>
      </w:r>
    </w:p>
    <w:p w:rsidR="00313967" w:rsidRDefault="00313967" w:rsidP="0031396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0.7</w:t>
      </w:r>
      <w:r>
        <w:rPr>
          <w:rFonts w:hint="eastAsia"/>
          <w:sz w:val="24"/>
        </w:rPr>
        <w:t>时，同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值下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240</w:t>
      </w:r>
      <w:r>
        <w:rPr>
          <w:rFonts w:hint="eastAsia"/>
          <w:sz w:val="24"/>
        </w:rPr>
        <w:t>的最大衰落期多数大于</w:t>
      </w:r>
      <w:r>
        <w:rPr>
          <w:rFonts w:hint="eastAsia"/>
          <w:sz w:val="24"/>
        </w:rPr>
        <w:t>X</w:t>
      </w:r>
      <w:r>
        <w:rPr>
          <w:sz w:val="24"/>
        </w:rPr>
        <w:t>AUUSD60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lastRenderedPageBreak/>
        <w:t>最大衰落期（由于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下，策略多为亏损，不计入比较）。</w:t>
      </w:r>
    </w:p>
    <w:p w:rsidR="00313967" w:rsidRPr="00313967" w:rsidRDefault="00313967">
      <w:pPr>
        <w:spacing w:line="360" w:lineRule="auto"/>
        <w:ind w:firstLine="420"/>
        <w:rPr>
          <w:sz w:val="24"/>
        </w:rPr>
      </w:pPr>
    </w:p>
    <w:p w:rsidR="00190956" w:rsidRDefault="00190956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651D4C3B" wp14:editId="5CEDB838">
            <wp:extent cx="5759450" cy="2942590"/>
            <wp:effectExtent l="0" t="0" r="12700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12767E9-37EF-4B26-9473-670F27E89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96C96" w:rsidRDefault="00C96C96" w:rsidP="00C96C96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3-6</w:t>
      </w:r>
      <w:r>
        <w:rPr>
          <w:sz w:val="24"/>
        </w:rPr>
        <w:t xml:space="preserve"> XAUUSD</w:t>
      </w:r>
      <w:r>
        <w:rPr>
          <w:rFonts w:hint="eastAsia"/>
          <w:sz w:val="24"/>
        </w:rPr>
        <w:t>系列胜率随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变化直方图</w:t>
      </w:r>
    </w:p>
    <w:p w:rsidR="004C7587" w:rsidRDefault="00313967" w:rsidP="00EC45C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6</w:t>
      </w:r>
      <w:r w:rsidR="00190956">
        <w:rPr>
          <w:rFonts w:hint="eastAsia"/>
          <w:sz w:val="24"/>
        </w:rPr>
        <w:t>.</w:t>
      </w:r>
      <w:r w:rsidR="00190956">
        <w:rPr>
          <w:rFonts w:hint="eastAsia"/>
          <w:sz w:val="24"/>
        </w:rPr>
        <w:t>无论哪种周期，胜率均随着</w:t>
      </w:r>
      <w:r w:rsidR="00190956">
        <w:rPr>
          <w:rFonts w:hint="eastAsia"/>
          <w:sz w:val="24"/>
        </w:rPr>
        <w:t>R</w:t>
      </w:r>
      <w:r w:rsidR="00190956">
        <w:rPr>
          <w:rFonts w:hint="eastAsia"/>
          <w:sz w:val="24"/>
        </w:rPr>
        <w:t>增大而减小</w:t>
      </w:r>
      <w:r w:rsidR="00EC45CB">
        <w:rPr>
          <w:rFonts w:hint="eastAsia"/>
          <w:sz w:val="24"/>
        </w:rPr>
        <w:t>。</w:t>
      </w:r>
      <w:r w:rsidR="00190956">
        <w:rPr>
          <w:rFonts w:hint="eastAsia"/>
          <w:sz w:val="24"/>
        </w:rPr>
        <w:t>图中</w:t>
      </w:r>
      <w:r w:rsidR="00190956">
        <w:rPr>
          <w:rFonts w:hint="eastAsia"/>
          <w:sz w:val="24"/>
        </w:rPr>
        <w:t>X</w:t>
      </w:r>
      <w:r w:rsidR="00190956">
        <w:rPr>
          <w:sz w:val="24"/>
        </w:rPr>
        <w:t>AUUSD</w:t>
      </w:r>
      <w:r w:rsidR="00190956">
        <w:rPr>
          <w:rFonts w:hint="eastAsia"/>
          <w:sz w:val="24"/>
        </w:rPr>
        <w:t>30</w:t>
      </w:r>
      <w:r w:rsidR="00190956">
        <w:rPr>
          <w:rFonts w:hint="eastAsia"/>
          <w:sz w:val="24"/>
        </w:rPr>
        <w:t>的胜率明显小于同</w:t>
      </w:r>
      <w:r w:rsidR="00114AFE">
        <w:rPr>
          <w:rFonts w:hint="eastAsia"/>
          <w:sz w:val="24"/>
        </w:rPr>
        <w:t>R</w:t>
      </w:r>
      <w:r w:rsidR="00190956">
        <w:rPr>
          <w:rFonts w:hint="eastAsia"/>
          <w:sz w:val="24"/>
        </w:rPr>
        <w:t>值下的</w:t>
      </w:r>
      <w:r w:rsidR="00190956">
        <w:rPr>
          <w:rFonts w:hint="eastAsia"/>
          <w:sz w:val="24"/>
        </w:rPr>
        <w:t>X</w:t>
      </w:r>
      <w:r w:rsidR="00190956">
        <w:rPr>
          <w:sz w:val="24"/>
        </w:rPr>
        <w:t>AUUSD60</w:t>
      </w:r>
      <w:r w:rsidR="00190956">
        <w:rPr>
          <w:rFonts w:hint="eastAsia"/>
          <w:sz w:val="24"/>
        </w:rPr>
        <w:t>与</w:t>
      </w:r>
      <w:r w:rsidR="00190956">
        <w:rPr>
          <w:rFonts w:hint="eastAsia"/>
          <w:sz w:val="24"/>
        </w:rPr>
        <w:t>X</w:t>
      </w:r>
      <w:r w:rsidR="00190956">
        <w:rPr>
          <w:sz w:val="24"/>
        </w:rPr>
        <w:t>AUUSD240</w:t>
      </w:r>
      <w:r w:rsidR="00190956">
        <w:rPr>
          <w:rFonts w:hint="eastAsia"/>
          <w:sz w:val="24"/>
        </w:rPr>
        <w:t>。</w:t>
      </w:r>
    </w:p>
    <w:p w:rsidR="00F961E8" w:rsidRDefault="00F961E8" w:rsidP="00EC45C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总结</w:t>
      </w:r>
      <w:r w:rsidR="009A0566">
        <w:rPr>
          <w:rFonts w:hint="eastAsia"/>
          <w:sz w:val="24"/>
        </w:rPr>
        <w:t>：</w:t>
      </w:r>
    </w:p>
    <w:p w:rsidR="00F961E8" w:rsidRPr="0094720A" w:rsidRDefault="00F961E8" w:rsidP="00EC45CB">
      <w:pPr>
        <w:spacing w:line="360" w:lineRule="auto"/>
        <w:ind w:firstLine="420"/>
        <w:rPr>
          <w:sz w:val="24"/>
        </w:rPr>
      </w:pPr>
      <w:r w:rsidRPr="0094720A">
        <w:rPr>
          <w:rFonts w:hint="eastAsia"/>
          <w:sz w:val="24"/>
        </w:rPr>
        <w:t>1.</w:t>
      </w:r>
      <w:r w:rsidR="00E02E56" w:rsidRPr="0094720A">
        <w:rPr>
          <w:rFonts w:hint="eastAsia"/>
          <w:sz w:val="24"/>
        </w:rPr>
        <w:t>时间</w:t>
      </w:r>
      <w:r w:rsidRPr="0094720A">
        <w:rPr>
          <w:rFonts w:hint="eastAsia"/>
          <w:sz w:val="24"/>
        </w:rPr>
        <w:t>周期越大，月均交易越少，月均交易比等于时间周期比。</w:t>
      </w:r>
    </w:p>
    <w:p w:rsidR="00F961E8" w:rsidRPr="0094720A" w:rsidRDefault="00F961E8" w:rsidP="00EC45CB">
      <w:pPr>
        <w:spacing w:line="360" w:lineRule="auto"/>
        <w:ind w:firstLine="420"/>
        <w:rPr>
          <w:sz w:val="24"/>
        </w:rPr>
      </w:pPr>
      <w:r w:rsidRPr="0094720A">
        <w:rPr>
          <w:rFonts w:hint="eastAsia"/>
          <w:sz w:val="24"/>
        </w:rPr>
        <w:t>2.</w:t>
      </w:r>
      <w:r w:rsidR="00E02E56" w:rsidRPr="0094720A">
        <w:rPr>
          <w:rFonts w:hint="eastAsia"/>
          <w:sz w:val="24"/>
        </w:rPr>
        <w:t>时间</w:t>
      </w:r>
      <w:r w:rsidRPr="0094720A">
        <w:rPr>
          <w:rFonts w:hint="eastAsia"/>
          <w:sz w:val="24"/>
        </w:rPr>
        <w:t>周期越大，亏损单均亏损越大。</w:t>
      </w:r>
    </w:p>
    <w:p w:rsidR="00F961E8" w:rsidRPr="0094720A" w:rsidRDefault="00F961E8" w:rsidP="00EC45CB">
      <w:pPr>
        <w:spacing w:line="360" w:lineRule="auto"/>
        <w:ind w:firstLine="420"/>
        <w:rPr>
          <w:sz w:val="24"/>
        </w:rPr>
      </w:pPr>
      <w:r w:rsidRPr="0094720A">
        <w:rPr>
          <w:rFonts w:hint="eastAsia"/>
          <w:sz w:val="24"/>
        </w:rPr>
        <w:t>3.</w:t>
      </w:r>
      <w:r w:rsidR="00E02E56" w:rsidRPr="0094720A">
        <w:rPr>
          <w:rFonts w:hint="eastAsia"/>
          <w:sz w:val="24"/>
        </w:rPr>
        <w:t>时间</w:t>
      </w:r>
      <w:r w:rsidRPr="0094720A">
        <w:rPr>
          <w:rFonts w:hint="eastAsia"/>
          <w:sz w:val="24"/>
        </w:rPr>
        <w:t>周期越大，亏损单均亏损越大，每笔期望越大。</w:t>
      </w:r>
    </w:p>
    <w:p w:rsidR="00F961E8" w:rsidRDefault="00F961E8" w:rsidP="00EC45CB">
      <w:pPr>
        <w:spacing w:line="360" w:lineRule="auto"/>
        <w:ind w:firstLine="420"/>
        <w:rPr>
          <w:sz w:val="24"/>
        </w:rPr>
      </w:pPr>
      <w:r w:rsidRPr="0094720A">
        <w:rPr>
          <w:rFonts w:hint="eastAsia"/>
          <w:sz w:val="24"/>
        </w:rPr>
        <w:t>4.</w:t>
      </w:r>
      <w:r w:rsidRPr="0094720A">
        <w:rPr>
          <w:rFonts w:hint="eastAsia"/>
          <w:sz w:val="24"/>
        </w:rPr>
        <w:t>在任一</w:t>
      </w:r>
      <w:r w:rsidR="00E02E56" w:rsidRPr="0094720A">
        <w:rPr>
          <w:rFonts w:hint="eastAsia"/>
          <w:sz w:val="24"/>
        </w:rPr>
        <w:t>时间</w:t>
      </w:r>
      <w:r w:rsidRPr="0094720A">
        <w:rPr>
          <w:rFonts w:hint="eastAsia"/>
          <w:sz w:val="24"/>
        </w:rPr>
        <w:t>周期下，胜率随着</w:t>
      </w:r>
      <w:r w:rsidRPr="0094720A">
        <w:rPr>
          <w:rFonts w:hint="eastAsia"/>
          <w:sz w:val="24"/>
        </w:rPr>
        <w:t>R</w:t>
      </w:r>
      <w:r w:rsidRPr="0094720A">
        <w:rPr>
          <w:rFonts w:hint="eastAsia"/>
          <w:sz w:val="24"/>
        </w:rPr>
        <w:t>的增大而减小。</w:t>
      </w:r>
    </w:p>
    <w:p w:rsidR="008F2851" w:rsidRDefault="00014C75" w:rsidP="00EC45C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上述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条结论经该策略在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1440</w:t>
      </w:r>
      <w:r>
        <w:rPr>
          <w:rFonts w:hint="eastAsia"/>
          <w:sz w:val="24"/>
        </w:rPr>
        <w:t>下检验是正确的。</w:t>
      </w:r>
    </w:p>
    <w:p w:rsidR="00014C75" w:rsidRDefault="00014C75" w:rsidP="00014C7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该策略在</w:t>
      </w:r>
      <w:r>
        <w:rPr>
          <w:rFonts w:hint="eastAsia"/>
          <w:sz w:val="24"/>
        </w:rPr>
        <w:t>G</w:t>
      </w:r>
      <w:r>
        <w:rPr>
          <w:sz w:val="24"/>
        </w:rPr>
        <w:t>BPUSD</w:t>
      </w:r>
      <w:r>
        <w:rPr>
          <w:rFonts w:hint="eastAsia"/>
          <w:sz w:val="24"/>
        </w:rPr>
        <w:t>上又会有怎么样的表现？</w:t>
      </w:r>
    </w:p>
    <w:p w:rsidR="00014C75" w:rsidRDefault="00014C75" w:rsidP="000C788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有过外汇交易经验的人都会承认，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的波动要比</w:t>
      </w:r>
      <w:r>
        <w:rPr>
          <w:rFonts w:hint="eastAsia"/>
          <w:sz w:val="24"/>
        </w:rPr>
        <w:t>G</w:t>
      </w:r>
      <w:r>
        <w:rPr>
          <w:sz w:val="24"/>
        </w:rPr>
        <w:t>BPUSD</w:t>
      </w:r>
      <w:r>
        <w:rPr>
          <w:rFonts w:hint="eastAsia"/>
          <w:sz w:val="24"/>
        </w:rPr>
        <w:t>的波动大，为了尽可能地使这篇文章中没有无数据支撑的结论，该点会在后边以某种方法量化说明。那么我们可以知道：</w:t>
      </w:r>
    </w:p>
    <w:p w:rsidR="00014C75" w:rsidRDefault="00014C75" w:rsidP="00014C7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G</w:t>
      </w:r>
      <w:r>
        <w:rPr>
          <w:sz w:val="24"/>
        </w:rPr>
        <w:t>BPUSD60</w:t>
      </w:r>
      <w:r>
        <w:rPr>
          <w:rFonts w:hint="eastAsia"/>
          <w:sz w:val="24"/>
        </w:rPr>
        <w:t>对比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来说，亏损单均亏损要小</w:t>
      </w:r>
      <w:r w:rsidR="006A6046">
        <w:rPr>
          <w:rFonts w:hint="eastAsia"/>
          <w:sz w:val="24"/>
        </w:rPr>
        <w:t>(</w:t>
      </w:r>
      <w:r w:rsidR="006A6046">
        <w:rPr>
          <w:rFonts w:hint="eastAsia"/>
          <w:sz w:val="24"/>
        </w:rPr>
        <w:t>绝对值</w:t>
      </w:r>
      <w:r w:rsidR="006A6046">
        <w:rPr>
          <w:sz w:val="24"/>
        </w:rPr>
        <w:t>)</w:t>
      </w:r>
      <w:r>
        <w:rPr>
          <w:rFonts w:hint="eastAsia"/>
          <w:sz w:val="24"/>
        </w:rPr>
        <w:t>，那么相应地每笔期望可能也要小。</w:t>
      </w:r>
      <w:r>
        <w:rPr>
          <w:rFonts w:hint="eastAsia"/>
          <w:sz w:val="24"/>
        </w:rPr>
        <w:t>/</w:t>
      </w:r>
    </w:p>
    <w:p w:rsidR="00014C75" w:rsidRDefault="00014C75" w:rsidP="00014C7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G</w:t>
      </w:r>
      <w:r>
        <w:rPr>
          <w:sz w:val="24"/>
        </w:rPr>
        <w:t>BPUSD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下，胜率依然会</w:t>
      </w:r>
      <w:r w:rsidR="002F7CE7">
        <w:rPr>
          <w:rFonts w:hint="eastAsia"/>
          <w:sz w:val="24"/>
        </w:rPr>
        <w:t>随着</w:t>
      </w:r>
      <w:r w:rsidR="002F7CE7">
        <w:rPr>
          <w:rFonts w:hint="eastAsia"/>
          <w:sz w:val="24"/>
        </w:rPr>
        <w:t>R</w:t>
      </w:r>
      <w:r w:rsidR="002F7CE7">
        <w:rPr>
          <w:rFonts w:hint="eastAsia"/>
          <w:sz w:val="24"/>
        </w:rPr>
        <w:t>的增大而减小。</w:t>
      </w:r>
    </w:p>
    <w:p w:rsidR="002F7CE7" w:rsidRDefault="002F7CE7" w:rsidP="00014C7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也不会有太高的获利因子。</w:t>
      </w:r>
    </w:p>
    <w:p w:rsidR="00E61A44" w:rsidRDefault="00E61A44" w:rsidP="00E61A44">
      <w:pPr>
        <w:pStyle w:val="a4"/>
        <w:spacing w:line="360" w:lineRule="auto"/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表</w:t>
      </w:r>
      <w:r>
        <w:rPr>
          <w:rFonts w:hint="eastAsia"/>
          <w:bCs/>
          <w:sz w:val="21"/>
          <w:szCs w:val="21"/>
        </w:rPr>
        <w:t>3-</w:t>
      </w:r>
      <w:r w:rsidR="00777FD3">
        <w:rPr>
          <w:bCs/>
          <w:sz w:val="21"/>
          <w:szCs w:val="21"/>
        </w:rPr>
        <w:t>4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第</w:t>
      </w: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元素的</w:t>
      </w:r>
      <w:r w:rsidR="008A149C">
        <w:rPr>
          <w:bCs/>
          <w:sz w:val="21"/>
          <w:szCs w:val="21"/>
        </w:rPr>
        <w:t>GBPUSD6</w:t>
      </w:r>
      <w:r>
        <w:rPr>
          <w:rFonts w:hint="eastAsia"/>
          <w:bCs/>
          <w:sz w:val="21"/>
          <w:szCs w:val="21"/>
        </w:rPr>
        <w:t>0</w:t>
      </w:r>
      <w:r>
        <w:rPr>
          <w:rFonts w:hint="eastAsia"/>
          <w:bCs/>
          <w:sz w:val="21"/>
          <w:szCs w:val="21"/>
        </w:rPr>
        <w:t>回测结果</w:t>
      </w:r>
    </w:p>
    <w:tbl>
      <w:tblPr>
        <w:tblW w:w="10438" w:type="dxa"/>
        <w:tblInd w:w="-67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E61A44" w:rsidTr="00BB1451">
        <w:trPr>
          <w:tblHeader/>
        </w:trPr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R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年收益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最大衰落金额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每笔</w:t>
            </w:r>
          </w:p>
          <w:p w:rsidR="00E61A44" w:rsidRPr="000937D0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期望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</w:t>
            </w:r>
          </w:p>
          <w:p w:rsidR="00E61A44" w:rsidRPr="000937D0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衰落期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胜率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亏损单均亏损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A44" w:rsidRPr="000937D0" w:rsidRDefault="00E61A44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获利因子</w:t>
            </w:r>
          </w:p>
        </w:tc>
      </w:tr>
      <w:tr w:rsidR="008A149C" w:rsidTr="00BB1451"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-5521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63798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-0.087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-27.4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2951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0.835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-436.8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A149C" w:rsidRPr="000937D0" w:rsidRDefault="008A149C" w:rsidP="008A10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-0.621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-5802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70608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-0.082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-28.8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2647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0.824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-760.5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-0.786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-4973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64251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-0.077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-24.7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2462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0.771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-797.0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-0.865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-4154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59200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-0.070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-20.6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2506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0.721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-801.3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-0.908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-5287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66844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-0.079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-26.2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3106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0.669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-805.4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-0.902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-2896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56153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-0.052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-14.4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2696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0.637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-804.9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-0.951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-4328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66819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-0.065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-21.5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2716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0.599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-814.8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-0.934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-3483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60400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-0.058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-17.3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2698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0.568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-812.8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-0.951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-1917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47914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-0.040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2700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0.543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-811.3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-0.974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-3002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67403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-0.045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-14.9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2660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0.512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-808.9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-0.962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1.1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-654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55290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-0.012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-3.2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2670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0.494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-807.2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-0.992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1.2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1805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38220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0.047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9.0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2663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0.478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-805.7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-1.021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1.3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2403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41113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0.058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2096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0.459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-806.3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-1.027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1.4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4177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38345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0.109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1620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0.443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-803.8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-1.046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1.5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3767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41077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0.092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18.7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1245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0.423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-801.9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-1.040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1.6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3726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48982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0.076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18.5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1587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-801.9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-1.039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1.7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5118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40456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0.126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25.4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1081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0.395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-802.0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-1.052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1.8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6216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38471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0.162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30.8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1741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0.381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-798.9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1.9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8482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35999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0.236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42.1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1047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0.373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-798.1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-1.084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7970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40540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0.197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39.5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1235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-797.7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-1.077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2.1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5505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56413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0.098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2153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0.342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-796.6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-1.052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2.2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7169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51928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0.138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35.6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2056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0.333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-795.4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-1.067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2.3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6869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53978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0.127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34.1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2035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0.322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-795.3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-1.063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2.4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6714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59536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0.113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33.3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2125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0.315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-797.5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-1.061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2.5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6564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61939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0.106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32.6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2798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0.304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-796.2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-1.059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2.6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7997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65281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0.123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39.7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2777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0.297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-794.9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-1.071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2.7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5379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63338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0.085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26.7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2779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0.288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-797.8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-1.047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2.8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5272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60255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0.087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26.1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2134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0.279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-796.6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-1.046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2.9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6032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64999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0.093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29.9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2814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0.271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-794.5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-1.052</w:t>
            </w:r>
          </w:p>
        </w:tc>
      </w:tr>
      <w:tr w:rsidR="008A149C" w:rsidTr="00BB1451">
        <w:tc>
          <w:tcPr>
            <w:tcW w:w="1159" w:type="dxa"/>
            <w:vAlign w:val="center"/>
          </w:tcPr>
          <w:p w:rsidR="008A149C" w:rsidRPr="000937D0" w:rsidRDefault="008A149C" w:rsidP="008A10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159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7572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64314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0.118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37.6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2138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0.266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-793.5</w:t>
            </w:r>
          </w:p>
        </w:tc>
        <w:tc>
          <w:tcPr>
            <w:tcW w:w="1160" w:type="dxa"/>
            <w:vAlign w:val="center"/>
          </w:tcPr>
          <w:p w:rsidR="008A149C" w:rsidRPr="000937D0" w:rsidRDefault="008A149C" w:rsidP="008A1075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-1.064</w:t>
            </w:r>
          </w:p>
        </w:tc>
      </w:tr>
    </w:tbl>
    <w:p w:rsidR="00E23674" w:rsidRDefault="00E23674" w:rsidP="00F56FA5">
      <w:pPr>
        <w:spacing w:line="360" w:lineRule="auto"/>
        <w:ind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50C9167" wp14:editId="1EA632A2">
            <wp:extent cx="4948237" cy="2686050"/>
            <wp:effectExtent l="0" t="0" r="508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0B3E1973-592D-44D3-86B0-639941273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66A8B" w:rsidRDefault="00066A8B" w:rsidP="00F56FA5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3-7</w:t>
      </w:r>
      <w:r>
        <w:rPr>
          <w:sz w:val="24"/>
        </w:rPr>
        <w:t xml:space="preserve"> GBPUSD60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亏损单均亏损曲线图</w:t>
      </w:r>
    </w:p>
    <w:p w:rsidR="003E187F" w:rsidRDefault="006A6046" w:rsidP="005571E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果然</w:t>
      </w:r>
      <w:r>
        <w:rPr>
          <w:rFonts w:hint="eastAsia"/>
          <w:sz w:val="24"/>
        </w:rPr>
        <w:t>G</w:t>
      </w:r>
      <w:r>
        <w:rPr>
          <w:sz w:val="24"/>
        </w:rPr>
        <w:t>BPUSD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下的亏损单均亏损要小一些</w:t>
      </w:r>
      <w:r w:rsidR="005571EB">
        <w:rPr>
          <w:rFonts w:hint="eastAsia"/>
          <w:sz w:val="24"/>
        </w:rPr>
        <w:t>（绝对值）。</w:t>
      </w:r>
    </w:p>
    <w:p w:rsidR="00CB521F" w:rsidRDefault="00CB521F" w:rsidP="00F56FA5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0A566726" wp14:editId="38379137">
            <wp:extent cx="5759450" cy="2947670"/>
            <wp:effectExtent l="0" t="0" r="12700" b="508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1C3F2C51-BCDF-49D5-9236-AEDFFB3AB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E29D8" w:rsidRDefault="004E29D8" w:rsidP="004E29D8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3-8</w:t>
      </w:r>
      <w:r>
        <w:rPr>
          <w:sz w:val="24"/>
        </w:rPr>
        <w:t xml:space="preserve"> GBPUSD60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X</w:t>
      </w:r>
      <w:r>
        <w:rPr>
          <w:sz w:val="24"/>
        </w:rPr>
        <w:t>AUUSD60</w:t>
      </w:r>
      <w:r>
        <w:rPr>
          <w:rFonts w:hint="eastAsia"/>
          <w:sz w:val="24"/>
        </w:rPr>
        <w:t>胜率直方图</w:t>
      </w:r>
    </w:p>
    <w:p w:rsidR="005571EB" w:rsidRDefault="005571EB" w:rsidP="005571EB">
      <w:pPr>
        <w:spacing w:line="360" w:lineRule="auto"/>
        <w:rPr>
          <w:sz w:val="24"/>
        </w:rPr>
      </w:pPr>
      <w:r>
        <w:rPr>
          <w:sz w:val="24"/>
        </w:rPr>
        <w:tab/>
      </w:r>
      <w:r w:rsidR="00E35B47">
        <w:rPr>
          <w:rFonts w:hint="eastAsia"/>
          <w:sz w:val="24"/>
        </w:rPr>
        <w:t>胜率随着</w:t>
      </w:r>
      <w:r w:rsidR="00E35B47">
        <w:rPr>
          <w:rFonts w:hint="eastAsia"/>
          <w:sz w:val="24"/>
        </w:rPr>
        <w:t>R</w:t>
      </w:r>
      <w:r w:rsidR="00E35B47">
        <w:rPr>
          <w:rFonts w:hint="eastAsia"/>
          <w:sz w:val="24"/>
        </w:rPr>
        <w:t>的增大而变小，同</w:t>
      </w:r>
      <w:r w:rsidR="00E35B47">
        <w:rPr>
          <w:rFonts w:hint="eastAsia"/>
          <w:sz w:val="24"/>
        </w:rPr>
        <w:t>R</w:t>
      </w:r>
      <w:r w:rsidR="00E35B47">
        <w:rPr>
          <w:rFonts w:hint="eastAsia"/>
          <w:sz w:val="24"/>
        </w:rPr>
        <w:t>值下，</w:t>
      </w:r>
      <w:r w:rsidR="00E35B47">
        <w:rPr>
          <w:rFonts w:hint="eastAsia"/>
          <w:sz w:val="24"/>
        </w:rPr>
        <w:t>G</w:t>
      </w:r>
      <w:r w:rsidR="00E35B47">
        <w:rPr>
          <w:sz w:val="24"/>
        </w:rPr>
        <w:t>BPUSD</w:t>
      </w:r>
      <w:r w:rsidR="00E35B47">
        <w:rPr>
          <w:rFonts w:hint="eastAsia"/>
          <w:sz w:val="24"/>
        </w:rPr>
        <w:t>60</w:t>
      </w:r>
      <w:r w:rsidR="00E35B47">
        <w:rPr>
          <w:rFonts w:hint="eastAsia"/>
          <w:sz w:val="24"/>
        </w:rPr>
        <w:t>的胜率要小于</w:t>
      </w:r>
      <w:r w:rsidR="00E35B47">
        <w:rPr>
          <w:rFonts w:hint="eastAsia"/>
          <w:sz w:val="24"/>
        </w:rPr>
        <w:t>X</w:t>
      </w:r>
      <w:r w:rsidR="00E35B47">
        <w:rPr>
          <w:sz w:val="24"/>
        </w:rPr>
        <w:t>AUUSD</w:t>
      </w:r>
      <w:r w:rsidR="00E35B47">
        <w:rPr>
          <w:rFonts w:hint="eastAsia"/>
          <w:sz w:val="24"/>
        </w:rPr>
        <w:t>60</w:t>
      </w:r>
      <w:r w:rsidR="00E35B47">
        <w:rPr>
          <w:rFonts w:hint="eastAsia"/>
          <w:sz w:val="24"/>
        </w:rPr>
        <w:t>的胜率。</w:t>
      </w:r>
    </w:p>
    <w:p w:rsidR="00F56FA5" w:rsidRDefault="00F56FA5" w:rsidP="00F56FA5">
      <w:pPr>
        <w:spacing w:line="360" w:lineRule="auto"/>
        <w:ind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9E504B5" wp14:editId="31F24A74">
            <wp:extent cx="4572000" cy="2743200"/>
            <wp:effectExtent l="0" t="0" r="0" b="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25BF35C4-7CF2-46D7-A673-8621DA2A9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E29D8" w:rsidRDefault="004E29D8" w:rsidP="00F56FA5">
      <w:pPr>
        <w:spacing w:line="360" w:lineRule="auto"/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3-9</w:t>
      </w:r>
      <w:r>
        <w:rPr>
          <w:sz w:val="24"/>
        </w:rPr>
        <w:t xml:space="preserve"> GBPUSD60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X</w:t>
      </w:r>
      <w:r>
        <w:rPr>
          <w:sz w:val="24"/>
        </w:rPr>
        <w:t>AUUSD60</w:t>
      </w:r>
      <w:r>
        <w:rPr>
          <w:rFonts w:hint="eastAsia"/>
          <w:sz w:val="24"/>
        </w:rPr>
        <w:t>每笔期望曲线图</w:t>
      </w:r>
    </w:p>
    <w:p w:rsidR="00E35B47" w:rsidRDefault="00E35B47" w:rsidP="00E35B4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值下，</w:t>
      </w:r>
      <w:r>
        <w:rPr>
          <w:rFonts w:hint="eastAsia"/>
          <w:sz w:val="24"/>
        </w:rPr>
        <w:t>G</w:t>
      </w:r>
      <w:r>
        <w:rPr>
          <w:sz w:val="24"/>
        </w:rPr>
        <w:t>BPUSD60</w:t>
      </w:r>
      <w:r>
        <w:rPr>
          <w:rFonts w:hint="eastAsia"/>
          <w:sz w:val="24"/>
        </w:rPr>
        <w:t>的胜率小于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的胜率。</w:t>
      </w:r>
    </w:p>
    <w:p w:rsidR="005472A7" w:rsidRDefault="005472A7" w:rsidP="00E35B4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下面我们考察当</w:t>
      </w:r>
      <w:r>
        <w:rPr>
          <w:rFonts w:hint="eastAsia"/>
          <w:sz w:val="24"/>
        </w:rPr>
        <w:t>R</w:t>
      </w:r>
      <w:r>
        <w:rPr>
          <w:sz w:val="24"/>
        </w:rPr>
        <w:t>=</w:t>
      </w:r>
      <w:r>
        <w:rPr>
          <w:rFonts w:hint="eastAsia"/>
          <w:sz w:val="24"/>
        </w:rPr>
        <w:t>1.6</w:t>
      </w:r>
      <w:r>
        <w:rPr>
          <w:rFonts w:hint="eastAsia"/>
          <w:sz w:val="24"/>
        </w:rPr>
        <w:t>时，策略在</w:t>
      </w:r>
      <w:r>
        <w:rPr>
          <w:rFonts w:hint="eastAsia"/>
          <w:sz w:val="24"/>
        </w:rPr>
        <w:t>X</w:t>
      </w:r>
      <w:r>
        <w:rPr>
          <w:sz w:val="24"/>
        </w:rPr>
        <w:t>AUUSD30,XAUUSD60,GBPUSD60</w:t>
      </w:r>
      <w:r>
        <w:rPr>
          <w:rFonts w:hint="eastAsia"/>
          <w:sz w:val="24"/>
        </w:rPr>
        <w:t>下的表现，并试图解释这些差异。</w:t>
      </w:r>
    </w:p>
    <w:p w:rsidR="001457A4" w:rsidRDefault="00346F6F" w:rsidP="008B1CBA">
      <w:pPr>
        <w:pStyle w:val="a4"/>
        <w:spacing w:line="360" w:lineRule="auto"/>
        <w:jc w:val="center"/>
        <w:rPr>
          <w:bCs/>
          <w:sz w:val="21"/>
          <w:szCs w:val="21"/>
        </w:rPr>
      </w:pPr>
      <w:r w:rsidRPr="00346F6F">
        <w:rPr>
          <w:rFonts w:hint="eastAsia"/>
          <w:bCs/>
          <w:sz w:val="21"/>
          <w:szCs w:val="21"/>
        </w:rPr>
        <w:t>表</w:t>
      </w:r>
      <w:r w:rsidRPr="00346F6F">
        <w:rPr>
          <w:rFonts w:hint="eastAsia"/>
          <w:bCs/>
          <w:sz w:val="21"/>
          <w:szCs w:val="21"/>
        </w:rPr>
        <w:t>3-5</w:t>
      </w:r>
      <w:r w:rsidRPr="00346F6F">
        <w:rPr>
          <w:bCs/>
          <w:sz w:val="21"/>
          <w:szCs w:val="21"/>
        </w:rPr>
        <w:t xml:space="preserve"> </w:t>
      </w:r>
      <w:r w:rsidRPr="00346F6F">
        <w:rPr>
          <w:rFonts w:hint="eastAsia"/>
          <w:bCs/>
          <w:sz w:val="21"/>
          <w:szCs w:val="21"/>
        </w:rPr>
        <w:t>当</w:t>
      </w:r>
      <w:r w:rsidRPr="00346F6F">
        <w:rPr>
          <w:rFonts w:hint="eastAsia"/>
          <w:bCs/>
          <w:sz w:val="21"/>
          <w:szCs w:val="21"/>
        </w:rPr>
        <w:t>R=1.6</w:t>
      </w:r>
      <w:r w:rsidRPr="00346F6F">
        <w:rPr>
          <w:rFonts w:hint="eastAsia"/>
          <w:bCs/>
          <w:sz w:val="21"/>
          <w:szCs w:val="21"/>
        </w:rPr>
        <w:t>时第</w:t>
      </w:r>
      <w:r w:rsidRPr="00346F6F">
        <w:rPr>
          <w:rFonts w:hint="eastAsia"/>
          <w:bCs/>
          <w:sz w:val="21"/>
          <w:szCs w:val="21"/>
        </w:rPr>
        <w:t>2</w:t>
      </w:r>
      <w:r w:rsidRPr="00346F6F">
        <w:rPr>
          <w:rFonts w:hint="eastAsia"/>
          <w:bCs/>
          <w:sz w:val="21"/>
          <w:szCs w:val="21"/>
        </w:rPr>
        <w:t>元素在各个产品及周期下的表现</w:t>
      </w:r>
    </w:p>
    <w:tbl>
      <w:tblPr>
        <w:tblW w:w="10438" w:type="dxa"/>
        <w:tblInd w:w="-67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8B1CBA" w:rsidRPr="000937D0" w:rsidTr="00CA594C">
        <w:trPr>
          <w:tblHeader/>
        </w:trPr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类别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年收益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最大衰落金额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每笔</w:t>
            </w:r>
          </w:p>
          <w:p w:rsidR="008B1CBA" w:rsidRPr="000937D0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期望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</w:t>
            </w:r>
          </w:p>
          <w:p w:rsidR="008B1CBA" w:rsidRPr="000937D0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衰落期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胜率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亏损单均亏损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CBA" w:rsidRPr="000937D0" w:rsidRDefault="008B1CBA" w:rsidP="00CA59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获利因子</w:t>
            </w:r>
          </w:p>
        </w:tc>
      </w:tr>
      <w:tr w:rsidR="008B1CBA" w:rsidRPr="000937D0" w:rsidTr="00CA594C"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8B1CBA" w:rsidRPr="000937D0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XAU30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-940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38433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-0.024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-2.4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688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0.404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-616.2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:rsidR="008B1CBA" w:rsidRPr="000C3932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C393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-0.994</w:t>
            </w:r>
          </w:p>
        </w:tc>
      </w:tr>
      <w:tr w:rsidR="008B1CBA" w:rsidRPr="000937D0" w:rsidTr="00CA594C">
        <w:tc>
          <w:tcPr>
            <w:tcW w:w="1159" w:type="dxa"/>
            <w:vAlign w:val="center"/>
          </w:tcPr>
          <w:p w:rsidR="008B1CBA" w:rsidRPr="000937D0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XAU60</w:t>
            </w:r>
          </w:p>
        </w:tc>
        <w:tc>
          <w:tcPr>
            <w:tcW w:w="1159" w:type="dxa"/>
            <w:vAlign w:val="center"/>
          </w:tcPr>
          <w:p w:rsidR="008B1CBA" w:rsidRPr="009F4384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21143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jc w:val="righ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33778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0.626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111.2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445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0.428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-999.5</w:t>
            </w:r>
          </w:p>
        </w:tc>
        <w:tc>
          <w:tcPr>
            <w:tcW w:w="1160" w:type="dxa"/>
            <w:vAlign w:val="center"/>
          </w:tcPr>
          <w:p w:rsidR="008B1CBA" w:rsidRPr="009F4384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9F438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-1.195</w:t>
            </w:r>
          </w:p>
        </w:tc>
      </w:tr>
      <w:tr w:rsidR="008B1CBA" w:rsidRPr="000937D0" w:rsidTr="00CA594C">
        <w:tc>
          <w:tcPr>
            <w:tcW w:w="1159" w:type="dxa"/>
            <w:vAlign w:val="center"/>
          </w:tcPr>
          <w:p w:rsidR="008B1CBA" w:rsidRPr="000937D0" w:rsidRDefault="008B1CBA" w:rsidP="008B1CB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GBP60</w:t>
            </w:r>
          </w:p>
        </w:tc>
        <w:tc>
          <w:tcPr>
            <w:tcW w:w="1159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3726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48982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0.076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18.5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1587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0.407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-801.9</w:t>
            </w:r>
          </w:p>
        </w:tc>
        <w:tc>
          <w:tcPr>
            <w:tcW w:w="1160" w:type="dxa"/>
            <w:vAlign w:val="center"/>
          </w:tcPr>
          <w:p w:rsidR="008B1CBA" w:rsidRPr="000937D0" w:rsidRDefault="008B1CBA" w:rsidP="008B1CB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0937D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-1.039</w:t>
            </w:r>
          </w:p>
        </w:tc>
      </w:tr>
    </w:tbl>
    <w:p w:rsidR="00AE6DAF" w:rsidRDefault="008D05B5" w:rsidP="008D05B5">
      <w:pPr>
        <w:spacing w:line="360" w:lineRule="auto"/>
        <w:ind w:firstLine="420"/>
        <w:rPr>
          <w:sz w:val="24"/>
        </w:rPr>
      </w:pPr>
      <w:r w:rsidRPr="008D05B5">
        <w:rPr>
          <w:rFonts w:hint="eastAsia"/>
          <w:sz w:val="24"/>
        </w:rPr>
        <w:t>因为</w:t>
      </w:r>
      <w:r>
        <w:rPr>
          <w:rFonts w:hint="eastAsia"/>
          <w:sz w:val="24"/>
        </w:rPr>
        <w:t>从</w:t>
      </w:r>
      <w:r w:rsidRPr="008D05B5">
        <w:rPr>
          <w:rFonts w:hint="eastAsia"/>
          <w:sz w:val="24"/>
        </w:rPr>
        <w:t>最大衰落金额上难以看出什么规律，所以这里</w:t>
      </w:r>
      <w:r>
        <w:rPr>
          <w:rFonts w:hint="eastAsia"/>
          <w:sz w:val="24"/>
        </w:rPr>
        <w:t>不</w:t>
      </w:r>
      <w:r w:rsidRPr="008D05B5">
        <w:rPr>
          <w:rFonts w:hint="eastAsia"/>
          <w:sz w:val="24"/>
        </w:rPr>
        <w:t>打算从</w:t>
      </w:r>
      <w:r w:rsidRPr="008D05B5">
        <w:rPr>
          <w:rFonts w:hint="eastAsia"/>
          <w:sz w:val="24"/>
        </w:rPr>
        <w:t>M</w:t>
      </w:r>
      <w:r w:rsidRPr="008D05B5">
        <w:rPr>
          <w:sz w:val="24"/>
        </w:rPr>
        <w:t>AR</w:t>
      </w:r>
      <w:r w:rsidRPr="008D05B5">
        <w:rPr>
          <w:rFonts w:hint="eastAsia"/>
          <w:sz w:val="24"/>
        </w:rPr>
        <w:t>的角度分析策略在各个产品及周期下</w:t>
      </w:r>
      <w:r>
        <w:rPr>
          <w:rFonts w:hint="eastAsia"/>
          <w:sz w:val="24"/>
        </w:rPr>
        <w:t>表现</w:t>
      </w:r>
      <w:r w:rsidRPr="008D05B5">
        <w:rPr>
          <w:rFonts w:hint="eastAsia"/>
          <w:sz w:val="24"/>
        </w:rPr>
        <w:t>差异的原因</w:t>
      </w:r>
      <w:r>
        <w:rPr>
          <w:rFonts w:hint="eastAsia"/>
          <w:sz w:val="24"/>
        </w:rPr>
        <w:t>，我们从每笔期望入手。</w:t>
      </w:r>
    </w:p>
    <w:p w:rsidR="008D05B5" w:rsidRDefault="008D05B5" w:rsidP="008D05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第二元素策略在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下的获利单均获利为</w:t>
      </w:r>
      <w:r>
        <w:rPr>
          <w:rFonts w:hint="eastAsia"/>
          <w:sz w:val="24"/>
        </w:rPr>
        <w:t>902.9</w:t>
      </w:r>
      <w:r>
        <w:rPr>
          <w:rFonts w:hint="eastAsia"/>
          <w:sz w:val="24"/>
        </w:rPr>
        <w:t>，如果以策略在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下的胜率来计算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下的每笔期望有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902.9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hAnsi="Cambria Math" w:hint="eastAsia"/>
            <w:sz w:val="24"/>
          </w:rPr>
          <m:t>0.428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616.2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hAnsi="Cambria Math" w:hint="eastAsia"/>
            <w:sz w:val="24"/>
          </w:rPr>
          <m:t>0.572=33.97</m:t>
        </m:r>
      </m:oMath>
      <w:r>
        <w:rPr>
          <w:rFonts w:hint="eastAsia"/>
          <w:sz w:val="24"/>
        </w:rPr>
        <w:t>是可以达到盈利的，所以我们知道策略不适用的一个原因为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</m:oMath>
      <w:r>
        <w:rPr>
          <w:rFonts w:hint="eastAsia"/>
          <w:sz w:val="24"/>
        </w:rPr>
        <w:t>关系不合适。另外</w:t>
      </w:r>
      <w:r>
        <w:rPr>
          <w:rFonts w:hint="eastAsia"/>
          <w:sz w:val="24"/>
        </w:rPr>
        <w:t>0.404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0.428</w:t>
      </w:r>
      <w:r>
        <w:rPr>
          <w:rFonts w:hint="eastAsia"/>
          <w:sz w:val="24"/>
        </w:rPr>
        <w:t>并没有相差多少，为什么结果却是赢利与亏损的差别？这是因为第二元素策略的获利因子太小了，无论何种产品，何种周期，获利因子最好的也就是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多而已（绝对值）。</w:t>
      </w:r>
    </w:p>
    <w:p w:rsidR="006E1829" w:rsidRDefault="006E1829" w:rsidP="008D05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同样，对于</w:t>
      </w:r>
      <w:r>
        <w:rPr>
          <w:sz w:val="24"/>
        </w:rPr>
        <w:t>GBPUSD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来说，如果以策略在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下的胜率来计算的话有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1214.722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hAnsi="Cambria Math" w:hint="eastAsia"/>
            <w:sz w:val="24"/>
          </w:rPr>
          <m:t>0.428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801.9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hAnsi="Cambria Math" w:hint="eastAsia"/>
            <w:sz w:val="24"/>
          </w:rPr>
          <m:t>0.572=61.2</m:t>
        </m:r>
      </m:oMath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1214.722</w:t>
      </w:r>
      <w:r>
        <w:rPr>
          <w:rFonts w:hint="eastAsia"/>
          <w:sz w:val="24"/>
        </w:rPr>
        <w:t>为该策略在</w:t>
      </w:r>
      <w:r>
        <w:rPr>
          <w:rFonts w:hint="eastAsia"/>
          <w:sz w:val="24"/>
        </w:rPr>
        <w:t>G</w:t>
      </w:r>
      <w:r>
        <w:rPr>
          <w:sz w:val="24"/>
        </w:rPr>
        <w:t>BPUSD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下的盈利单均盈利，我们看到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</m:oMath>
      <w:r>
        <w:rPr>
          <w:rFonts w:hint="eastAsia"/>
          <w:sz w:val="24"/>
        </w:rPr>
        <w:t>关系再一次影响了每笔期望。</w:t>
      </w:r>
    </w:p>
    <w:p w:rsidR="003A49D0" w:rsidRDefault="003A49D0" w:rsidP="008D05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综上我们有：</w:t>
      </w:r>
    </w:p>
    <w:p w:rsidR="00CA594C" w:rsidRDefault="009A55C7" w:rsidP="008D05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1.</w:t>
      </w:r>
      <w:r w:rsidR="00CA594C">
        <w:rPr>
          <w:rFonts w:hint="eastAsia"/>
          <w:sz w:val="24"/>
        </w:rPr>
        <w:t>由式（</w:t>
      </w:r>
      <w:r w:rsidR="00CA594C">
        <w:rPr>
          <w:rFonts w:hint="eastAsia"/>
          <w:sz w:val="24"/>
        </w:rPr>
        <w:t>2-1</w:t>
      </w:r>
      <w:r w:rsidR="00CA594C"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=n*(pG-qL)</m:t>
        </m:r>
      </m:oMath>
      <w:r w:rsidR="00CA594C">
        <w:rPr>
          <w:rFonts w:hint="eastAsia"/>
          <w:sz w:val="24"/>
        </w:rPr>
        <w:t>知道</w:t>
      </w:r>
      <w:r>
        <w:rPr>
          <w:rFonts w:hint="eastAsia"/>
          <w:sz w:val="24"/>
        </w:rPr>
        <w:t>，获利因子较小的话，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的一点小变动就可能使策略从盈利走向亏损。策略在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下的表现可以说明这一点。</w:t>
      </w:r>
    </w:p>
    <w:p w:rsidR="009A55C7" w:rsidRDefault="009A55C7" w:rsidP="008D05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由式（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</w:rPr>
          <m:t>=n</m:t>
        </m:r>
        <m:r>
          <w:rPr>
            <w:rFonts w:ascii="Cambria Math" w:hAnsi="Cambria Math"/>
            <w:sz w:val="24"/>
          </w:rPr>
          <m:t>L*[p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R+1</m:t>
            </m:r>
          </m:e>
        </m:d>
        <m:r>
          <w:rPr>
            <w:rFonts w:ascii="Cambria Math" w:hAnsi="Cambria Math"/>
            <w:sz w:val="24"/>
          </w:rPr>
          <m:t>-1]</m:t>
        </m:r>
      </m:oMath>
      <w:r>
        <w:rPr>
          <w:rFonts w:hint="eastAsia"/>
          <w:sz w:val="24"/>
        </w:rPr>
        <w:t>知道，亏损单</w:t>
      </w:r>
      <w:r w:rsidR="000102DB">
        <w:rPr>
          <w:rFonts w:hint="eastAsia"/>
          <w:sz w:val="24"/>
        </w:rPr>
        <w:t>均亏损越大，每笔期望可能越大。另外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</m:oMath>
      <w:r w:rsidR="000102DB">
        <w:rPr>
          <w:rFonts w:hint="eastAsia"/>
          <w:sz w:val="24"/>
        </w:rPr>
        <w:t>关系也会影响每笔期望值。</w:t>
      </w:r>
    </w:p>
    <w:p w:rsidR="000102DB" w:rsidRPr="00CA594C" w:rsidRDefault="000102DB" w:rsidP="008D05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对比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来说，策略在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G</w:t>
      </w:r>
      <w:r>
        <w:rPr>
          <w:sz w:val="24"/>
        </w:rPr>
        <w:t>BPUSD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下表现不好的原因有：</w:t>
      </w:r>
      <m:oMath>
        <m:r>
          <m:rPr>
            <m:sty m:val="p"/>
          </m:rPr>
          <w:rPr>
            <w:rFonts w:ascii="Cambria Math" w:hAnsi="Cambria Math"/>
            <w:sz w:val="24"/>
          </w:rPr>
          <m:t>Rp</m:t>
        </m:r>
      </m:oMath>
      <w:r>
        <w:rPr>
          <w:rFonts w:hint="eastAsia"/>
          <w:sz w:val="24"/>
        </w:rPr>
        <w:t>关系不合适，亏损单均亏损较小。</w:t>
      </w:r>
    </w:p>
    <w:p w:rsidR="008B2C25" w:rsidRDefault="008B2C25" w:rsidP="008B2C2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4.</w:t>
      </w:r>
      <w:r w:rsidR="00D308E4">
        <w:rPr>
          <w:rFonts w:hint="eastAsia"/>
          <w:sz w:val="24"/>
        </w:rPr>
        <w:t>经查看，该策略在</w:t>
      </w:r>
      <w:r w:rsidR="00D308E4">
        <w:rPr>
          <w:rFonts w:hint="eastAsia"/>
          <w:sz w:val="24"/>
        </w:rPr>
        <w:t>G</w:t>
      </w:r>
      <w:r w:rsidR="00D308E4">
        <w:rPr>
          <w:sz w:val="24"/>
        </w:rPr>
        <w:t>BPUSD</w:t>
      </w:r>
      <w:r w:rsidR="00D308E4">
        <w:rPr>
          <w:rFonts w:hint="eastAsia"/>
          <w:sz w:val="24"/>
        </w:rPr>
        <w:t>240</w:t>
      </w:r>
      <w:r w:rsidR="00D308E4">
        <w:rPr>
          <w:rFonts w:hint="eastAsia"/>
          <w:sz w:val="24"/>
        </w:rPr>
        <w:t>下的</w:t>
      </w:r>
      <w:r w:rsidR="00D308E4">
        <w:rPr>
          <w:rFonts w:hint="eastAsia"/>
          <w:sz w:val="24"/>
        </w:rPr>
        <w:t>R=1.6</w:t>
      </w:r>
      <w:r w:rsidR="00D308E4">
        <w:rPr>
          <w:rFonts w:hint="eastAsia"/>
          <w:sz w:val="24"/>
        </w:rPr>
        <w:t>时，</w:t>
      </w:r>
      <w:r w:rsidR="00D308E4">
        <w:rPr>
          <w:rFonts w:hint="eastAsia"/>
          <w:sz w:val="24"/>
        </w:rPr>
        <w:t>p</w:t>
      </w:r>
      <w:r w:rsidR="00D308E4">
        <w:rPr>
          <w:sz w:val="24"/>
        </w:rPr>
        <w:t>=0.407</w:t>
      </w:r>
      <w:r w:rsidR="00D308E4">
        <w:rPr>
          <w:rFonts w:hint="eastAsia"/>
          <w:sz w:val="24"/>
        </w:rPr>
        <w:t>亏损但均亏损约为在</w:t>
      </w:r>
      <w:r w:rsidR="00D308E4">
        <w:rPr>
          <w:rFonts w:hint="eastAsia"/>
          <w:sz w:val="24"/>
        </w:rPr>
        <w:t>G</w:t>
      </w:r>
      <w:r w:rsidR="00D308E4">
        <w:rPr>
          <w:sz w:val="24"/>
        </w:rPr>
        <w:t>BPUSD</w:t>
      </w:r>
      <w:r w:rsidR="00D308E4">
        <w:rPr>
          <w:rFonts w:hint="eastAsia"/>
          <w:sz w:val="24"/>
        </w:rPr>
        <w:t>60</w:t>
      </w:r>
      <w:r w:rsidR="00D308E4">
        <w:rPr>
          <w:rFonts w:hint="eastAsia"/>
          <w:sz w:val="24"/>
        </w:rPr>
        <w:t>下的两倍，那么每笔期望也为在</w:t>
      </w:r>
      <w:r w:rsidR="00D308E4">
        <w:rPr>
          <w:rFonts w:hint="eastAsia"/>
          <w:sz w:val="24"/>
        </w:rPr>
        <w:t>G</w:t>
      </w:r>
      <w:r w:rsidR="00D308E4">
        <w:rPr>
          <w:sz w:val="24"/>
        </w:rPr>
        <w:t>BPUSD</w:t>
      </w:r>
      <w:r w:rsidR="00D308E4">
        <w:rPr>
          <w:rFonts w:hint="eastAsia"/>
          <w:sz w:val="24"/>
        </w:rPr>
        <w:t>60</w:t>
      </w:r>
      <w:r w:rsidR="00D308E4">
        <w:rPr>
          <w:rFonts w:hint="eastAsia"/>
          <w:sz w:val="24"/>
        </w:rPr>
        <w:t>下的两倍吗？并不会！因为当</w:t>
      </w:r>
      <w:r w:rsidR="00D308E4">
        <w:rPr>
          <w:rFonts w:hint="eastAsia"/>
          <w:sz w:val="24"/>
        </w:rPr>
        <w:t>R=1.6</w:t>
      </w:r>
      <w:r w:rsidR="00D308E4">
        <w:rPr>
          <w:rFonts w:hint="eastAsia"/>
          <w:sz w:val="24"/>
        </w:rPr>
        <w:t>时，由于交易成本的原因，实际的盈利单均盈利</w:t>
      </w:r>
      <w:proofErr w:type="gramStart"/>
      <w:r w:rsidR="00D308E4">
        <w:rPr>
          <w:rFonts w:hint="eastAsia"/>
          <w:sz w:val="24"/>
        </w:rPr>
        <w:t>比亏损单</w:t>
      </w:r>
      <w:proofErr w:type="gramEnd"/>
      <w:r w:rsidR="00D308E4">
        <w:rPr>
          <w:rFonts w:hint="eastAsia"/>
          <w:sz w:val="24"/>
        </w:rPr>
        <w:t>均亏损不一定为</w:t>
      </w:r>
      <w:r w:rsidR="00D308E4">
        <w:rPr>
          <w:rFonts w:hint="eastAsia"/>
          <w:sz w:val="24"/>
        </w:rPr>
        <w:t>R</w:t>
      </w:r>
      <w:r w:rsidR="00D308E4">
        <w:rPr>
          <w:rFonts w:hint="eastAsia"/>
          <w:sz w:val="24"/>
        </w:rPr>
        <w:t>值</w:t>
      </w:r>
      <w:r w:rsidR="00D308E4">
        <w:rPr>
          <w:rFonts w:hint="eastAsia"/>
          <w:sz w:val="24"/>
        </w:rPr>
        <w:t>1.6</w:t>
      </w:r>
      <w:r w:rsidR="00D308E4">
        <w:rPr>
          <w:rFonts w:hint="eastAsia"/>
          <w:sz w:val="24"/>
        </w:rPr>
        <w:t>，可能会产生大于或小于</w:t>
      </w:r>
      <w:r w:rsidR="00D308E4">
        <w:rPr>
          <w:rFonts w:hint="eastAsia"/>
          <w:sz w:val="24"/>
        </w:rPr>
        <w:t>R</w:t>
      </w:r>
      <w:r w:rsidR="00D308E4">
        <w:rPr>
          <w:rFonts w:hint="eastAsia"/>
          <w:sz w:val="24"/>
        </w:rPr>
        <w:t>值的偏移，在</w:t>
      </w:r>
      <w:r w:rsidR="00D308E4">
        <w:rPr>
          <w:rFonts w:hint="eastAsia"/>
          <w:sz w:val="24"/>
        </w:rPr>
        <w:t>G</w:t>
      </w:r>
      <w:r w:rsidR="00D308E4">
        <w:rPr>
          <w:sz w:val="24"/>
        </w:rPr>
        <w:t>BPUSD</w:t>
      </w:r>
      <w:r w:rsidR="00D308E4">
        <w:rPr>
          <w:rFonts w:hint="eastAsia"/>
          <w:sz w:val="24"/>
        </w:rPr>
        <w:t>60</w:t>
      </w:r>
      <w:r w:rsidR="00D308E4">
        <w:rPr>
          <w:rFonts w:hint="eastAsia"/>
          <w:sz w:val="24"/>
        </w:rPr>
        <w:t>下，实际比为</w:t>
      </w:r>
      <w:r w:rsidR="00D308E4">
        <w:rPr>
          <w:rFonts w:hint="eastAsia"/>
          <w:sz w:val="24"/>
        </w:rPr>
        <w:t>1.5</w:t>
      </w:r>
      <w:r w:rsidR="00D308E4">
        <w:rPr>
          <w:rFonts w:hint="eastAsia"/>
          <w:sz w:val="24"/>
        </w:rPr>
        <w:t>多，而在</w:t>
      </w:r>
      <w:r w:rsidR="00D308E4">
        <w:rPr>
          <w:rFonts w:hint="eastAsia"/>
          <w:sz w:val="24"/>
        </w:rPr>
        <w:t>G</w:t>
      </w:r>
      <w:r w:rsidR="00D308E4">
        <w:rPr>
          <w:sz w:val="24"/>
        </w:rPr>
        <w:t>BPUSD</w:t>
      </w:r>
      <w:r w:rsidR="00D308E4">
        <w:rPr>
          <w:rFonts w:hint="eastAsia"/>
          <w:sz w:val="24"/>
        </w:rPr>
        <w:t>240</w:t>
      </w:r>
      <w:r w:rsidR="00D308E4">
        <w:rPr>
          <w:rFonts w:hint="eastAsia"/>
          <w:sz w:val="24"/>
        </w:rPr>
        <w:t>下，实际比为</w:t>
      </w:r>
      <w:r w:rsidR="00D308E4">
        <w:rPr>
          <w:rFonts w:hint="eastAsia"/>
          <w:sz w:val="24"/>
        </w:rPr>
        <w:t>1.64</w:t>
      </w:r>
      <w:r w:rsidR="00D308E4">
        <w:rPr>
          <w:rFonts w:hint="eastAsia"/>
          <w:sz w:val="24"/>
        </w:rPr>
        <w:t>多，我们称此现象为</w:t>
      </w:r>
      <w:r w:rsidR="00D308E4">
        <w:rPr>
          <w:rFonts w:hint="eastAsia"/>
          <w:sz w:val="24"/>
        </w:rPr>
        <w:t>R</w:t>
      </w:r>
      <w:r w:rsidR="00D308E4">
        <w:rPr>
          <w:rFonts w:hint="eastAsia"/>
          <w:sz w:val="24"/>
        </w:rPr>
        <w:t>值的漂移。</w:t>
      </w:r>
    </w:p>
    <w:p w:rsidR="000D1F8F" w:rsidRDefault="000D1F8F" w:rsidP="000D1F8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在这一章里，我们讨论并得出了太多的结论，我们现在将它们归纳一下，并用尽可能严谨</w:t>
      </w:r>
      <w:r w:rsidR="00611DE8">
        <w:rPr>
          <w:rFonts w:hint="eastAsia"/>
          <w:sz w:val="24"/>
        </w:rPr>
        <w:t>的在不引起歧义的前提下简洁的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语言阐述它们。</w:t>
      </w:r>
    </w:p>
    <w:p w:rsidR="000D1F8F" w:rsidRPr="00657673" w:rsidRDefault="00611DE8" w:rsidP="000D1F8F">
      <w:pPr>
        <w:spacing w:line="360" w:lineRule="auto"/>
        <w:ind w:firstLine="420"/>
        <w:rPr>
          <w:rFonts w:hint="eastAsia"/>
          <w:sz w:val="24"/>
          <w:highlight w:val="green"/>
        </w:rPr>
      </w:pPr>
      <w:r w:rsidRPr="00657673">
        <w:rPr>
          <w:rFonts w:hint="eastAsia"/>
          <w:sz w:val="24"/>
          <w:highlight w:val="green"/>
        </w:rPr>
        <w:t>对于第</w:t>
      </w:r>
      <w:r w:rsidRPr="00657673">
        <w:rPr>
          <w:rFonts w:hint="eastAsia"/>
          <w:sz w:val="24"/>
          <w:highlight w:val="green"/>
        </w:rPr>
        <w:t>2</w:t>
      </w:r>
      <w:r w:rsidRPr="00657673">
        <w:rPr>
          <w:rFonts w:hint="eastAsia"/>
          <w:sz w:val="24"/>
          <w:highlight w:val="green"/>
        </w:rPr>
        <w:t>元素交易策略：</w:t>
      </w:r>
    </w:p>
    <w:p w:rsidR="000D1F8F" w:rsidRDefault="000D1F8F" w:rsidP="000D1F8F">
      <w:pPr>
        <w:spacing w:line="360" w:lineRule="auto"/>
        <w:ind w:firstLine="420"/>
        <w:rPr>
          <w:sz w:val="24"/>
        </w:rPr>
      </w:pPr>
      <w:r w:rsidRPr="00657673">
        <w:rPr>
          <w:rFonts w:hint="eastAsia"/>
          <w:sz w:val="24"/>
          <w:highlight w:val="green"/>
        </w:rPr>
        <w:t>1.</w:t>
      </w:r>
      <w:r w:rsidRPr="00657673">
        <w:rPr>
          <w:rFonts w:hint="eastAsia"/>
          <w:sz w:val="24"/>
          <w:highlight w:val="green"/>
        </w:rPr>
        <w:t>在同一交易产品下，时间周期</w:t>
      </w:r>
      <w:r w:rsidR="00611DE8" w:rsidRPr="00657673">
        <w:rPr>
          <w:rFonts w:hint="eastAsia"/>
          <w:sz w:val="24"/>
          <w:highlight w:val="green"/>
        </w:rPr>
        <w:t>越大，月均交易越少，月均交易比约等于时间周期比</w:t>
      </w:r>
      <w:r w:rsidR="00611DE8">
        <w:rPr>
          <w:rFonts w:hint="eastAsia"/>
          <w:sz w:val="24"/>
        </w:rPr>
        <w:t>。</w:t>
      </w:r>
    </w:p>
    <w:p w:rsidR="00611DE8" w:rsidRDefault="00611DE8" w:rsidP="000D1F8F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说明：月均交易比约等于时间周期比这个结论或对或错，我们并不打算证明它，或者在</w:t>
      </w:r>
      <w:r>
        <w:rPr>
          <w:rFonts w:hint="eastAsia"/>
          <w:sz w:val="24"/>
        </w:rPr>
        <w:t>1min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5min</w:t>
      </w:r>
      <w:r>
        <w:rPr>
          <w:rFonts w:hint="eastAsia"/>
          <w:sz w:val="24"/>
        </w:rPr>
        <w:t>等时间周期下验证它，我们只要知道月均交易越少就好了，具体少到什么程度，可能为时间周期比。</w:t>
      </w:r>
    </w:p>
    <w:p w:rsidR="00657673" w:rsidRDefault="00611DE8" w:rsidP="000D1F8F">
      <w:pPr>
        <w:spacing w:line="360" w:lineRule="auto"/>
        <w:ind w:firstLine="420"/>
        <w:rPr>
          <w:sz w:val="24"/>
          <w:highlight w:val="green"/>
        </w:rPr>
      </w:pPr>
      <w:r w:rsidRPr="00657673">
        <w:rPr>
          <w:rFonts w:hint="eastAsia"/>
          <w:sz w:val="24"/>
          <w:highlight w:val="green"/>
        </w:rPr>
        <w:t>2.</w:t>
      </w:r>
      <w:r w:rsidRPr="00657673">
        <w:rPr>
          <w:rFonts w:hint="eastAsia"/>
          <w:sz w:val="24"/>
          <w:highlight w:val="green"/>
        </w:rPr>
        <w:t>在同一交易产品下，时间周期越大，亏损单均亏损越大</w:t>
      </w:r>
      <w:r w:rsidR="00657673">
        <w:rPr>
          <w:rFonts w:hint="eastAsia"/>
          <w:sz w:val="24"/>
          <w:highlight w:val="green"/>
        </w:rPr>
        <w:t>。</w:t>
      </w:r>
    </w:p>
    <w:p w:rsidR="00657673" w:rsidRPr="00657673" w:rsidRDefault="00657673" w:rsidP="000D1F8F">
      <w:pPr>
        <w:spacing w:line="360" w:lineRule="auto"/>
        <w:ind w:firstLine="420"/>
        <w:rPr>
          <w:rFonts w:hint="eastAsia"/>
          <w:sz w:val="24"/>
        </w:rPr>
      </w:pPr>
      <w:r w:rsidRPr="00657673">
        <w:rPr>
          <w:rFonts w:hint="eastAsia"/>
          <w:sz w:val="24"/>
        </w:rPr>
        <w:t>说明：这一点很好理解，第</w:t>
      </w:r>
      <w:r w:rsidRPr="00657673">
        <w:rPr>
          <w:rFonts w:hint="eastAsia"/>
          <w:sz w:val="24"/>
        </w:rPr>
        <w:t>2</w:t>
      </w:r>
      <w:r w:rsidRPr="00657673">
        <w:rPr>
          <w:rFonts w:hint="eastAsia"/>
          <w:sz w:val="24"/>
        </w:rPr>
        <w:t>元素采用临近价格高点或低点（临近价格高点附近或低点附近）作为止损，这样的话，对于同一交易产品来说，周期越大，所能产生的</w:t>
      </w:r>
      <w:r>
        <w:rPr>
          <w:rFonts w:hint="eastAsia"/>
          <w:sz w:val="24"/>
        </w:rPr>
        <w:t>止损</w:t>
      </w:r>
      <w:r w:rsidRPr="00657673">
        <w:rPr>
          <w:rFonts w:hint="eastAsia"/>
          <w:sz w:val="24"/>
        </w:rPr>
        <w:t>幅度</w:t>
      </w:r>
      <w:r>
        <w:rPr>
          <w:rFonts w:hint="eastAsia"/>
          <w:sz w:val="24"/>
        </w:rPr>
        <w:t>就</w:t>
      </w:r>
      <w:r w:rsidRPr="00657673">
        <w:rPr>
          <w:rFonts w:hint="eastAsia"/>
          <w:sz w:val="24"/>
        </w:rPr>
        <w:t>越大。</w:t>
      </w:r>
    </w:p>
    <w:p w:rsidR="00611DE8" w:rsidRDefault="00657673" w:rsidP="000D1F8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  <w:highlight w:val="green"/>
        </w:rPr>
        <w:t>3.</w:t>
      </w:r>
      <w:r>
        <w:rPr>
          <w:rFonts w:hint="eastAsia"/>
          <w:sz w:val="24"/>
          <w:highlight w:val="green"/>
        </w:rPr>
        <w:t>在同一交易产品下，时间周期越大，</w:t>
      </w:r>
      <w:r w:rsidR="00611DE8" w:rsidRPr="00657673">
        <w:rPr>
          <w:rFonts w:hint="eastAsia"/>
          <w:sz w:val="24"/>
          <w:highlight w:val="green"/>
        </w:rPr>
        <w:t>每笔期望越大。</w:t>
      </w:r>
    </w:p>
    <w:p w:rsidR="00657673" w:rsidRDefault="00657673" w:rsidP="006576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说明：由式（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nL*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R+1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>
        <w:rPr>
          <w:rFonts w:hint="eastAsia"/>
          <w:sz w:val="24"/>
        </w:rPr>
        <w:t>我们知道，每笔期望为</w:t>
      </w:r>
      <m:oMath>
        <m:r>
          <w:rPr>
            <w:rFonts w:ascii="Cambria Math" w:hAnsi="Cambria Math"/>
            <w:sz w:val="24"/>
          </w:rPr>
          <m:t>L*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R+1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>
        <w:rPr>
          <w:rFonts w:hint="eastAsia"/>
          <w:sz w:val="24"/>
        </w:rPr>
        <w:t>，对于同一个交易品种来说，在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</m:oMath>
      <w:r>
        <w:rPr>
          <w:rFonts w:hint="eastAsia"/>
          <w:sz w:val="24"/>
        </w:rPr>
        <w:t>关系随周期变化不大情况下，亏损单均亏损越大，每笔期望越大。</w:t>
      </w:r>
    </w:p>
    <w:p w:rsidR="000340D1" w:rsidRDefault="000340D1" w:rsidP="00657673">
      <w:pPr>
        <w:spacing w:line="360" w:lineRule="auto"/>
        <w:ind w:firstLine="420"/>
        <w:rPr>
          <w:sz w:val="24"/>
          <w:highlight w:val="green"/>
        </w:rPr>
      </w:pPr>
      <w:r w:rsidRPr="000340D1">
        <w:rPr>
          <w:rFonts w:hint="eastAsia"/>
          <w:sz w:val="24"/>
          <w:highlight w:val="green"/>
        </w:rPr>
        <w:t>4.</w:t>
      </w:r>
      <w:r w:rsidRPr="000340D1">
        <w:rPr>
          <w:rFonts w:hint="eastAsia"/>
          <w:sz w:val="24"/>
          <w:highlight w:val="green"/>
        </w:rPr>
        <w:t>在任一交易品种的任一周期下，胜率</w:t>
      </w:r>
      <m:oMath>
        <m:r>
          <m:rPr>
            <m:sty m:val="p"/>
          </m:rPr>
          <w:rPr>
            <w:rFonts w:ascii="Cambria Math" w:hAnsi="Cambria Math" w:hint="eastAsia"/>
            <w:sz w:val="24"/>
            <w:highlight w:val="green"/>
          </w:rPr>
          <m:t>p</m:t>
        </m:r>
      </m:oMath>
      <w:r w:rsidRPr="000340D1">
        <w:rPr>
          <w:rFonts w:hint="eastAsia"/>
          <w:sz w:val="24"/>
          <w:highlight w:val="green"/>
        </w:rPr>
        <w:t>均随着</w:t>
      </w:r>
      <m:oMath>
        <m:r>
          <m:rPr>
            <m:sty m:val="p"/>
          </m:rPr>
          <w:rPr>
            <w:rFonts w:ascii="Cambria Math" w:hAnsi="Cambria Math"/>
            <w:sz w:val="24"/>
            <w:highlight w:val="green"/>
          </w:rPr>
          <m:t>R</m:t>
        </m:r>
      </m:oMath>
      <w:r w:rsidRPr="000340D1">
        <w:rPr>
          <w:rFonts w:hint="eastAsia"/>
          <w:sz w:val="24"/>
          <w:highlight w:val="green"/>
        </w:rPr>
        <w:t>的增大而减小。</w:t>
      </w:r>
    </w:p>
    <w:p w:rsidR="000340D1" w:rsidRDefault="000340D1" w:rsidP="006576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说明：这一点也是与我们的常识相符合的，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越大的话，到达止</w:t>
      </w:r>
      <w:proofErr w:type="gramStart"/>
      <w:r>
        <w:rPr>
          <w:rFonts w:hint="eastAsia"/>
          <w:sz w:val="24"/>
        </w:rPr>
        <w:t>盈位置</w:t>
      </w:r>
      <w:proofErr w:type="gramEnd"/>
      <w:r>
        <w:rPr>
          <w:rFonts w:hint="eastAsia"/>
          <w:sz w:val="24"/>
        </w:rPr>
        <w:t>所需要的价格波动也要越大，当然成功的次数就会变少。</w:t>
      </w:r>
    </w:p>
    <w:p w:rsidR="0080229B" w:rsidRDefault="0080229B" w:rsidP="00657673">
      <w:pPr>
        <w:spacing w:line="360" w:lineRule="auto"/>
        <w:ind w:firstLine="420"/>
        <w:rPr>
          <w:sz w:val="24"/>
          <w:highlight w:val="green"/>
        </w:rPr>
      </w:pPr>
      <w:r w:rsidRPr="0054781E">
        <w:rPr>
          <w:rFonts w:hint="eastAsia"/>
          <w:sz w:val="24"/>
          <w:highlight w:val="green"/>
        </w:rPr>
        <w:lastRenderedPageBreak/>
        <w:t>5</w:t>
      </w:r>
      <w:r w:rsidR="000F4189" w:rsidRPr="0054781E">
        <w:rPr>
          <w:sz w:val="24"/>
          <w:highlight w:val="green"/>
        </w:rPr>
        <w:t>.</w:t>
      </w:r>
      <w:r w:rsidR="000D0FCF" w:rsidRPr="0054781E">
        <w:rPr>
          <w:rFonts w:hint="eastAsia"/>
          <w:sz w:val="24"/>
          <w:highlight w:val="green"/>
        </w:rPr>
        <w:t>获利因子</w:t>
      </w:r>
      <w:r w:rsidR="00C458D3" w:rsidRPr="0054781E">
        <w:rPr>
          <w:rFonts w:hint="eastAsia"/>
          <w:sz w:val="24"/>
          <w:highlight w:val="green"/>
        </w:rPr>
        <w:t>偏</w:t>
      </w:r>
      <w:r w:rsidR="000D0FCF" w:rsidRPr="0054781E">
        <w:rPr>
          <w:rFonts w:hint="eastAsia"/>
          <w:sz w:val="24"/>
          <w:highlight w:val="green"/>
        </w:rPr>
        <w:t>小</w:t>
      </w:r>
      <w:r w:rsidR="00C458D3" w:rsidRPr="0054781E">
        <w:rPr>
          <w:rFonts w:hint="eastAsia"/>
          <w:sz w:val="24"/>
          <w:highlight w:val="green"/>
        </w:rPr>
        <w:t>，这</w:t>
      </w:r>
      <w:r w:rsidR="000D0FCF" w:rsidRPr="0054781E">
        <w:rPr>
          <w:rFonts w:hint="eastAsia"/>
          <w:sz w:val="24"/>
          <w:highlight w:val="green"/>
        </w:rPr>
        <w:t>是</w:t>
      </w:r>
      <w:r w:rsidR="0054781E">
        <w:rPr>
          <w:rFonts w:hint="eastAsia"/>
          <w:sz w:val="24"/>
          <w:highlight w:val="green"/>
        </w:rPr>
        <w:t>限制</w:t>
      </w:r>
      <w:r w:rsidR="00524022">
        <w:rPr>
          <w:rFonts w:hint="eastAsia"/>
          <w:sz w:val="24"/>
          <w:highlight w:val="green"/>
        </w:rPr>
        <w:t>第</w:t>
      </w:r>
      <w:r w:rsidR="00524022">
        <w:rPr>
          <w:rFonts w:hint="eastAsia"/>
          <w:sz w:val="24"/>
          <w:highlight w:val="green"/>
        </w:rPr>
        <w:t>2</w:t>
      </w:r>
      <w:r w:rsidR="00524022">
        <w:rPr>
          <w:rFonts w:hint="eastAsia"/>
          <w:sz w:val="24"/>
          <w:highlight w:val="green"/>
        </w:rPr>
        <w:t>元素</w:t>
      </w:r>
      <w:r w:rsidR="0054781E">
        <w:rPr>
          <w:rFonts w:hint="eastAsia"/>
          <w:sz w:val="24"/>
          <w:highlight w:val="green"/>
        </w:rPr>
        <w:t>策略适用范围的</w:t>
      </w:r>
      <w:r w:rsidR="00C458D3" w:rsidRPr="0054781E">
        <w:rPr>
          <w:rFonts w:hint="eastAsia"/>
          <w:sz w:val="24"/>
          <w:highlight w:val="green"/>
        </w:rPr>
        <w:t>主要原因。</w:t>
      </w:r>
    </w:p>
    <w:p w:rsidR="00B97BEE" w:rsidRDefault="0054781E" w:rsidP="00B97BE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说明：在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下提高胜率</w:t>
      </w:r>
      <w:r>
        <w:rPr>
          <w:rFonts w:hint="eastAsia"/>
          <w:sz w:val="24"/>
        </w:rPr>
        <w:t>0.02</w:t>
      </w:r>
      <w:r>
        <w:rPr>
          <w:rFonts w:hint="eastAsia"/>
          <w:sz w:val="24"/>
        </w:rPr>
        <w:t>多就可以使该策略获利，这足以说明该策略在一些时间周期</w:t>
      </w:r>
      <w:r w:rsidR="00F34E13">
        <w:rPr>
          <w:rFonts w:hint="eastAsia"/>
          <w:sz w:val="24"/>
        </w:rPr>
        <w:t>或一些交易产品</w:t>
      </w:r>
      <w:r>
        <w:rPr>
          <w:rFonts w:hint="eastAsia"/>
          <w:sz w:val="24"/>
        </w:rPr>
        <w:t>下不适用的主要原因之一为获利因子偏小。</w:t>
      </w:r>
    </w:p>
    <w:p w:rsidR="00F567BA" w:rsidRDefault="00F567BA" w:rsidP="00B97BEE">
      <w:pPr>
        <w:spacing w:line="360" w:lineRule="auto"/>
        <w:ind w:firstLine="420"/>
        <w:rPr>
          <w:sz w:val="24"/>
          <w:highlight w:val="green"/>
        </w:rPr>
      </w:pPr>
      <w:r w:rsidRPr="00165176">
        <w:rPr>
          <w:rFonts w:hint="eastAsia"/>
          <w:sz w:val="24"/>
          <w:highlight w:val="green"/>
        </w:rPr>
        <w:t>6.</w:t>
      </w:r>
      <m:oMath>
        <m:r>
          <m:rPr>
            <m:sty m:val="p"/>
          </m:rPr>
          <w:rPr>
            <w:rFonts w:ascii="Cambria Math" w:hAnsi="Cambria Math"/>
            <w:sz w:val="24"/>
            <w:highlight w:val="green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  <w:highlight w:val="green"/>
          </w:rPr>
          <m:t>p</m:t>
        </m:r>
      </m:oMath>
      <w:r w:rsidR="00165176" w:rsidRPr="00165176">
        <w:rPr>
          <w:rFonts w:hint="eastAsia"/>
          <w:sz w:val="24"/>
          <w:highlight w:val="green"/>
        </w:rPr>
        <w:t>关系</w:t>
      </w:r>
      <w:r w:rsidR="00D4719D">
        <w:rPr>
          <w:rFonts w:hint="eastAsia"/>
          <w:sz w:val="24"/>
          <w:highlight w:val="green"/>
        </w:rPr>
        <w:t>不合适是导致第</w:t>
      </w:r>
      <w:r w:rsidR="00D4719D">
        <w:rPr>
          <w:rFonts w:hint="eastAsia"/>
          <w:sz w:val="24"/>
          <w:highlight w:val="green"/>
        </w:rPr>
        <w:t>2</w:t>
      </w:r>
      <w:r w:rsidR="00D4719D">
        <w:rPr>
          <w:rFonts w:hint="eastAsia"/>
          <w:sz w:val="24"/>
          <w:highlight w:val="green"/>
        </w:rPr>
        <w:t>元素策略失去优势的</w:t>
      </w:r>
      <w:r w:rsidR="00165176" w:rsidRPr="00165176">
        <w:rPr>
          <w:rFonts w:hint="eastAsia"/>
          <w:sz w:val="24"/>
          <w:highlight w:val="green"/>
        </w:rPr>
        <w:t>原因</w:t>
      </w:r>
      <w:r w:rsidR="00D4719D">
        <w:rPr>
          <w:rFonts w:hint="eastAsia"/>
          <w:sz w:val="24"/>
          <w:highlight w:val="green"/>
        </w:rPr>
        <w:t>之一</w:t>
      </w:r>
      <w:r w:rsidR="00165176" w:rsidRPr="00165176">
        <w:rPr>
          <w:rFonts w:hint="eastAsia"/>
          <w:sz w:val="24"/>
          <w:highlight w:val="green"/>
        </w:rPr>
        <w:t>。</w:t>
      </w:r>
    </w:p>
    <w:p w:rsidR="00165176" w:rsidRDefault="00165176" w:rsidP="00B97BE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说明：在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下</w:t>
      </w:r>
      <w:r>
        <w:rPr>
          <w:rFonts w:hint="eastAsia"/>
          <w:sz w:val="24"/>
        </w:rPr>
        <w:t>R=1.6</w:t>
      </w:r>
      <w:r>
        <w:rPr>
          <w:rFonts w:hint="eastAsia"/>
          <w:sz w:val="24"/>
        </w:rPr>
        <w:t>时，将胜率换为在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</w:t>
      </w:r>
      <w:r>
        <w:rPr>
          <w:rFonts w:hint="eastAsia"/>
          <w:sz w:val="24"/>
        </w:rPr>
        <w:t>R=1.6</w:t>
      </w:r>
      <w:r>
        <w:rPr>
          <w:rFonts w:hint="eastAsia"/>
          <w:sz w:val="24"/>
        </w:rPr>
        <w:t>时的胜率，那么策略就会变为可盈利的，这足以说明某些时间周期</w:t>
      </w:r>
      <w:r w:rsidR="00F34E13">
        <w:rPr>
          <w:rFonts w:hint="eastAsia"/>
          <w:sz w:val="24"/>
        </w:rPr>
        <w:t>或交易产品下</w:t>
      </w:r>
      <w:r>
        <w:rPr>
          <w:rFonts w:hint="eastAsia"/>
          <w:sz w:val="24"/>
        </w:rPr>
        <w:t>策略不适用的原因之一为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</m:oMath>
      <w:r>
        <w:rPr>
          <w:rFonts w:hint="eastAsia"/>
          <w:sz w:val="24"/>
        </w:rPr>
        <w:t>关系不合适。但是胜率换为在</w:t>
      </w:r>
      <w:r>
        <w:rPr>
          <w:rFonts w:hint="eastAsia"/>
          <w:sz w:val="24"/>
        </w:rPr>
        <w:t>X</w:t>
      </w:r>
      <w:r>
        <w:rPr>
          <w:sz w:val="24"/>
        </w:rPr>
        <w:t>AUUSD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下</w:t>
      </w:r>
      <w:r>
        <w:rPr>
          <w:rFonts w:hint="eastAsia"/>
          <w:sz w:val="24"/>
        </w:rPr>
        <w:t>R=1.6</w:t>
      </w:r>
      <w:r>
        <w:rPr>
          <w:rFonts w:hint="eastAsia"/>
          <w:sz w:val="24"/>
        </w:rPr>
        <w:t>时的胜率仅仅提高了</w:t>
      </w:r>
      <w:r>
        <w:rPr>
          <w:rFonts w:hint="eastAsia"/>
          <w:sz w:val="24"/>
        </w:rPr>
        <w:t>0.02</w:t>
      </w:r>
      <w:r>
        <w:rPr>
          <w:rFonts w:hint="eastAsia"/>
          <w:sz w:val="24"/>
        </w:rPr>
        <w:t>多而已，这说明</w:t>
      </w:r>
      <w:r>
        <w:rPr>
          <w:rFonts w:hint="eastAsia"/>
          <w:sz w:val="24"/>
        </w:rPr>
        <w:t>该策略在一些时间周期</w:t>
      </w:r>
      <w:r w:rsidR="00F34E13">
        <w:rPr>
          <w:rFonts w:hint="eastAsia"/>
          <w:sz w:val="24"/>
        </w:rPr>
        <w:t>或交易产品</w:t>
      </w:r>
      <w:r>
        <w:rPr>
          <w:rFonts w:hint="eastAsia"/>
          <w:sz w:val="24"/>
        </w:rPr>
        <w:t>下不适用的主要原因之一为获利因子偏</w:t>
      </w:r>
      <w:r>
        <w:rPr>
          <w:rFonts w:hint="eastAsia"/>
          <w:sz w:val="24"/>
        </w:rPr>
        <w:t>小。</w:t>
      </w:r>
    </w:p>
    <w:p w:rsidR="00915039" w:rsidRDefault="00915039" w:rsidP="00B97BEE">
      <w:pPr>
        <w:spacing w:line="360" w:lineRule="auto"/>
        <w:ind w:firstLine="420"/>
        <w:rPr>
          <w:sz w:val="24"/>
          <w:highlight w:val="green"/>
        </w:rPr>
      </w:pPr>
      <w:r w:rsidRPr="00915039">
        <w:rPr>
          <w:rFonts w:hint="eastAsia"/>
          <w:sz w:val="24"/>
          <w:highlight w:val="green"/>
        </w:rPr>
        <w:t>7.</w:t>
      </w:r>
      <w:r w:rsidRPr="00915039">
        <w:rPr>
          <w:rFonts w:hint="eastAsia"/>
          <w:sz w:val="24"/>
          <w:highlight w:val="green"/>
        </w:rPr>
        <w:t>通过资金管理来提高获利因子将显著提高第</w:t>
      </w:r>
      <w:r w:rsidRPr="00915039">
        <w:rPr>
          <w:rFonts w:hint="eastAsia"/>
          <w:sz w:val="24"/>
          <w:highlight w:val="green"/>
        </w:rPr>
        <w:t>2</w:t>
      </w:r>
      <w:r w:rsidRPr="00915039">
        <w:rPr>
          <w:rFonts w:hint="eastAsia"/>
          <w:sz w:val="24"/>
          <w:highlight w:val="green"/>
        </w:rPr>
        <w:t>元素策略的适用范围。</w:t>
      </w:r>
    </w:p>
    <w:p w:rsidR="00AB4404" w:rsidRPr="000340D1" w:rsidRDefault="00915039" w:rsidP="00AB4404">
      <w:pPr>
        <w:spacing w:line="360" w:lineRule="auto"/>
        <w:ind w:firstLine="420"/>
        <w:rPr>
          <w:rFonts w:hint="eastAsia"/>
          <w:sz w:val="24"/>
        </w:rPr>
        <w:sectPr w:rsidR="00AB4404" w:rsidRPr="000340D1">
          <w:headerReference w:type="default" r:id="rId21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  <w:r>
        <w:rPr>
          <w:rFonts w:hint="eastAsia"/>
          <w:sz w:val="24"/>
        </w:rPr>
        <w:t>说明：由式（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*(pG-qL)</m:t>
        </m:r>
      </m:oMath>
      <w:r w:rsidR="00AB4404">
        <w:rPr>
          <w:rFonts w:hint="eastAsia"/>
          <w:sz w:val="24"/>
        </w:rPr>
        <w:t>知道，当通过资金管理来提高获利因子时，对比以前的策略来说，公式中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,p,q,L</m:t>
        </m:r>
      </m:oMath>
      <w:r w:rsidR="00AB4404">
        <w:rPr>
          <w:rFonts w:hint="eastAsia"/>
          <w:sz w:val="24"/>
        </w:rPr>
        <w:t>都不会变，仅仅</w:t>
      </w:r>
      <m:oMath>
        <m:r>
          <m:rPr>
            <m:sty m:val="p"/>
          </m:rPr>
          <w:rPr>
            <w:rFonts w:ascii="Cambria Math" w:hAnsi="Cambria Math"/>
            <w:sz w:val="24"/>
          </w:rPr>
          <m:t>G</m:t>
        </m:r>
      </m:oMath>
      <w:r w:rsidR="00AB4404">
        <w:rPr>
          <w:rFonts w:hint="eastAsia"/>
          <w:sz w:val="24"/>
        </w:rPr>
        <w:t>会变大，那么每笔期望，年均收都肯定会变大</w:t>
      </w:r>
      <w:r w:rsidR="00120290">
        <w:rPr>
          <w:rFonts w:hint="eastAsia"/>
          <w:sz w:val="24"/>
        </w:rPr>
        <w:t>。</w:t>
      </w:r>
      <w:bookmarkStart w:id="14" w:name="_GoBack"/>
      <w:bookmarkEnd w:id="14"/>
    </w:p>
    <w:p w:rsidR="001457A4" w:rsidRPr="00120290" w:rsidRDefault="001457A4" w:rsidP="00120290">
      <w:pPr>
        <w:pStyle w:val="1"/>
        <w:spacing w:beforeLines="50" w:before="156" w:afterLines="50" w:after="156"/>
        <w:jc w:val="both"/>
        <w:rPr>
          <w:rFonts w:hint="eastAsia"/>
          <w:sz w:val="24"/>
        </w:rPr>
      </w:pPr>
    </w:p>
    <w:sectPr w:rsidR="001457A4" w:rsidRPr="00120290" w:rsidSect="00631344">
      <w:headerReference w:type="default" r:id="rId22"/>
      <w:headerReference w:type="first" r:id="rId23"/>
      <w:footerReference w:type="first" r:id="rId24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939" w:rsidRDefault="00F52939">
      <w:r>
        <w:separator/>
      </w:r>
    </w:p>
  </w:endnote>
  <w:endnote w:type="continuationSeparator" w:id="0">
    <w:p w:rsidR="00F52939" w:rsidRDefault="00F5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9"/>
      <w:jc w:val="center"/>
    </w:pPr>
  </w:p>
  <w:p w:rsidR="000D1F8F" w:rsidRDefault="000D1F8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9"/>
      <w:jc w:val="center"/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  <w:lang w:val="zh-CN"/>
      </w:rPr>
      <w:t>10</w:t>
    </w:r>
    <w:r>
      <w:rPr>
        <w:rFonts w:ascii="Times New Roman" w:hAnsi="Times New Roman"/>
        <w:sz w:val="21"/>
        <w:szCs w:val="21"/>
      </w:rPr>
      <w:fldChar w:fldCharType="end"/>
    </w:r>
  </w:p>
  <w:p w:rsidR="000D1F8F" w:rsidRDefault="000D1F8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939" w:rsidRDefault="00F52939">
      <w:r>
        <w:separator/>
      </w:r>
    </w:p>
  </w:footnote>
  <w:footnote w:type="continuationSeparator" w:id="0">
    <w:p w:rsidR="00F52939" w:rsidRDefault="00F52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c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c"/>
    </w:pPr>
    <w:r>
      <w:rPr>
        <w:rFonts w:ascii="楷体_GB2312" w:eastAsia="楷体_GB2312" w:hAnsi="宋体" w:hint="eastAsia"/>
        <w:sz w:val="21"/>
        <w:szCs w:val="21"/>
      </w:rPr>
      <w:t>第</w:t>
    </w:r>
    <w:r>
      <w:rPr>
        <w:rFonts w:ascii="Times New Roman" w:eastAsia="楷体_GB2312" w:hAnsi="Times New Roman"/>
        <w:sz w:val="21"/>
        <w:szCs w:val="21"/>
      </w:rPr>
      <w:t>1</w:t>
    </w:r>
    <w:r>
      <w:rPr>
        <w:rFonts w:ascii="楷体_GB2312" w:eastAsia="楷体_GB2312" w:hAnsi="宋体" w:hint="eastAsia"/>
        <w:sz w:val="21"/>
        <w:szCs w:val="21"/>
      </w:rPr>
      <w:t>章  引言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c"/>
      <w:rPr>
        <w:rFonts w:eastAsia="楷体_GB2312"/>
      </w:rPr>
    </w:pPr>
    <w:r>
      <w:rPr>
        <w:rFonts w:ascii="楷体_GB2312" w:eastAsia="楷体_GB2312" w:hAnsi="宋体" w:hint="eastAsia"/>
        <w:sz w:val="21"/>
        <w:szCs w:val="21"/>
      </w:rPr>
      <w:t>第</w:t>
    </w:r>
    <w:r>
      <w:rPr>
        <w:rFonts w:ascii="Times New Roman" w:eastAsia="楷体_GB2312" w:hAnsi="Times New Roman" w:hint="eastAsia"/>
        <w:sz w:val="21"/>
        <w:szCs w:val="21"/>
      </w:rPr>
      <w:t>2</w:t>
    </w:r>
    <w:r>
      <w:rPr>
        <w:rFonts w:ascii="楷体_GB2312" w:eastAsia="楷体_GB2312" w:hAnsi="宋体" w:hint="eastAsia"/>
        <w:sz w:val="21"/>
        <w:szCs w:val="21"/>
      </w:rPr>
      <w:t>章  相关策略介绍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c"/>
      <w:rPr>
        <w:rFonts w:eastAsia="楷体_GB2312"/>
      </w:rPr>
    </w:pPr>
    <w:r>
      <w:rPr>
        <w:rFonts w:ascii="楷体_GB2312" w:eastAsia="楷体_GB2312" w:hAnsi="宋体" w:hint="eastAsia"/>
        <w:sz w:val="21"/>
        <w:szCs w:val="21"/>
      </w:rPr>
      <w:t>第</w:t>
    </w:r>
    <w:r>
      <w:rPr>
        <w:rFonts w:ascii="Times New Roman" w:eastAsia="楷体_GB2312" w:hAnsi="Times New Roman" w:hint="eastAsia"/>
        <w:sz w:val="21"/>
        <w:szCs w:val="21"/>
      </w:rPr>
      <w:t>3</w:t>
    </w:r>
    <w:r>
      <w:rPr>
        <w:rFonts w:ascii="楷体_GB2312" w:eastAsia="楷体_GB2312" w:hAnsi="宋体" w:hint="eastAsia"/>
        <w:sz w:val="21"/>
        <w:szCs w:val="21"/>
      </w:rPr>
      <w:t>章  策略的程序回测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Pr="00120290" w:rsidRDefault="000D1F8F" w:rsidP="00120290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8F" w:rsidRDefault="000D1F8F">
    <w:pPr>
      <w:pStyle w:val="ac"/>
      <w:rPr>
        <w:rFonts w:ascii="楷体_GB2312" w:eastAsia="楷体_GB2312" w:hAnsi="宋体"/>
        <w:sz w:val="21"/>
        <w:szCs w:val="21"/>
      </w:rPr>
    </w:pPr>
    <w:r>
      <w:rPr>
        <w:rFonts w:ascii="楷体_GB2312" w:eastAsia="楷体_GB2312" w:hAnsi="宋体" w:hint="eastAsia"/>
        <w:sz w:val="21"/>
        <w:szCs w:val="21"/>
      </w:rPr>
      <w:t>第六章 给定资金量的交易手数设置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BBF071"/>
    <w:multiLevelType w:val="singleLevel"/>
    <w:tmpl w:val="F5BBF071"/>
    <w:lvl w:ilvl="0">
      <w:start w:val="6"/>
      <w:numFmt w:val="decimal"/>
      <w:suff w:val="space"/>
      <w:lvlText w:val="第%1章"/>
      <w:lvlJc w:val="left"/>
    </w:lvl>
  </w:abstractNum>
  <w:abstractNum w:abstractNumId="1" w15:restartNumberingAfterBreak="0">
    <w:nsid w:val="F91355E7"/>
    <w:multiLevelType w:val="singleLevel"/>
    <w:tmpl w:val="F91355E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94CC23E"/>
    <w:multiLevelType w:val="singleLevel"/>
    <w:tmpl w:val="394CC23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7188C9A2"/>
    <w:multiLevelType w:val="singleLevel"/>
    <w:tmpl w:val="7188C9A2"/>
    <w:lvl w:ilvl="0">
      <w:start w:val="5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867"/>
    <w:rsid w:val="00007931"/>
    <w:rsid w:val="000102DB"/>
    <w:rsid w:val="00014C75"/>
    <w:rsid w:val="000340D1"/>
    <w:rsid w:val="00050911"/>
    <w:rsid w:val="000530B7"/>
    <w:rsid w:val="00065187"/>
    <w:rsid w:val="00066A8B"/>
    <w:rsid w:val="000753B8"/>
    <w:rsid w:val="000937D0"/>
    <w:rsid w:val="00093D40"/>
    <w:rsid w:val="000A15A5"/>
    <w:rsid w:val="000A16F5"/>
    <w:rsid w:val="000B27BC"/>
    <w:rsid w:val="000B5CC7"/>
    <w:rsid w:val="000B6400"/>
    <w:rsid w:val="000C1572"/>
    <w:rsid w:val="000C3932"/>
    <w:rsid w:val="000C7883"/>
    <w:rsid w:val="000D00DE"/>
    <w:rsid w:val="000D0FCF"/>
    <w:rsid w:val="000D1F8F"/>
    <w:rsid w:val="000F4189"/>
    <w:rsid w:val="00107188"/>
    <w:rsid w:val="00114AFE"/>
    <w:rsid w:val="00120290"/>
    <w:rsid w:val="001324DC"/>
    <w:rsid w:val="00133495"/>
    <w:rsid w:val="00141B6B"/>
    <w:rsid w:val="001457A4"/>
    <w:rsid w:val="001532C1"/>
    <w:rsid w:val="0015780C"/>
    <w:rsid w:val="00157A50"/>
    <w:rsid w:val="00164357"/>
    <w:rsid w:val="00165176"/>
    <w:rsid w:val="001722D1"/>
    <w:rsid w:val="00172A27"/>
    <w:rsid w:val="00186520"/>
    <w:rsid w:val="00190956"/>
    <w:rsid w:val="00195346"/>
    <w:rsid w:val="001A0594"/>
    <w:rsid w:val="001A15FF"/>
    <w:rsid w:val="001C1F03"/>
    <w:rsid w:val="001D313A"/>
    <w:rsid w:val="001E4386"/>
    <w:rsid w:val="001E59C5"/>
    <w:rsid w:val="00215E35"/>
    <w:rsid w:val="00223DE2"/>
    <w:rsid w:val="00242207"/>
    <w:rsid w:val="002878AF"/>
    <w:rsid w:val="00287ACB"/>
    <w:rsid w:val="002905A1"/>
    <w:rsid w:val="002D0EA0"/>
    <w:rsid w:val="002D36D3"/>
    <w:rsid w:val="002E3E71"/>
    <w:rsid w:val="002E7216"/>
    <w:rsid w:val="002F097B"/>
    <w:rsid w:val="002F26DC"/>
    <w:rsid w:val="002F7CE7"/>
    <w:rsid w:val="003020A6"/>
    <w:rsid w:val="00313967"/>
    <w:rsid w:val="003376C5"/>
    <w:rsid w:val="00346F6F"/>
    <w:rsid w:val="00371C3B"/>
    <w:rsid w:val="0039689F"/>
    <w:rsid w:val="003A4741"/>
    <w:rsid w:val="003A49D0"/>
    <w:rsid w:val="003B10EC"/>
    <w:rsid w:val="003D222E"/>
    <w:rsid w:val="003D2AFF"/>
    <w:rsid w:val="003D70D9"/>
    <w:rsid w:val="003E187F"/>
    <w:rsid w:val="003F367E"/>
    <w:rsid w:val="004034F2"/>
    <w:rsid w:val="00403775"/>
    <w:rsid w:val="00404431"/>
    <w:rsid w:val="00407233"/>
    <w:rsid w:val="00407FCB"/>
    <w:rsid w:val="00411E2F"/>
    <w:rsid w:val="00426787"/>
    <w:rsid w:val="00430BC5"/>
    <w:rsid w:val="00445A45"/>
    <w:rsid w:val="00445FEC"/>
    <w:rsid w:val="004745F9"/>
    <w:rsid w:val="004A1AA2"/>
    <w:rsid w:val="004C46CA"/>
    <w:rsid w:val="004C7587"/>
    <w:rsid w:val="004C7773"/>
    <w:rsid w:val="004D0350"/>
    <w:rsid w:val="004D237B"/>
    <w:rsid w:val="004E29D8"/>
    <w:rsid w:val="004F0BF4"/>
    <w:rsid w:val="00503AF7"/>
    <w:rsid w:val="00506DA1"/>
    <w:rsid w:val="005112B0"/>
    <w:rsid w:val="00511542"/>
    <w:rsid w:val="00524022"/>
    <w:rsid w:val="005454A3"/>
    <w:rsid w:val="005472A7"/>
    <w:rsid w:val="0054781E"/>
    <w:rsid w:val="005533AF"/>
    <w:rsid w:val="00554241"/>
    <w:rsid w:val="005571EB"/>
    <w:rsid w:val="005628B7"/>
    <w:rsid w:val="005A5D95"/>
    <w:rsid w:val="005B0DCC"/>
    <w:rsid w:val="005B4189"/>
    <w:rsid w:val="005B6787"/>
    <w:rsid w:val="005B6914"/>
    <w:rsid w:val="005C75CD"/>
    <w:rsid w:val="005D6F68"/>
    <w:rsid w:val="005E54C0"/>
    <w:rsid w:val="00602874"/>
    <w:rsid w:val="00611DE8"/>
    <w:rsid w:val="00631344"/>
    <w:rsid w:val="00633191"/>
    <w:rsid w:val="00657673"/>
    <w:rsid w:val="006746B7"/>
    <w:rsid w:val="00684805"/>
    <w:rsid w:val="0069221A"/>
    <w:rsid w:val="006A6046"/>
    <w:rsid w:val="006A73B4"/>
    <w:rsid w:val="006B01F1"/>
    <w:rsid w:val="006B4946"/>
    <w:rsid w:val="006B4FDD"/>
    <w:rsid w:val="006C50D0"/>
    <w:rsid w:val="006E1829"/>
    <w:rsid w:val="006F2EF5"/>
    <w:rsid w:val="007012B2"/>
    <w:rsid w:val="00701F96"/>
    <w:rsid w:val="007167E2"/>
    <w:rsid w:val="00730375"/>
    <w:rsid w:val="007322EA"/>
    <w:rsid w:val="00734AB1"/>
    <w:rsid w:val="00756014"/>
    <w:rsid w:val="007649D0"/>
    <w:rsid w:val="00777FD3"/>
    <w:rsid w:val="0078046F"/>
    <w:rsid w:val="00794106"/>
    <w:rsid w:val="00795B27"/>
    <w:rsid w:val="007A30F6"/>
    <w:rsid w:val="007C318D"/>
    <w:rsid w:val="007D77EA"/>
    <w:rsid w:val="007E04FC"/>
    <w:rsid w:val="007E174E"/>
    <w:rsid w:val="007E22FD"/>
    <w:rsid w:val="0080229B"/>
    <w:rsid w:val="0081142F"/>
    <w:rsid w:val="008128C4"/>
    <w:rsid w:val="00821EA8"/>
    <w:rsid w:val="00825565"/>
    <w:rsid w:val="008312E5"/>
    <w:rsid w:val="00844FF7"/>
    <w:rsid w:val="0085351D"/>
    <w:rsid w:val="00857111"/>
    <w:rsid w:val="00863F48"/>
    <w:rsid w:val="00864E35"/>
    <w:rsid w:val="0087328F"/>
    <w:rsid w:val="00880F7D"/>
    <w:rsid w:val="0089162A"/>
    <w:rsid w:val="00891ACE"/>
    <w:rsid w:val="00896F85"/>
    <w:rsid w:val="008A1075"/>
    <w:rsid w:val="008A149C"/>
    <w:rsid w:val="008A79E2"/>
    <w:rsid w:val="008B1CBA"/>
    <w:rsid w:val="008B2C25"/>
    <w:rsid w:val="008D05B5"/>
    <w:rsid w:val="008D1CE5"/>
    <w:rsid w:val="008E24CA"/>
    <w:rsid w:val="008F2851"/>
    <w:rsid w:val="009040B8"/>
    <w:rsid w:val="009055B6"/>
    <w:rsid w:val="00912983"/>
    <w:rsid w:val="00915039"/>
    <w:rsid w:val="00930796"/>
    <w:rsid w:val="00940057"/>
    <w:rsid w:val="0094720A"/>
    <w:rsid w:val="0096415B"/>
    <w:rsid w:val="00983253"/>
    <w:rsid w:val="00991265"/>
    <w:rsid w:val="00991930"/>
    <w:rsid w:val="009A0566"/>
    <w:rsid w:val="009A37A7"/>
    <w:rsid w:val="009A55C7"/>
    <w:rsid w:val="009B70A9"/>
    <w:rsid w:val="009C0F36"/>
    <w:rsid w:val="009C32BA"/>
    <w:rsid w:val="009C47FB"/>
    <w:rsid w:val="009D0C40"/>
    <w:rsid w:val="009D4DD1"/>
    <w:rsid w:val="009F0714"/>
    <w:rsid w:val="009F0C2F"/>
    <w:rsid w:val="009F1D47"/>
    <w:rsid w:val="009F4384"/>
    <w:rsid w:val="00A27516"/>
    <w:rsid w:val="00A30AC0"/>
    <w:rsid w:val="00A63112"/>
    <w:rsid w:val="00A6604C"/>
    <w:rsid w:val="00A72C6C"/>
    <w:rsid w:val="00A74B8D"/>
    <w:rsid w:val="00A91624"/>
    <w:rsid w:val="00A9463F"/>
    <w:rsid w:val="00AB374E"/>
    <w:rsid w:val="00AB4404"/>
    <w:rsid w:val="00AC46C2"/>
    <w:rsid w:val="00AC6149"/>
    <w:rsid w:val="00AD42A8"/>
    <w:rsid w:val="00AE6DAF"/>
    <w:rsid w:val="00B21481"/>
    <w:rsid w:val="00B21EB4"/>
    <w:rsid w:val="00B27649"/>
    <w:rsid w:val="00B2765C"/>
    <w:rsid w:val="00B36874"/>
    <w:rsid w:val="00B417F0"/>
    <w:rsid w:val="00B70E52"/>
    <w:rsid w:val="00B90C6D"/>
    <w:rsid w:val="00B97BEE"/>
    <w:rsid w:val="00BA6ED3"/>
    <w:rsid w:val="00BB1451"/>
    <w:rsid w:val="00BD3E74"/>
    <w:rsid w:val="00BD6848"/>
    <w:rsid w:val="00BE6BA7"/>
    <w:rsid w:val="00C033BF"/>
    <w:rsid w:val="00C217EC"/>
    <w:rsid w:val="00C23391"/>
    <w:rsid w:val="00C458D3"/>
    <w:rsid w:val="00C603D6"/>
    <w:rsid w:val="00C6541F"/>
    <w:rsid w:val="00C93BCA"/>
    <w:rsid w:val="00C949CC"/>
    <w:rsid w:val="00C96C96"/>
    <w:rsid w:val="00CA594C"/>
    <w:rsid w:val="00CA71BF"/>
    <w:rsid w:val="00CB45F8"/>
    <w:rsid w:val="00CB521F"/>
    <w:rsid w:val="00CB7D93"/>
    <w:rsid w:val="00CC024D"/>
    <w:rsid w:val="00CC3BB1"/>
    <w:rsid w:val="00CD5FA1"/>
    <w:rsid w:val="00CE416D"/>
    <w:rsid w:val="00CF309C"/>
    <w:rsid w:val="00D05A3D"/>
    <w:rsid w:val="00D1145B"/>
    <w:rsid w:val="00D26501"/>
    <w:rsid w:val="00D308E4"/>
    <w:rsid w:val="00D417EE"/>
    <w:rsid w:val="00D4719D"/>
    <w:rsid w:val="00D57403"/>
    <w:rsid w:val="00D57ED3"/>
    <w:rsid w:val="00D7484C"/>
    <w:rsid w:val="00D802BD"/>
    <w:rsid w:val="00D93857"/>
    <w:rsid w:val="00DA1D54"/>
    <w:rsid w:val="00DA488D"/>
    <w:rsid w:val="00DA61E2"/>
    <w:rsid w:val="00DA6C8A"/>
    <w:rsid w:val="00DB5BB8"/>
    <w:rsid w:val="00DC38B8"/>
    <w:rsid w:val="00DC66EB"/>
    <w:rsid w:val="00DD28D3"/>
    <w:rsid w:val="00DF5DC9"/>
    <w:rsid w:val="00E02E56"/>
    <w:rsid w:val="00E05C4E"/>
    <w:rsid w:val="00E206FB"/>
    <w:rsid w:val="00E20F1B"/>
    <w:rsid w:val="00E23674"/>
    <w:rsid w:val="00E3164C"/>
    <w:rsid w:val="00E3566F"/>
    <w:rsid w:val="00E35B47"/>
    <w:rsid w:val="00E37CF3"/>
    <w:rsid w:val="00E46E21"/>
    <w:rsid w:val="00E564C2"/>
    <w:rsid w:val="00E61A44"/>
    <w:rsid w:val="00E70E9E"/>
    <w:rsid w:val="00E93A63"/>
    <w:rsid w:val="00EA752E"/>
    <w:rsid w:val="00EB2CC7"/>
    <w:rsid w:val="00EB4C58"/>
    <w:rsid w:val="00EC08BA"/>
    <w:rsid w:val="00EC45CB"/>
    <w:rsid w:val="00EC7B71"/>
    <w:rsid w:val="00ED0214"/>
    <w:rsid w:val="00F06D27"/>
    <w:rsid w:val="00F12682"/>
    <w:rsid w:val="00F30DD7"/>
    <w:rsid w:val="00F34E13"/>
    <w:rsid w:val="00F35B7D"/>
    <w:rsid w:val="00F52939"/>
    <w:rsid w:val="00F567BA"/>
    <w:rsid w:val="00F56FA5"/>
    <w:rsid w:val="00F63A11"/>
    <w:rsid w:val="00F64799"/>
    <w:rsid w:val="00F859C9"/>
    <w:rsid w:val="00F90533"/>
    <w:rsid w:val="00F9195D"/>
    <w:rsid w:val="00F961E8"/>
    <w:rsid w:val="00FC1DB4"/>
    <w:rsid w:val="00FF2B8D"/>
    <w:rsid w:val="00FF71C0"/>
    <w:rsid w:val="01B618B0"/>
    <w:rsid w:val="021E219F"/>
    <w:rsid w:val="02E57A11"/>
    <w:rsid w:val="034B0837"/>
    <w:rsid w:val="038B33D1"/>
    <w:rsid w:val="043A166C"/>
    <w:rsid w:val="04B82AEB"/>
    <w:rsid w:val="054A05C6"/>
    <w:rsid w:val="05C30243"/>
    <w:rsid w:val="05F4085E"/>
    <w:rsid w:val="06832311"/>
    <w:rsid w:val="06923383"/>
    <w:rsid w:val="06A86927"/>
    <w:rsid w:val="06B6405E"/>
    <w:rsid w:val="06B91BC7"/>
    <w:rsid w:val="06CF7687"/>
    <w:rsid w:val="06DE516A"/>
    <w:rsid w:val="077D1C87"/>
    <w:rsid w:val="07C73FFD"/>
    <w:rsid w:val="07E95A6E"/>
    <w:rsid w:val="07F7726D"/>
    <w:rsid w:val="08A50CB7"/>
    <w:rsid w:val="09034B8A"/>
    <w:rsid w:val="090A1676"/>
    <w:rsid w:val="095969A4"/>
    <w:rsid w:val="0A8F4137"/>
    <w:rsid w:val="0AE15C06"/>
    <w:rsid w:val="0BB51B34"/>
    <w:rsid w:val="0C8F1305"/>
    <w:rsid w:val="0C902782"/>
    <w:rsid w:val="0CD30868"/>
    <w:rsid w:val="0CE40BB5"/>
    <w:rsid w:val="0D3C30CE"/>
    <w:rsid w:val="0DAE24C6"/>
    <w:rsid w:val="0DE804F8"/>
    <w:rsid w:val="0DEB5665"/>
    <w:rsid w:val="0DFA1CE2"/>
    <w:rsid w:val="0ECF2678"/>
    <w:rsid w:val="0EF83B98"/>
    <w:rsid w:val="0F832932"/>
    <w:rsid w:val="0FC12C46"/>
    <w:rsid w:val="109B5EBC"/>
    <w:rsid w:val="109B7528"/>
    <w:rsid w:val="10EF4F3E"/>
    <w:rsid w:val="110D5FEA"/>
    <w:rsid w:val="12DF5846"/>
    <w:rsid w:val="13673632"/>
    <w:rsid w:val="13730E28"/>
    <w:rsid w:val="14E34187"/>
    <w:rsid w:val="1516758B"/>
    <w:rsid w:val="152604CE"/>
    <w:rsid w:val="15CD0447"/>
    <w:rsid w:val="1638283E"/>
    <w:rsid w:val="16D54E33"/>
    <w:rsid w:val="17091BEF"/>
    <w:rsid w:val="17102BA9"/>
    <w:rsid w:val="17877A4F"/>
    <w:rsid w:val="185F3AA0"/>
    <w:rsid w:val="189E42A7"/>
    <w:rsid w:val="198A51A8"/>
    <w:rsid w:val="199D230A"/>
    <w:rsid w:val="19B57F00"/>
    <w:rsid w:val="19E91901"/>
    <w:rsid w:val="1A0A3D66"/>
    <w:rsid w:val="1A1B21CE"/>
    <w:rsid w:val="1A747ED3"/>
    <w:rsid w:val="1B0F4177"/>
    <w:rsid w:val="1B3439A5"/>
    <w:rsid w:val="1BF33991"/>
    <w:rsid w:val="1C4B7D55"/>
    <w:rsid w:val="1CE56FA5"/>
    <w:rsid w:val="1D2A5B53"/>
    <w:rsid w:val="1D7E3AF3"/>
    <w:rsid w:val="1DFA4738"/>
    <w:rsid w:val="1E192963"/>
    <w:rsid w:val="1E2F435C"/>
    <w:rsid w:val="1E3A37AA"/>
    <w:rsid w:val="1E811872"/>
    <w:rsid w:val="1E890242"/>
    <w:rsid w:val="1EAC53CA"/>
    <w:rsid w:val="1EFB3E69"/>
    <w:rsid w:val="1F391725"/>
    <w:rsid w:val="1FB255F3"/>
    <w:rsid w:val="1FD7566B"/>
    <w:rsid w:val="1FF70086"/>
    <w:rsid w:val="200C68F7"/>
    <w:rsid w:val="210E6941"/>
    <w:rsid w:val="212D117E"/>
    <w:rsid w:val="213C2A59"/>
    <w:rsid w:val="21623AE6"/>
    <w:rsid w:val="22556987"/>
    <w:rsid w:val="22D27396"/>
    <w:rsid w:val="23635AFF"/>
    <w:rsid w:val="23DA6054"/>
    <w:rsid w:val="240769C4"/>
    <w:rsid w:val="24532935"/>
    <w:rsid w:val="249002BD"/>
    <w:rsid w:val="25517D6B"/>
    <w:rsid w:val="25522D5E"/>
    <w:rsid w:val="25C9516A"/>
    <w:rsid w:val="26114A24"/>
    <w:rsid w:val="268F1558"/>
    <w:rsid w:val="26A10056"/>
    <w:rsid w:val="26E37C1E"/>
    <w:rsid w:val="27B774EE"/>
    <w:rsid w:val="27BF57A7"/>
    <w:rsid w:val="27CB67C7"/>
    <w:rsid w:val="28223FD8"/>
    <w:rsid w:val="284C0152"/>
    <w:rsid w:val="28FA4868"/>
    <w:rsid w:val="292C7850"/>
    <w:rsid w:val="298F4FD3"/>
    <w:rsid w:val="29C046D0"/>
    <w:rsid w:val="29DE2BEA"/>
    <w:rsid w:val="2C3E38D5"/>
    <w:rsid w:val="2C560F9F"/>
    <w:rsid w:val="2CE5032E"/>
    <w:rsid w:val="2CF14AD4"/>
    <w:rsid w:val="2D0C7D56"/>
    <w:rsid w:val="2D203000"/>
    <w:rsid w:val="2D3340A2"/>
    <w:rsid w:val="2D552D14"/>
    <w:rsid w:val="2D6E1770"/>
    <w:rsid w:val="2D8A4029"/>
    <w:rsid w:val="2D9F0EBF"/>
    <w:rsid w:val="2DFD68A8"/>
    <w:rsid w:val="2E72367B"/>
    <w:rsid w:val="2E7F57CC"/>
    <w:rsid w:val="2EE80C7F"/>
    <w:rsid w:val="2EEA123A"/>
    <w:rsid w:val="2F143B20"/>
    <w:rsid w:val="2FB277B7"/>
    <w:rsid w:val="30380871"/>
    <w:rsid w:val="31763869"/>
    <w:rsid w:val="319B3610"/>
    <w:rsid w:val="32327475"/>
    <w:rsid w:val="327E0AB8"/>
    <w:rsid w:val="33320944"/>
    <w:rsid w:val="338E742B"/>
    <w:rsid w:val="33A70BE0"/>
    <w:rsid w:val="34253C70"/>
    <w:rsid w:val="346B0387"/>
    <w:rsid w:val="34844E82"/>
    <w:rsid w:val="348C01D6"/>
    <w:rsid w:val="34BD4B4B"/>
    <w:rsid w:val="35070534"/>
    <w:rsid w:val="35127423"/>
    <w:rsid w:val="35D20E89"/>
    <w:rsid w:val="363479EA"/>
    <w:rsid w:val="369915FA"/>
    <w:rsid w:val="36D44F17"/>
    <w:rsid w:val="36F95A9D"/>
    <w:rsid w:val="36FB1601"/>
    <w:rsid w:val="37810A86"/>
    <w:rsid w:val="37EC37AA"/>
    <w:rsid w:val="382C7D93"/>
    <w:rsid w:val="38657901"/>
    <w:rsid w:val="392C06E6"/>
    <w:rsid w:val="3985115E"/>
    <w:rsid w:val="398B0EFD"/>
    <w:rsid w:val="39A92A5E"/>
    <w:rsid w:val="3A1A3CB5"/>
    <w:rsid w:val="3B9D3831"/>
    <w:rsid w:val="3C8D3FCB"/>
    <w:rsid w:val="3CE07011"/>
    <w:rsid w:val="3D9553AD"/>
    <w:rsid w:val="3DD27195"/>
    <w:rsid w:val="3E712AE6"/>
    <w:rsid w:val="3EBA64FA"/>
    <w:rsid w:val="3F012607"/>
    <w:rsid w:val="3F3A2A32"/>
    <w:rsid w:val="40C42436"/>
    <w:rsid w:val="40DB0CBF"/>
    <w:rsid w:val="410052F0"/>
    <w:rsid w:val="418F4860"/>
    <w:rsid w:val="41AB1435"/>
    <w:rsid w:val="421B3751"/>
    <w:rsid w:val="423411FF"/>
    <w:rsid w:val="42AB0253"/>
    <w:rsid w:val="437D62E2"/>
    <w:rsid w:val="44734B68"/>
    <w:rsid w:val="44C2485D"/>
    <w:rsid w:val="4581539C"/>
    <w:rsid w:val="459C477D"/>
    <w:rsid w:val="469F2C19"/>
    <w:rsid w:val="4700490D"/>
    <w:rsid w:val="482A718D"/>
    <w:rsid w:val="48BC3F91"/>
    <w:rsid w:val="49355552"/>
    <w:rsid w:val="4A855485"/>
    <w:rsid w:val="4BB63BE4"/>
    <w:rsid w:val="4BD90331"/>
    <w:rsid w:val="4C3A266C"/>
    <w:rsid w:val="4C9770CD"/>
    <w:rsid w:val="4CEC113A"/>
    <w:rsid w:val="4CEC4AEB"/>
    <w:rsid w:val="4E89004C"/>
    <w:rsid w:val="4FB270D0"/>
    <w:rsid w:val="4FC43B1B"/>
    <w:rsid w:val="50660A23"/>
    <w:rsid w:val="50810C4D"/>
    <w:rsid w:val="50D032B8"/>
    <w:rsid w:val="50FE7991"/>
    <w:rsid w:val="5103697C"/>
    <w:rsid w:val="513122AD"/>
    <w:rsid w:val="513E5489"/>
    <w:rsid w:val="51CD60FF"/>
    <w:rsid w:val="52E70DD9"/>
    <w:rsid w:val="53222DF2"/>
    <w:rsid w:val="54285B07"/>
    <w:rsid w:val="54734677"/>
    <w:rsid w:val="553331CF"/>
    <w:rsid w:val="56BB0D03"/>
    <w:rsid w:val="57217693"/>
    <w:rsid w:val="57DB4D92"/>
    <w:rsid w:val="57DD7A59"/>
    <w:rsid w:val="583D3791"/>
    <w:rsid w:val="584F1B8A"/>
    <w:rsid w:val="594742FD"/>
    <w:rsid w:val="594C3153"/>
    <w:rsid w:val="596E564C"/>
    <w:rsid w:val="5984304F"/>
    <w:rsid w:val="59C16CDE"/>
    <w:rsid w:val="5A7846C2"/>
    <w:rsid w:val="5B57013C"/>
    <w:rsid w:val="5B6F2CC9"/>
    <w:rsid w:val="5B9C5E01"/>
    <w:rsid w:val="5BE14D46"/>
    <w:rsid w:val="5CC179EF"/>
    <w:rsid w:val="5DBC32AA"/>
    <w:rsid w:val="5E0E6997"/>
    <w:rsid w:val="5E327A17"/>
    <w:rsid w:val="5E3D77EF"/>
    <w:rsid w:val="5EBB6C4C"/>
    <w:rsid w:val="606256EE"/>
    <w:rsid w:val="61397032"/>
    <w:rsid w:val="6184661E"/>
    <w:rsid w:val="61AF5E54"/>
    <w:rsid w:val="63160701"/>
    <w:rsid w:val="63641B3D"/>
    <w:rsid w:val="65A64A6D"/>
    <w:rsid w:val="65F24BB7"/>
    <w:rsid w:val="65F363C2"/>
    <w:rsid w:val="65FF2228"/>
    <w:rsid w:val="66B31DA8"/>
    <w:rsid w:val="66BC5061"/>
    <w:rsid w:val="66F87EB7"/>
    <w:rsid w:val="674555DF"/>
    <w:rsid w:val="67946B9E"/>
    <w:rsid w:val="67991553"/>
    <w:rsid w:val="679B1855"/>
    <w:rsid w:val="681A6AB6"/>
    <w:rsid w:val="68DC0754"/>
    <w:rsid w:val="6A8D0E02"/>
    <w:rsid w:val="6AD25954"/>
    <w:rsid w:val="6AD55946"/>
    <w:rsid w:val="6BDD1EF5"/>
    <w:rsid w:val="6CE915F4"/>
    <w:rsid w:val="6DCF03D7"/>
    <w:rsid w:val="6E000DC3"/>
    <w:rsid w:val="6FC4669A"/>
    <w:rsid w:val="6FD62D5C"/>
    <w:rsid w:val="7020666F"/>
    <w:rsid w:val="70E96729"/>
    <w:rsid w:val="70FA506F"/>
    <w:rsid w:val="70FD1C53"/>
    <w:rsid w:val="710478AC"/>
    <w:rsid w:val="710E62FB"/>
    <w:rsid w:val="711379EE"/>
    <w:rsid w:val="71614CC8"/>
    <w:rsid w:val="71FB3970"/>
    <w:rsid w:val="721E16C9"/>
    <w:rsid w:val="72905E40"/>
    <w:rsid w:val="7375128C"/>
    <w:rsid w:val="73C22C8A"/>
    <w:rsid w:val="73DA6506"/>
    <w:rsid w:val="74AB0A8D"/>
    <w:rsid w:val="74FA7CBD"/>
    <w:rsid w:val="75055AFC"/>
    <w:rsid w:val="7574350A"/>
    <w:rsid w:val="75955248"/>
    <w:rsid w:val="75D339DF"/>
    <w:rsid w:val="76D551BB"/>
    <w:rsid w:val="77614982"/>
    <w:rsid w:val="77B0138C"/>
    <w:rsid w:val="79AC58F2"/>
    <w:rsid w:val="7A855C90"/>
    <w:rsid w:val="7ABE2429"/>
    <w:rsid w:val="7B307D3C"/>
    <w:rsid w:val="7BE22E9D"/>
    <w:rsid w:val="7C992FE0"/>
    <w:rsid w:val="7CFF53D9"/>
    <w:rsid w:val="7D162918"/>
    <w:rsid w:val="7D1A4251"/>
    <w:rsid w:val="7D2E6D5D"/>
    <w:rsid w:val="7D3574FB"/>
    <w:rsid w:val="7DF87213"/>
    <w:rsid w:val="7E453E6D"/>
    <w:rsid w:val="7F4A3F3C"/>
    <w:rsid w:val="7F6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AE5BE9"/>
  <w15:chartTrackingRefBased/>
  <w15:docId w15:val="{8BD84DEC-59B6-4720-A1A9-1E05156B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jc w:val="center"/>
      <w:outlineLvl w:val="0"/>
    </w:pPr>
    <w:rPr>
      <w:b/>
      <w:bCs/>
      <w:kern w:val="0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 字符"/>
    <w:link w:val="a4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sz w:val="44"/>
      <w:szCs w:val="24"/>
    </w:rPr>
  </w:style>
  <w:style w:type="character" w:customStyle="1" w:styleId="a5">
    <w:name w:val="批注框文本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character" w:customStyle="1" w:styleId="Char">
    <w:name w:val="我的正文 Char"/>
    <w:link w:val="aa"/>
    <w:semiHidden/>
    <w:rPr>
      <w:rFonts w:ascii="宋体" w:eastAsia="宋体" w:hAnsi="宋体" w:cs="Times New Roman"/>
      <w:bCs/>
      <w:sz w:val="24"/>
      <w:szCs w:val="24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b">
    <w:name w:val="页眉 字符"/>
    <w:link w:val="ac"/>
    <w:uiPriority w:val="99"/>
    <w:rPr>
      <w:sz w:val="18"/>
      <w:szCs w:val="18"/>
    </w:rPr>
  </w:style>
  <w:style w:type="character" w:customStyle="1" w:styleId="ad">
    <w:name w:val="文档结构图 字符"/>
    <w:link w:val="ae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21">
    <w:name w:val="正文文本缩进 2 字符"/>
    <w:link w:val="22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5"/>
    <w:uiPriority w:val="99"/>
    <w:unhideWhenUsed/>
    <w:rPr>
      <w:kern w:val="0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Body Text Indent"/>
    <w:basedOn w:val="a"/>
    <w:link w:val="a3"/>
    <w:pPr>
      <w:ind w:firstLineChars="200" w:firstLine="420"/>
    </w:pPr>
    <w:rPr>
      <w:kern w:val="0"/>
      <w:sz w:val="20"/>
    </w:rPr>
  </w:style>
  <w:style w:type="paragraph" w:styleId="22">
    <w:name w:val="Body Text Indent 2"/>
    <w:basedOn w:val="a"/>
    <w:link w:val="21"/>
    <w:pPr>
      <w:spacing w:after="120" w:line="480" w:lineRule="auto"/>
      <w:ind w:leftChars="200" w:left="420"/>
    </w:pPr>
    <w:rPr>
      <w:kern w:val="0"/>
      <w:sz w:val="20"/>
    </w:rPr>
  </w:style>
  <w:style w:type="paragraph" w:styleId="TOC1">
    <w:name w:val="toc 1"/>
    <w:basedOn w:val="a"/>
    <w:next w:val="a"/>
    <w:uiPriority w:val="39"/>
    <w:unhideWhenUsed/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e">
    <w:name w:val="Document Map"/>
    <w:basedOn w:val="a"/>
    <w:link w:val="ad"/>
    <w:uiPriority w:val="99"/>
    <w:unhideWhenUsed/>
    <w:rPr>
      <w:rFonts w:ascii="宋体"/>
      <w:kern w:val="0"/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customStyle="1" w:styleId="aa">
    <w:name w:val="我的正文"/>
    <w:basedOn w:val="a"/>
    <w:link w:val="Char"/>
    <w:semiHidden/>
    <w:pPr>
      <w:spacing w:line="420" w:lineRule="exact"/>
      <w:ind w:firstLineChars="200" w:firstLine="200"/>
    </w:pPr>
    <w:rPr>
      <w:rFonts w:ascii="宋体" w:hAnsi="宋体"/>
      <w:bCs/>
      <w:kern w:val="0"/>
      <w:sz w:val="24"/>
    </w:rPr>
  </w:style>
  <w:style w:type="table" w:styleId="af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unhideWhenUsed/>
    <w:rsid w:val="005B4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footer" Target="footer1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3.xml"/><Relationship Id="rId2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XAUUSD&#24180;&#22343;&#25910;&#3041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XAUUSD&#26368;&#22823;&#34928;&#33853;&#37329;&#3906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XAUUSDMAR&#32479;&#35745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XAUUSD&#27599;&#31508;&#26399;&#2639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XAUUSD&#26368;&#22823;&#34928;&#33853;&#26399;&#32479;&#3574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XAUUSD&#32988;&#29575;&#32479;&#35745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GBPUSD60&#19982;XAUUSD60&#20111;&#25439;&#21333;&#22343;&#20111;&#25439;&#27604;&#3673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GBPUSD60&#19982;XAUUSD60&#32988;&#29575;&#27604;&#3673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567;&#23431;&#23449;\R\Analyse\GBPUSD60&#19982;XAUUSD60&#27599;&#31508;&#26399;&#26395;&#27604;&#3673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XAUUSD</a:t>
            </a:r>
            <a:r>
              <a:rPr lang="zh-CN" altLang="en-US"/>
              <a:t>系列年均收益随</a:t>
            </a:r>
            <a:r>
              <a:rPr lang="en-US" altLang="zh-CN"/>
              <a:t>R</a:t>
            </a:r>
            <a:r>
              <a:rPr lang="zh-CN" altLang="en-US"/>
              <a:t>变化曲线图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XAUSD30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-13958</c:v>
                </c:pt>
                <c:pt idx="1">
                  <c:v>-11298</c:v>
                </c:pt>
                <c:pt idx="2">
                  <c:v>-9388</c:v>
                </c:pt>
                <c:pt idx="3">
                  <c:v>-8665</c:v>
                </c:pt>
                <c:pt idx="4">
                  <c:v>-7914</c:v>
                </c:pt>
                <c:pt idx="5">
                  <c:v>-4393</c:v>
                </c:pt>
                <c:pt idx="6">
                  <c:v>-6349</c:v>
                </c:pt>
                <c:pt idx="7">
                  <c:v>-3686</c:v>
                </c:pt>
                <c:pt idx="8">
                  <c:v>-1569</c:v>
                </c:pt>
                <c:pt idx="9">
                  <c:v>-4293</c:v>
                </c:pt>
                <c:pt idx="10">
                  <c:v>-3134</c:v>
                </c:pt>
                <c:pt idx="11">
                  <c:v>-3136</c:v>
                </c:pt>
                <c:pt idx="12">
                  <c:v>-3060</c:v>
                </c:pt>
                <c:pt idx="13">
                  <c:v>1787</c:v>
                </c:pt>
                <c:pt idx="14">
                  <c:v>1383</c:v>
                </c:pt>
                <c:pt idx="15">
                  <c:v>-940</c:v>
                </c:pt>
                <c:pt idx="16">
                  <c:v>-1262</c:v>
                </c:pt>
                <c:pt idx="17">
                  <c:v>-1682</c:v>
                </c:pt>
                <c:pt idx="18">
                  <c:v>-529</c:v>
                </c:pt>
                <c:pt idx="19">
                  <c:v>260</c:v>
                </c:pt>
                <c:pt idx="20">
                  <c:v>321</c:v>
                </c:pt>
                <c:pt idx="21">
                  <c:v>-2532</c:v>
                </c:pt>
                <c:pt idx="22">
                  <c:v>-369</c:v>
                </c:pt>
                <c:pt idx="23">
                  <c:v>-1630</c:v>
                </c:pt>
                <c:pt idx="24">
                  <c:v>-200</c:v>
                </c:pt>
                <c:pt idx="25">
                  <c:v>1630</c:v>
                </c:pt>
                <c:pt idx="26">
                  <c:v>3625</c:v>
                </c:pt>
                <c:pt idx="27">
                  <c:v>3130</c:v>
                </c:pt>
                <c:pt idx="28">
                  <c:v>6189</c:v>
                </c:pt>
                <c:pt idx="29">
                  <c:v>6223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82-42D0-A0EE-6829C89023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-5571</c:v>
                </c:pt>
                <c:pt idx="1">
                  <c:v>-5160</c:v>
                </c:pt>
                <c:pt idx="2">
                  <c:v>-3373</c:v>
                </c:pt>
                <c:pt idx="3">
                  <c:v>-1470</c:v>
                </c:pt>
                <c:pt idx="4">
                  <c:v>-780</c:v>
                </c:pt>
                <c:pt idx="5">
                  <c:v>-183</c:v>
                </c:pt>
                <c:pt idx="6">
                  <c:v>4416</c:v>
                </c:pt>
                <c:pt idx="7">
                  <c:v>5095</c:v>
                </c:pt>
                <c:pt idx="8">
                  <c:v>8126</c:v>
                </c:pt>
                <c:pt idx="9">
                  <c:v>9156</c:v>
                </c:pt>
                <c:pt idx="10">
                  <c:v>10379</c:v>
                </c:pt>
                <c:pt idx="11">
                  <c:v>11942</c:v>
                </c:pt>
                <c:pt idx="12">
                  <c:v>14454</c:v>
                </c:pt>
                <c:pt idx="13">
                  <c:v>17335</c:v>
                </c:pt>
                <c:pt idx="14">
                  <c:v>19733</c:v>
                </c:pt>
                <c:pt idx="15">
                  <c:v>21143</c:v>
                </c:pt>
                <c:pt idx="16">
                  <c:v>22684</c:v>
                </c:pt>
                <c:pt idx="17">
                  <c:v>22345</c:v>
                </c:pt>
                <c:pt idx="18">
                  <c:v>24117</c:v>
                </c:pt>
                <c:pt idx="19">
                  <c:v>22756</c:v>
                </c:pt>
                <c:pt idx="20">
                  <c:v>23465</c:v>
                </c:pt>
                <c:pt idx="21">
                  <c:v>23348</c:v>
                </c:pt>
                <c:pt idx="22">
                  <c:v>25858</c:v>
                </c:pt>
                <c:pt idx="23">
                  <c:v>25697</c:v>
                </c:pt>
                <c:pt idx="24">
                  <c:v>24321</c:v>
                </c:pt>
                <c:pt idx="25">
                  <c:v>22970</c:v>
                </c:pt>
                <c:pt idx="26">
                  <c:v>24158</c:v>
                </c:pt>
                <c:pt idx="27">
                  <c:v>23169</c:v>
                </c:pt>
                <c:pt idx="28">
                  <c:v>24455</c:v>
                </c:pt>
                <c:pt idx="29">
                  <c:v>25919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82-42D0-A0EE-6829C89023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XAUSD240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-556</c:v>
                </c:pt>
                <c:pt idx="1">
                  <c:v>1001</c:v>
                </c:pt>
                <c:pt idx="2">
                  <c:v>3285</c:v>
                </c:pt>
                <c:pt idx="3">
                  <c:v>4686</c:v>
                </c:pt>
                <c:pt idx="4">
                  <c:v>5764</c:v>
                </c:pt>
                <c:pt idx="5">
                  <c:v>7130</c:v>
                </c:pt>
                <c:pt idx="6">
                  <c:v>5079</c:v>
                </c:pt>
                <c:pt idx="7">
                  <c:v>6439</c:v>
                </c:pt>
                <c:pt idx="8">
                  <c:v>6572</c:v>
                </c:pt>
                <c:pt idx="9">
                  <c:v>4540</c:v>
                </c:pt>
                <c:pt idx="10">
                  <c:v>6131</c:v>
                </c:pt>
                <c:pt idx="11">
                  <c:v>6045</c:v>
                </c:pt>
                <c:pt idx="12">
                  <c:v>7099</c:v>
                </c:pt>
                <c:pt idx="13">
                  <c:v>9402</c:v>
                </c:pt>
                <c:pt idx="14">
                  <c:v>12161</c:v>
                </c:pt>
                <c:pt idx="15">
                  <c:v>12159</c:v>
                </c:pt>
                <c:pt idx="16">
                  <c:v>9555</c:v>
                </c:pt>
                <c:pt idx="17">
                  <c:v>10204</c:v>
                </c:pt>
                <c:pt idx="18">
                  <c:v>9786</c:v>
                </c:pt>
                <c:pt idx="19">
                  <c:v>10660</c:v>
                </c:pt>
                <c:pt idx="20">
                  <c:v>11321</c:v>
                </c:pt>
                <c:pt idx="21">
                  <c:v>12466</c:v>
                </c:pt>
                <c:pt idx="22">
                  <c:v>13661</c:v>
                </c:pt>
                <c:pt idx="23">
                  <c:v>12689</c:v>
                </c:pt>
                <c:pt idx="24">
                  <c:v>13507</c:v>
                </c:pt>
                <c:pt idx="25">
                  <c:v>12991</c:v>
                </c:pt>
                <c:pt idx="26">
                  <c:v>13678</c:v>
                </c:pt>
                <c:pt idx="27">
                  <c:v>15731</c:v>
                </c:pt>
                <c:pt idx="28">
                  <c:v>14809</c:v>
                </c:pt>
                <c:pt idx="29">
                  <c:v>15296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82-42D0-A0EE-6829C8902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836863"/>
        <c:axId val="488100959"/>
      </c:lineChart>
      <c:catAx>
        <c:axId val="50383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100959"/>
        <c:crosses val="autoZero"/>
        <c:auto val="1"/>
        <c:lblAlgn val="ctr"/>
        <c:lblOffset val="100"/>
        <c:noMultiLvlLbl val="0"/>
      </c:catAx>
      <c:valAx>
        <c:axId val="48810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383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XAUUSD</a:t>
            </a:r>
            <a:r>
              <a:rPr lang="zh-CN" altLang="en-US"/>
              <a:t>系列最大衰落金额随</a:t>
            </a:r>
            <a:r>
              <a:rPr lang="en-US" altLang="zh-CN"/>
              <a:t>R</a:t>
            </a:r>
            <a:r>
              <a:rPr lang="zh-CN" altLang="en-US"/>
              <a:t>变化曲线图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XAUUSD30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78573</c:v>
                </c:pt>
                <c:pt idx="1">
                  <c:v>64217</c:v>
                </c:pt>
                <c:pt idx="2">
                  <c:v>56108</c:v>
                </c:pt>
                <c:pt idx="3">
                  <c:v>51383</c:v>
                </c:pt>
                <c:pt idx="4">
                  <c:v>48136</c:v>
                </c:pt>
                <c:pt idx="5">
                  <c:v>33643</c:v>
                </c:pt>
                <c:pt idx="6">
                  <c:v>41270</c:v>
                </c:pt>
                <c:pt idx="7">
                  <c:v>34581</c:v>
                </c:pt>
                <c:pt idx="8">
                  <c:v>30543</c:v>
                </c:pt>
                <c:pt idx="9">
                  <c:v>33262</c:v>
                </c:pt>
                <c:pt idx="10">
                  <c:v>33163</c:v>
                </c:pt>
                <c:pt idx="11">
                  <c:v>25312</c:v>
                </c:pt>
                <c:pt idx="12">
                  <c:v>30244</c:v>
                </c:pt>
                <c:pt idx="13">
                  <c:v>26255</c:v>
                </c:pt>
                <c:pt idx="14">
                  <c:v>30187</c:v>
                </c:pt>
                <c:pt idx="15">
                  <c:v>38433</c:v>
                </c:pt>
                <c:pt idx="16">
                  <c:v>36437</c:v>
                </c:pt>
                <c:pt idx="17">
                  <c:v>38204</c:v>
                </c:pt>
                <c:pt idx="18">
                  <c:v>36345</c:v>
                </c:pt>
                <c:pt idx="19">
                  <c:v>35160</c:v>
                </c:pt>
                <c:pt idx="20">
                  <c:v>41897</c:v>
                </c:pt>
                <c:pt idx="21">
                  <c:v>54427</c:v>
                </c:pt>
                <c:pt idx="22">
                  <c:v>50296</c:v>
                </c:pt>
                <c:pt idx="23">
                  <c:v>51814</c:v>
                </c:pt>
                <c:pt idx="24">
                  <c:v>55130</c:v>
                </c:pt>
                <c:pt idx="25">
                  <c:v>52490</c:v>
                </c:pt>
                <c:pt idx="26">
                  <c:v>55286</c:v>
                </c:pt>
                <c:pt idx="27">
                  <c:v>51398</c:v>
                </c:pt>
                <c:pt idx="28">
                  <c:v>49057</c:v>
                </c:pt>
                <c:pt idx="29">
                  <c:v>53987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5E-488D-8AD8-C919EE52BA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77775</c:v>
                </c:pt>
                <c:pt idx="1">
                  <c:v>72681</c:v>
                </c:pt>
                <c:pt idx="2">
                  <c:v>61610</c:v>
                </c:pt>
                <c:pt idx="3">
                  <c:v>61585</c:v>
                </c:pt>
                <c:pt idx="4">
                  <c:v>50617</c:v>
                </c:pt>
                <c:pt idx="5">
                  <c:v>45300</c:v>
                </c:pt>
                <c:pt idx="6">
                  <c:v>35571</c:v>
                </c:pt>
                <c:pt idx="7">
                  <c:v>39022</c:v>
                </c:pt>
                <c:pt idx="8">
                  <c:v>31898</c:v>
                </c:pt>
                <c:pt idx="9">
                  <c:v>38286</c:v>
                </c:pt>
                <c:pt idx="10">
                  <c:v>30887</c:v>
                </c:pt>
                <c:pt idx="11">
                  <c:v>30487</c:v>
                </c:pt>
                <c:pt idx="12">
                  <c:v>26578</c:v>
                </c:pt>
                <c:pt idx="13">
                  <c:v>23687</c:v>
                </c:pt>
                <c:pt idx="14">
                  <c:v>29436</c:v>
                </c:pt>
                <c:pt idx="15">
                  <c:v>33778</c:v>
                </c:pt>
                <c:pt idx="16">
                  <c:v>33199</c:v>
                </c:pt>
                <c:pt idx="17">
                  <c:v>38049</c:v>
                </c:pt>
                <c:pt idx="18">
                  <c:v>54621</c:v>
                </c:pt>
                <c:pt idx="19">
                  <c:v>56027</c:v>
                </c:pt>
                <c:pt idx="20">
                  <c:v>51823</c:v>
                </c:pt>
                <c:pt idx="21">
                  <c:v>50921</c:v>
                </c:pt>
                <c:pt idx="22">
                  <c:v>44292</c:v>
                </c:pt>
                <c:pt idx="23">
                  <c:v>52658</c:v>
                </c:pt>
                <c:pt idx="24">
                  <c:v>62284</c:v>
                </c:pt>
                <c:pt idx="25">
                  <c:v>58913</c:v>
                </c:pt>
                <c:pt idx="26">
                  <c:v>59380</c:v>
                </c:pt>
                <c:pt idx="27">
                  <c:v>57869</c:v>
                </c:pt>
                <c:pt idx="28">
                  <c:v>56332</c:v>
                </c:pt>
                <c:pt idx="29">
                  <c:v>54802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5E-488D-8AD8-C919EE52BAD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XAUUSD240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15990.1</c:v>
                </c:pt>
                <c:pt idx="1">
                  <c:v>18204.22</c:v>
                </c:pt>
                <c:pt idx="2">
                  <c:v>22635.38</c:v>
                </c:pt>
                <c:pt idx="3">
                  <c:v>21216.65</c:v>
                </c:pt>
                <c:pt idx="4">
                  <c:v>21216.65</c:v>
                </c:pt>
                <c:pt idx="5">
                  <c:v>21216.65</c:v>
                </c:pt>
                <c:pt idx="6">
                  <c:v>33475.01</c:v>
                </c:pt>
                <c:pt idx="7">
                  <c:v>35000.25</c:v>
                </c:pt>
                <c:pt idx="8">
                  <c:v>32098.21</c:v>
                </c:pt>
                <c:pt idx="9">
                  <c:v>48363.75</c:v>
                </c:pt>
                <c:pt idx="10">
                  <c:v>51233.27</c:v>
                </c:pt>
                <c:pt idx="11">
                  <c:v>42517.03</c:v>
                </c:pt>
                <c:pt idx="12">
                  <c:v>56176.79</c:v>
                </c:pt>
                <c:pt idx="13">
                  <c:v>49189.06</c:v>
                </c:pt>
                <c:pt idx="14">
                  <c:v>46546.41</c:v>
                </c:pt>
                <c:pt idx="15">
                  <c:v>41082.06</c:v>
                </c:pt>
                <c:pt idx="16">
                  <c:v>46821.29</c:v>
                </c:pt>
                <c:pt idx="17">
                  <c:v>54845.04</c:v>
                </c:pt>
                <c:pt idx="18">
                  <c:v>63523.12</c:v>
                </c:pt>
                <c:pt idx="19">
                  <c:v>63502.69</c:v>
                </c:pt>
                <c:pt idx="20">
                  <c:v>64430.07</c:v>
                </c:pt>
                <c:pt idx="21">
                  <c:v>65673.149999999994</c:v>
                </c:pt>
                <c:pt idx="22">
                  <c:v>65728.61</c:v>
                </c:pt>
                <c:pt idx="23">
                  <c:v>84699.08</c:v>
                </c:pt>
                <c:pt idx="24">
                  <c:v>85633.93</c:v>
                </c:pt>
                <c:pt idx="25">
                  <c:v>84068.43</c:v>
                </c:pt>
                <c:pt idx="26">
                  <c:v>77853.009999999995</c:v>
                </c:pt>
                <c:pt idx="27">
                  <c:v>71335.34</c:v>
                </c:pt>
                <c:pt idx="28">
                  <c:v>64800.02</c:v>
                </c:pt>
                <c:pt idx="29">
                  <c:v>63435.93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5E-488D-8AD8-C919EE52B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717631"/>
        <c:axId val="452552847"/>
      </c:lineChart>
      <c:catAx>
        <c:axId val="49371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552847"/>
        <c:crosses val="autoZero"/>
        <c:auto val="1"/>
        <c:lblAlgn val="ctr"/>
        <c:lblOffset val="100"/>
        <c:noMultiLvlLbl val="0"/>
      </c:catAx>
      <c:valAx>
        <c:axId val="45255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71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XAUUSD</a:t>
            </a:r>
            <a:r>
              <a:rPr lang="zh-CN" altLang="en-US"/>
              <a:t>系列</a:t>
            </a:r>
            <a:r>
              <a:rPr lang="en-US" altLang="zh-CN"/>
              <a:t>MAR</a:t>
            </a:r>
            <a:r>
              <a:rPr lang="zh-CN" altLang="en-US"/>
              <a:t>随</a:t>
            </a:r>
            <a:r>
              <a:rPr lang="en-US" altLang="zh-CN"/>
              <a:t>R</a:t>
            </a:r>
            <a:r>
              <a:rPr lang="zh-CN" altLang="en-US"/>
              <a:t>变化曲线图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XAUUSD30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-0.17799999999999999</c:v>
                </c:pt>
                <c:pt idx="1">
                  <c:v>-0.17599999999999999</c:v>
                </c:pt>
                <c:pt idx="2">
                  <c:v>-0.16700000000000001</c:v>
                </c:pt>
                <c:pt idx="3">
                  <c:v>-0.16900000000000001</c:v>
                </c:pt>
                <c:pt idx="4">
                  <c:v>-0.16400000000000001</c:v>
                </c:pt>
                <c:pt idx="5">
                  <c:v>-0.13100000000000001</c:v>
                </c:pt>
                <c:pt idx="6">
                  <c:v>-0.154</c:v>
                </c:pt>
                <c:pt idx="7">
                  <c:v>-0.107</c:v>
                </c:pt>
                <c:pt idx="8">
                  <c:v>-5.0999999999999997E-2</c:v>
                </c:pt>
                <c:pt idx="9">
                  <c:v>-0.129</c:v>
                </c:pt>
                <c:pt idx="10">
                  <c:v>-9.4E-2</c:v>
                </c:pt>
                <c:pt idx="11">
                  <c:v>-0.124</c:v>
                </c:pt>
                <c:pt idx="12">
                  <c:v>-0.10100000000000001</c:v>
                </c:pt>
                <c:pt idx="13">
                  <c:v>6.8000000000000005E-2</c:v>
                </c:pt>
                <c:pt idx="14">
                  <c:v>4.5999999999999999E-2</c:v>
                </c:pt>
                <c:pt idx="15">
                  <c:v>-2.4E-2</c:v>
                </c:pt>
                <c:pt idx="16">
                  <c:v>-3.5000000000000003E-2</c:v>
                </c:pt>
                <c:pt idx="17">
                  <c:v>-4.3999999999999997E-2</c:v>
                </c:pt>
                <c:pt idx="18">
                  <c:v>-1.4999999999999999E-2</c:v>
                </c:pt>
                <c:pt idx="19">
                  <c:v>7.0000000000000001E-3</c:v>
                </c:pt>
                <c:pt idx="20">
                  <c:v>8.0000000000000002E-3</c:v>
                </c:pt>
                <c:pt idx="21">
                  <c:v>-4.7E-2</c:v>
                </c:pt>
                <c:pt idx="22">
                  <c:v>-7.0000000000000001E-3</c:v>
                </c:pt>
                <c:pt idx="23">
                  <c:v>-3.1E-2</c:v>
                </c:pt>
                <c:pt idx="24">
                  <c:v>-4.0000000000000001E-3</c:v>
                </c:pt>
                <c:pt idx="25">
                  <c:v>3.1E-2</c:v>
                </c:pt>
                <c:pt idx="26">
                  <c:v>6.6000000000000003E-2</c:v>
                </c:pt>
                <c:pt idx="27">
                  <c:v>6.0999999999999999E-2</c:v>
                </c:pt>
                <c:pt idx="28">
                  <c:v>0.126</c:v>
                </c:pt>
                <c:pt idx="29">
                  <c:v>0.115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E3-43B8-AE38-4DD63836B6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-7.1999999999999995E-2</c:v>
                </c:pt>
                <c:pt idx="1">
                  <c:v>-7.0999999999999994E-2</c:v>
                </c:pt>
                <c:pt idx="2">
                  <c:v>-5.5E-2</c:v>
                </c:pt>
                <c:pt idx="3">
                  <c:v>-2.4E-2</c:v>
                </c:pt>
                <c:pt idx="4">
                  <c:v>-1.4999999999999999E-2</c:v>
                </c:pt>
                <c:pt idx="5">
                  <c:v>-4.0000000000000001E-3</c:v>
                </c:pt>
                <c:pt idx="6">
                  <c:v>0.124</c:v>
                </c:pt>
                <c:pt idx="7">
                  <c:v>0.13100000000000001</c:v>
                </c:pt>
                <c:pt idx="8">
                  <c:v>0.255</c:v>
                </c:pt>
                <c:pt idx="9">
                  <c:v>0.23899999999999999</c:v>
                </c:pt>
                <c:pt idx="10">
                  <c:v>0.33600000000000002</c:v>
                </c:pt>
                <c:pt idx="11">
                  <c:v>0.39200000000000002</c:v>
                </c:pt>
                <c:pt idx="12">
                  <c:v>0.54400000000000004</c:v>
                </c:pt>
                <c:pt idx="13">
                  <c:v>0.73199999999999998</c:v>
                </c:pt>
                <c:pt idx="14">
                  <c:v>0.67</c:v>
                </c:pt>
                <c:pt idx="15">
                  <c:v>0.626</c:v>
                </c:pt>
                <c:pt idx="16">
                  <c:v>0.68300000000000005</c:v>
                </c:pt>
                <c:pt idx="17">
                  <c:v>0.58699999999999997</c:v>
                </c:pt>
                <c:pt idx="18">
                  <c:v>0.442</c:v>
                </c:pt>
                <c:pt idx="19">
                  <c:v>0.40600000000000003</c:v>
                </c:pt>
                <c:pt idx="20">
                  <c:v>0.45300000000000001</c:v>
                </c:pt>
                <c:pt idx="21">
                  <c:v>0.45900000000000002</c:v>
                </c:pt>
                <c:pt idx="22">
                  <c:v>0.58399999999999996</c:v>
                </c:pt>
                <c:pt idx="23">
                  <c:v>0.48799999999999999</c:v>
                </c:pt>
                <c:pt idx="24">
                  <c:v>0.39</c:v>
                </c:pt>
                <c:pt idx="25">
                  <c:v>0.39</c:v>
                </c:pt>
                <c:pt idx="26">
                  <c:v>0.40699999999999997</c:v>
                </c:pt>
                <c:pt idx="27">
                  <c:v>0.4</c:v>
                </c:pt>
                <c:pt idx="28">
                  <c:v>0.434</c:v>
                </c:pt>
                <c:pt idx="29">
                  <c:v>0.47299999999999998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E3-43B8-AE38-4DD63836B6F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XAUUSD240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-3.5000000000000003E-2</c:v>
                </c:pt>
                <c:pt idx="1">
                  <c:v>5.5E-2</c:v>
                </c:pt>
                <c:pt idx="2">
                  <c:v>0.14499999999999999</c:v>
                </c:pt>
                <c:pt idx="3">
                  <c:v>0.221</c:v>
                </c:pt>
                <c:pt idx="4">
                  <c:v>0.27200000000000002</c:v>
                </c:pt>
                <c:pt idx="5">
                  <c:v>0.33600000000000002</c:v>
                </c:pt>
                <c:pt idx="6">
                  <c:v>0.152</c:v>
                </c:pt>
                <c:pt idx="7">
                  <c:v>0.184</c:v>
                </c:pt>
                <c:pt idx="8">
                  <c:v>0.20499999999999999</c:v>
                </c:pt>
                <c:pt idx="9">
                  <c:v>9.4E-2</c:v>
                </c:pt>
                <c:pt idx="10">
                  <c:v>0.12</c:v>
                </c:pt>
                <c:pt idx="11">
                  <c:v>0.14199999999999999</c:v>
                </c:pt>
                <c:pt idx="12">
                  <c:v>0.126</c:v>
                </c:pt>
                <c:pt idx="13">
                  <c:v>0.191</c:v>
                </c:pt>
                <c:pt idx="14">
                  <c:v>0.26100000000000001</c:v>
                </c:pt>
                <c:pt idx="15">
                  <c:v>0.29599999999999999</c:v>
                </c:pt>
                <c:pt idx="16">
                  <c:v>0.20399999999999999</c:v>
                </c:pt>
                <c:pt idx="17">
                  <c:v>0.186</c:v>
                </c:pt>
                <c:pt idx="18">
                  <c:v>0.154</c:v>
                </c:pt>
                <c:pt idx="19">
                  <c:v>0.16800000000000001</c:v>
                </c:pt>
                <c:pt idx="20">
                  <c:v>0.17599999999999999</c:v>
                </c:pt>
                <c:pt idx="21">
                  <c:v>0.19</c:v>
                </c:pt>
                <c:pt idx="22">
                  <c:v>0.20799999999999999</c:v>
                </c:pt>
                <c:pt idx="23">
                  <c:v>0.15</c:v>
                </c:pt>
                <c:pt idx="24">
                  <c:v>0.158</c:v>
                </c:pt>
                <c:pt idx="25">
                  <c:v>0.155</c:v>
                </c:pt>
                <c:pt idx="26">
                  <c:v>0.17599999999999999</c:v>
                </c:pt>
                <c:pt idx="27">
                  <c:v>0.221</c:v>
                </c:pt>
                <c:pt idx="28">
                  <c:v>0.22900000000000001</c:v>
                </c:pt>
                <c:pt idx="29">
                  <c:v>0.24099999999999999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E3-43B8-AE38-4DD63836B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4129263"/>
        <c:axId val="1673159935"/>
      </c:lineChart>
      <c:catAx>
        <c:axId val="1674129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159935"/>
        <c:crosses val="autoZero"/>
        <c:auto val="1"/>
        <c:lblAlgn val="ctr"/>
        <c:lblOffset val="100"/>
        <c:noMultiLvlLbl val="0"/>
      </c:catAx>
      <c:valAx>
        <c:axId val="167315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412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XAUUSD</a:t>
            </a:r>
            <a:r>
              <a:rPr lang="zh-CN" altLang="en-US"/>
              <a:t>系列每笔期望随</a:t>
            </a:r>
            <a:r>
              <a:rPr lang="en-US" altLang="zh-CN"/>
              <a:t>R</a:t>
            </a:r>
            <a:r>
              <a:rPr lang="zh-CN" altLang="en-US"/>
              <a:t>变化曲线图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XAUUSD30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-35.299999999999997</c:v>
                </c:pt>
                <c:pt idx="1">
                  <c:v>-28.6</c:v>
                </c:pt>
                <c:pt idx="2">
                  <c:v>-23.7</c:v>
                </c:pt>
                <c:pt idx="3">
                  <c:v>-21.9</c:v>
                </c:pt>
                <c:pt idx="4">
                  <c:v>-20</c:v>
                </c:pt>
                <c:pt idx="5">
                  <c:v>-11.1</c:v>
                </c:pt>
                <c:pt idx="6">
                  <c:v>-16.100000000000001</c:v>
                </c:pt>
                <c:pt idx="7">
                  <c:v>-9.3000000000000007</c:v>
                </c:pt>
                <c:pt idx="8">
                  <c:v>-4</c:v>
                </c:pt>
                <c:pt idx="9">
                  <c:v>-10.9</c:v>
                </c:pt>
                <c:pt idx="10">
                  <c:v>-7.9</c:v>
                </c:pt>
                <c:pt idx="11">
                  <c:v>-7.9</c:v>
                </c:pt>
                <c:pt idx="12">
                  <c:v>-7.7</c:v>
                </c:pt>
                <c:pt idx="13">
                  <c:v>4.5</c:v>
                </c:pt>
                <c:pt idx="14">
                  <c:v>3.5</c:v>
                </c:pt>
                <c:pt idx="15">
                  <c:v>-2.4</c:v>
                </c:pt>
                <c:pt idx="16">
                  <c:v>-3.2</c:v>
                </c:pt>
                <c:pt idx="17">
                  <c:v>-4.3</c:v>
                </c:pt>
                <c:pt idx="18">
                  <c:v>-1.3</c:v>
                </c:pt>
                <c:pt idx="19">
                  <c:v>0.7</c:v>
                </c:pt>
                <c:pt idx="20">
                  <c:v>0.8</c:v>
                </c:pt>
                <c:pt idx="21">
                  <c:v>-6.4</c:v>
                </c:pt>
                <c:pt idx="22">
                  <c:v>-0.9</c:v>
                </c:pt>
                <c:pt idx="23">
                  <c:v>-4.0999999999999996</c:v>
                </c:pt>
                <c:pt idx="24">
                  <c:v>-0.5</c:v>
                </c:pt>
                <c:pt idx="25">
                  <c:v>4.0999999999999996</c:v>
                </c:pt>
                <c:pt idx="26">
                  <c:v>9.1999999999999993</c:v>
                </c:pt>
                <c:pt idx="27">
                  <c:v>7.9</c:v>
                </c:pt>
                <c:pt idx="28">
                  <c:v>15.7</c:v>
                </c:pt>
                <c:pt idx="29">
                  <c:v>15.7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EA-47B9-9EE5-E804840916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-29.3</c:v>
                </c:pt>
                <c:pt idx="1">
                  <c:v>-27.1</c:v>
                </c:pt>
                <c:pt idx="2">
                  <c:v>-17.7</c:v>
                </c:pt>
                <c:pt idx="3">
                  <c:v>-7.7</c:v>
                </c:pt>
                <c:pt idx="4">
                  <c:v>-4.0999999999999996</c:v>
                </c:pt>
                <c:pt idx="5">
                  <c:v>-1</c:v>
                </c:pt>
                <c:pt idx="6">
                  <c:v>23.2</c:v>
                </c:pt>
                <c:pt idx="7">
                  <c:v>26.8</c:v>
                </c:pt>
                <c:pt idx="8">
                  <c:v>42.7</c:v>
                </c:pt>
                <c:pt idx="9">
                  <c:v>48.2</c:v>
                </c:pt>
                <c:pt idx="10">
                  <c:v>54.6</c:v>
                </c:pt>
                <c:pt idx="11">
                  <c:v>62.8</c:v>
                </c:pt>
                <c:pt idx="12">
                  <c:v>76</c:v>
                </c:pt>
                <c:pt idx="13">
                  <c:v>91.2</c:v>
                </c:pt>
                <c:pt idx="14">
                  <c:v>103.8</c:v>
                </c:pt>
                <c:pt idx="15">
                  <c:v>111.2</c:v>
                </c:pt>
                <c:pt idx="16">
                  <c:v>119.3</c:v>
                </c:pt>
                <c:pt idx="17">
                  <c:v>117.5</c:v>
                </c:pt>
                <c:pt idx="18">
                  <c:v>126.8</c:v>
                </c:pt>
                <c:pt idx="19">
                  <c:v>119.7</c:v>
                </c:pt>
                <c:pt idx="20">
                  <c:v>123.4</c:v>
                </c:pt>
                <c:pt idx="21">
                  <c:v>122.8</c:v>
                </c:pt>
                <c:pt idx="22">
                  <c:v>136</c:v>
                </c:pt>
                <c:pt idx="23">
                  <c:v>135.1</c:v>
                </c:pt>
                <c:pt idx="24">
                  <c:v>127.9</c:v>
                </c:pt>
                <c:pt idx="25">
                  <c:v>120.8</c:v>
                </c:pt>
                <c:pt idx="26">
                  <c:v>127.1</c:v>
                </c:pt>
                <c:pt idx="27">
                  <c:v>121.8</c:v>
                </c:pt>
                <c:pt idx="28">
                  <c:v>128.6</c:v>
                </c:pt>
                <c:pt idx="29">
                  <c:v>136.30000000000001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EA-47B9-9EE5-E804840916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XAUUSD240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-11.6</c:v>
                </c:pt>
                <c:pt idx="1">
                  <c:v>21</c:v>
                </c:pt>
                <c:pt idx="2">
                  <c:v>68.7</c:v>
                </c:pt>
                <c:pt idx="3">
                  <c:v>97.9</c:v>
                </c:pt>
                <c:pt idx="4">
                  <c:v>120.5</c:v>
                </c:pt>
                <c:pt idx="5">
                  <c:v>149</c:v>
                </c:pt>
                <c:pt idx="6">
                  <c:v>106.1</c:v>
                </c:pt>
                <c:pt idx="7">
                  <c:v>134.6</c:v>
                </c:pt>
                <c:pt idx="8">
                  <c:v>137.30000000000001</c:v>
                </c:pt>
                <c:pt idx="9">
                  <c:v>94.9</c:v>
                </c:pt>
                <c:pt idx="10">
                  <c:v>128.1</c:v>
                </c:pt>
                <c:pt idx="11">
                  <c:v>126.3</c:v>
                </c:pt>
                <c:pt idx="12">
                  <c:v>148.4</c:v>
                </c:pt>
                <c:pt idx="13">
                  <c:v>196.5</c:v>
                </c:pt>
                <c:pt idx="14">
                  <c:v>254.2</c:v>
                </c:pt>
                <c:pt idx="15">
                  <c:v>254.1</c:v>
                </c:pt>
                <c:pt idx="16">
                  <c:v>199.7</c:v>
                </c:pt>
                <c:pt idx="17">
                  <c:v>213.3</c:v>
                </c:pt>
                <c:pt idx="18">
                  <c:v>204.5</c:v>
                </c:pt>
                <c:pt idx="19">
                  <c:v>222.8</c:v>
                </c:pt>
                <c:pt idx="20">
                  <c:v>236.6</c:v>
                </c:pt>
                <c:pt idx="21">
                  <c:v>260.5</c:v>
                </c:pt>
                <c:pt idx="22">
                  <c:v>285.5</c:v>
                </c:pt>
                <c:pt idx="23">
                  <c:v>265.2</c:v>
                </c:pt>
                <c:pt idx="24">
                  <c:v>282.3</c:v>
                </c:pt>
                <c:pt idx="25">
                  <c:v>271.5</c:v>
                </c:pt>
                <c:pt idx="26">
                  <c:v>285.8</c:v>
                </c:pt>
                <c:pt idx="27">
                  <c:v>328.8</c:v>
                </c:pt>
                <c:pt idx="28">
                  <c:v>309.5</c:v>
                </c:pt>
                <c:pt idx="29">
                  <c:v>319.7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EA-47B9-9EE5-E80484091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613743"/>
        <c:axId val="240163567"/>
      </c:lineChart>
      <c:catAx>
        <c:axId val="307613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0163567"/>
        <c:crosses val="autoZero"/>
        <c:auto val="1"/>
        <c:lblAlgn val="ctr"/>
        <c:lblOffset val="100"/>
        <c:noMultiLvlLbl val="0"/>
      </c:catAx>
      <c:valAx>
        <c:axId val="24016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7613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XAUUSD</a:t>
            </a:r>
            <a:r>
              <a:rPr lang="zh-CN" altLang="en-US"/>
              <a:t>系列最大衰落期随</a:t>
            </a:r>
            <a:r>
              <a:rPr lang="en-US" altLang="zh-CN"/>
              <a:t>R</a:t>
            </a:r>
            <a:r>
              <a:rPr lang="zh-CN" altLang="en-US"/>
              <a:t>变化曲线图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4018</c:v>
                </c:pt>
                <c:pt idx="1">
                  <c:v>4066</c:v>
                </c:pt>
                <c:pt idx="2">
                  <c:v>4102</c:v>
                </c:pt>
                <c:pt idx="3">
                  <c:v>3481</c:v>
                </c:pt>
                <c:pt idx="4">
                  <c:v>3530</c:v>
                </c:pt>
                <c:pt idx="5">
                  <c:v>2187</c:v>
                </c:pt>
                <c:pt idx="6">
                  <c:v>958</c:v>
                </c:pt>
                <c:pt idx="7">
                  <c:v>794</c:v>
                </c:pt>
                <c:pt idx="8">
                  <c:v>706</c:v>
                </c:pt>
                <c:pt idx="9">
                  <c:v>730</c:v>
                </c:pt>
                <c:pt idx="10">
                  <c:v>622</c:v>
                </c:pt>
                <c:pt idx="11">
                  <c:v>523</c:v>
                </c:pt>
                <c:pt idx="12">
                  <c:v>432</c:v>
                </c:pt>
                <c:pt idx="13">
                  <c:v>396</c:v>
                </c:pt>
                <c:pt idx="14">
                  <c:v>439</c:v>
                </c:pt>
                <c:pt idx="15">
                  <c:v>445</c:v>
                </c:pt>
                <c:pt idx="16">
                  <c:v>410</c:v>
                </c:pt>
                <c:pt idx="17">
                  <c:v>394</c:v>
                </c:pt>
                <c:pt idx="18">
                  <c:v>1316</c:v>
                </c:pt>
                <c:pt idx="19">
                  <c:v>1385</c:v>
                </c:pt>
                <c:pt idx="20">
                  <c:v>1381</c:v>
                </c:pt>
                <c:pt idx="21">
                  <c:v>1333</c:v>
                </c:pt>
                <c:pt idx="22">
                  <c:v>1303</c:v>
                </c:pt>
                <c:pt idx="23">
                  <c:v>1371</c:v>
                </c:pt>
                <c:pt idx="24">
                  <c:v>1724</c:v>
                </c:pt>
                <c:pt idx="25">
                  <c:v>1704</c:v>
                </c:pt>
                <c:pt idx="26">
                  <c:v>809</c:v>
                </c:pt>
                <c:pt idx="27">
                  <c:v>1238</c:v>
                </c:pt>
                <c:pt idx="28">
                  <c:v>1565</c:v>
                </c:pt>
                <c:pt idx="29">
                  <c:v>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C6-4978-A159-D49BF94B311A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XAUUSD240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2498</c:v>
                </c:pt>
                <c:pt idx="1">
                  <c:v>1919</c:v>
                </c:pt>
                <c:pt idx="2">
                  <c:v>1928</c:v>
                </c:pt>
                <c:pt idx="3">
                  <c:v>799</c:v>
                </c:pt>
                <c:pt idx="4">
                  <c:v>696</c:v>
                </c:pt>
                <c:pt idx="5">
                  <c:v>714</c:v>
                </c:pt>
                <c:pt idx="6">
                  <c:v>2287</c:v>
                </c:pt>
                <c:pt idx="7">
                  <c:v>1916</c:v>
                </c:pt>
                <c:pt idx="8">
                  <c:v>2432</c:v>
                </c:pt>
                <c:pt idx="9">
                  <c:v>2427</c:v>
                </c:pt>
                <c:pt idx="10">
                  <c:v>2419</c:v>
                </c:pt>
                <c:pt idx="11">
                  <c:v>2014</c:v>
                </c:pt>
                <c:pt idx="12">
                  <c:v>2416</c:v>
                </c:pt>
                <c:pt idx="13">
                  <c:v>1737</c:v>
                </c:pt>
                <c:pt idx="14">
                  <c:v>1424</c:v>
                </c:pt>
                <c:pt idx="15">
                  <c:v>1296</c:v>
                </c:pt>
                <c:pt idx="16">
                  <c:v>1597</c:v>
                </c:pt>
                <c:pt idx="17">
                  <c:v>1422</c:v>
                </c:pt>
                <c:pt idx="18">
                  <c:v>1593</c:v>
                </c:pt>
                <c:pt idx="19">
                  <c:v>2615</c:v>
                </c:pt>
                <c:pt idx="20">
                  <c:v>1270</c:v>
                </c:pt>
                <c:pt idx="21">
                  <c:v>1057</c:v>
                </c:pt>
                <c:pt idx="22">
                  <c:v>1301</c:v>
                </c:pt>
                <c:pt idx="23">
                  <c:v>2091</c:v>
                </c:pt>
                <c:pt idx="24">
                  <c:v>1253</c:v>
                </c:pt>
                <c:pt idx="25">
                  <c:v>2092</c:v>
                </c:pt>
                <c:pt idx="26">
                  <c:v>2676</c:v>
                </c:pt>
                <c:pt idx="27">
                  <c:v>2070</c:v>
                </c:pt>
                <c:pt idx="28">
                  <c:v>1850</c:v>
                </c:pt>
                <c:pt idx="29">
                  <c:v>1573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C6-4978-A159-D49BF94B3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915759"/>
        <c:axId val="457441455"/>
      </c:lineChart>
      <c:catAx>
        <c:axId val="449915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441455"/>
        <c:crosses val="autoZero"/>
        <c:auto val="1"/>
        <c:lblAlgn val="ctr"/>
        <c:lblOffset val="100"/>
        <c:noMultiLvlLbl val="0"/>
      </c:catAx>
      <c:valAx>
        <c:axId val="45744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991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XAUUSD</a:t>
            </a:r>
            <a:r>
              <a:rPr lang="zh-CN"/>
              <a:t>系列胜率随</a:t>
            </a:r>
            <a:r>
              <a:rPr lang="en-US"/>
              <a:t>R</a:t>
            </a:r>
            <a:r>
              <a:rPr lang="zh-CN"/>
              <a:t>变化直方图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XAUUSD30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0.75079006800000003</c:v>
                </c:pt>
                <c:pt idx="1">
                  <c:v>0.82799097099999996</c:v>
                </c:pt>
                <c:pt idx="2">
                  <c:v>0.77336343100000005</c:v>
                </c:pt>
                <c:pt idx="3">
                  <c:v>0.71647855500000002</c:v>
                </c:pt>
                <c:pt idx="4">
                  <c:v>0.67178329599999997</c:v>
                </c:pt>
                <c:pt idx="5">
                  <c:v>0.63656884899999999</c:v>
                </c:pt>
                <c:pt idx="6">
                  <c:v>0.6</c:v>
                </c:pt>
                <c:pt idx="7">
                  <c:v>0.56930022599999996</c:v>
                </c:pt>
                <c:pt idx="8">
                  <c:v>0.54176072200000003</c:v>
                </c:pt>
                <c:pt idx="9">
                  <c:v>0.51196388299999995</c:v>
                </c:pt>
                <c:pt idx="10">
                  <c:v>0.490744921</c:v>
                </c:pt>
                <c:pt idx="11">
                  <c:v>0.47268622999999999</c:v>
                </c:pt>
                <c:pt idx="12">
                  <c:v>0.45191873599999999</c:v>
                </c:pt>
                <c:pt idx="13">
                  <c:v>0.44108352099999998</c:v>
                </c:pt>
                <c:pt idx="14">
                  <c:v>0.42437923300000002</c:v>
                </c:pt>
                <c:pt idx="15">
                  <c:v>0.40406320499999998</c:v>
                </c:pt>
                <c:pt idx="16">
                  <c:v>0.38826185099999999</c:v>
                </c:pt>
                <c:pt idx="17">
                  <c:v>0.372460497</c:v>
                </c:pt>
                <c:pt idx="18">
                  <c:v>0.36117381500000001</c:v>
                </c:pt>
                <c:pt idx="19">
                  <c:v>0.35169300199999998</c:v>
                </c:pt>
                <c:pt idx="20">
                  <c:v>0.34040632100000001</c:v>
                </c:pt>
                <c:pt idx="21">
                  <c:v>0.32821670400000003</c:v>
                </c:pt>
                <c:pt idx="22">
                  <c:v>0.32009029300000003</c:v>
                </c:pt>
                <c:pt idx="23">
                  <c:v>0.311060948</c:v>
                </c:pt>
                <c:pt idx="24">
                  <c:v>0.30338600500000001</c:v>
                </c:pt>
                <c:pt idx="25">
                  <c:v>0.29706546299999997</c:v>
                </c:pt>
                <c:pt idx="26">
                  <c:v>0.29119638799999997</c:v>
                </c:pt>
                <c:pt idx="27">
                  <c:v>0.28216704300000001</c:v>
                </c:pt>
                <c:pt idx="28">
                  <c:v>0.27674943600000002</c:v>
                </c:pt>
                <c:pt idx="29">
                  <c:v>0.26997742699999999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36-474C-A90E-A85D023D8177}"/>
            </c:ext>
          </c:extLst>
        </c:ser>
        <c:ser>
          <c:idx val="1"/>
          <c:order val="1"/>
          <c:tx>
            <c:v>XAUUSD60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0.82199999999999995</c:v>
                </c:pt>
                <c:pt idx="1">
                  <c:v>0.81699999999999995</c:v>
                </c:pt>
                <c:pt idx="2">
                  <c:v>0.76900000000000002</c:v>
                </c:pt>
                <c:pt idx="3">
                  <c:v>0.72399999999999998</c:v>
                </c:pt>
                <c:pt idx="4">
                  <c:v>0.67800000000000005</c:v>
                </c:pt>
                <c:pt idx="5">
                  <c:v>0.63900000000000001</c:v>
                </c:pt>
                <c:pt idx="6">
                  <c:v>0.61599999999999999</c:v>
                </c:pt>
                <c:pt idx="7">
                  <c:v>0.58299999999999996</c:v>
                </c:pt>
                <c:pt idx="8">
                  <c:v>0.55800000000000005</c:v>
                </c:pt>
                <c:pt idx="9">
                  <c:v>0.53100000000000003</c:v>
                </c:pt>
                <c:pt idx="10">
                  <c:v>0.50600000000000001</c:v>
                </c:pt>
                <c:pt idx="11">
                  <c:v>0.48499999999999999</c:v>
                </c:pt>
                <c:pt idx="12">
                  <c:v>0.47</c:v>
                </c:pt>
                <c:pt idx="13">
                  <c:v>0.45600000000000002</c:v>
                </c:pt>
                <c:pt idx="14">
                  <c:v>0.443</c:v>
                </c:pt>
                <c:pt idx="15">
                  <c:v>0.42799999999999999</c:v>
                </c:pt>
                <c:pt idx="16">
                  <c:v>0.41699999999999998</c:v>
                </c:pt>
                <c:pt idx="17">
                  <c:v>0.40400000000000003</c:v>
                </c:pt>
                <c:pt idx="18">
                  <c:v>0.39500000000000002</c:v>
                </c:pt>
                <c:pt idx="19">
                  <c:v>0.38200000000000001</c:v>
                </c:pt>
                <c:pt idx="20">
                  <c:v>0.37</c:v>
                </c:pt>
                <c:pt idx="21">
                  <c:v>0.36</c:v>
                </c:pt>
                <c:pt idx="22">
                  <c:v>0.35099999999999998</c:v>
                </c:pt>
                <c:pt idx="23">
                  <c:v>0.34200000000000003</c:v>
                </c:pt>
                <c:pt idx="24">
                  <c:v>0.33200000000000002</c:v>
                </c:pt>
                <c:pt idx="25">
                  <c:v>0.32200000000000001</c:v>
                </c:pt>
                <c:pt idx="26">
                  <c:v>0.316</c:v>
                </c:pt>
                <c:pt idx="27">
                  <c:v>0.307</c:v>
                </c:pt>
                <c:pt idx="28">
                  <c:v>0.30099999999999999</c:v>
                </c:pt>
                <c:pt idx="29">
                  <c:v>0.29499999999999998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36-474C-A90E-A85D023D8177}"/>
            </c:ext>
          </c:extLst>
        </c:ser>
        <c:ser>
          <c:idx val="2"/>
          <c:order val="2"/>
          <c:tx>
            <c:v>XAUUSD240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0.89957567199999999</c:v>
                </c:pt>
                <c:pt idx="1">
                  <c:v>0.84158415799999997</c:v>
                </c:pt>
                <c:pt idx="2">
                  <c:v>0.78783592599999996</c:v>
                </c:pt>
                <c:pt idx="3">
                  <c:v>0.74964639300000002</c:v>
                </c:pt>
                <c:pt idx="4">
                  <c:v>0.70862800599999998</c:v>
                </c:pt>
                <c:pt idx="5">
                  <c:v>0.67043847199999995</c:v>
                </c:pt>
                <c:pt idx="6">
                  <c:v>0.625176803</c:v>
                </c:pt>
                <c:pt idx="7">
                  <c:v>0.59264497900000002</c:v>
                </c:pt>
                <c:pt idx="8">
                  <c:v>0.56435643599999996</c:v>
                </c:pt>
                <c:pt idx="9">
                  <c:v>0.53606789300000002</c:v>
                </c:pt>
                <c:pt idx="10">
                  <c:v>0.51343705799999995</c:v>
                </c:pt>
                <c:pt idx="11">
                  <c:v>0.48797736899999999</c:v>
                </c:pt>
                <c:pt idx="12">
                  <c:v>0.46958981599999999</c:v>
                </c:pt>
                <c:pt idx="13">
                  <c:v>0.458274399</c:v>
                </c:pt>
                <c:pt idx="14">
                  <c:v>0.448373409</c:v>
                </c:pt>
                <c:pt idx="15">
                  <c:v>0.43281470999999999</c:v>
                </c:pt>
                <c:pt idx="16">
                  <c:v>0.411598303</c:v>
                </c:pt>
                <c:pt idx="17">
                  <c:v>0.40028288499999998</c:v>
                </c:pt>
                <c:pt idx="18">
                  <c:v>0.38896746799999998</c:v>
                </c:pt>
                <c:pt idx="19">
                  <c:v>0.38048090499999998</c:v>
                </c:pt>
                <c:pt idx="20">
                  <c:v>0.36633663399999999</c:v>
                </c:pt>
                <c:pt idx="21">
                  <c:v>0.35926449799999999</c:v>
                </c:pt>
                <c:pt idx="22">
                  <c:v>0.35219236199999998</c:v>
                </c:pt>
                <c:pt idx="23">
                  <c:v>0.33804809099999999</c:v>
                </c:pt>
                <c:pt idx="24">
                  <c:v>0.32814710000000002</c:v>
                </c:pt>
                <c:pt idx="25">
                  <c:v>0.31824611000000003</c:v>
                </c:pt>
                <c:pt idx="26">
                  <c:v>0.31258840199999999</c:v>
                </c:pt>
                <c:pt idx="27">
                  <c:v>0.30975954700000002</c:v>
                </c:pt>
                <c:pt idx="28">
                  <c:v>0.30127298400000002</c:v>
                </c:pt>
                <c:pt idx="29">
                  <c:v>0.29561527599999998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36-474C-A90E-A85D023D8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861535"/>
        <c:axId val="245661839"/>
      </c:barChart>
      <c:catAx>
        <c:axId val="24086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5661839"/>
        <c:crosses val="autoZero"/>
        <c:auto val="1"/>
        <c:lblAlgn val="ctr"/>
        <c:lblOffset val="100"/>
        <c:noMultiLvlLbl val="0"/>
      </c:catAx>
      <c:valAx>
        <c:axId val="24566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086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GBPUSD60</a:t>
            </a:r>
            <a:r>
              <a:rPr lang="zh-CN" altLang="en-US"/>
              <a:t>与</a:t>
            </a:r>
            <a:r>
              <a:rPr lang="en-US" altLang="zh-CN"/>
              <a:t>XAUUSD60</a:t>
            </a:r>
            <a:r>
              <a:rPr lang="zh-CN" altLang="en-US"/>
              <a:t>亏损单均亏损曲线图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GBPUSD60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-436.79622860000001</c:v>
                </c:pt>
                <c:pt idx="1">
                  <c:v>-760.49935830000004</c:v>
                </c:pt>
                <c:pt idx="2">
                  <c:v>-796.95742270000005</c:v>
                </c:pt>
                <c:pt idx="3">
                  <c:v>-801.34304050000003</c:v>
                </c:pt>
                <c:pt idx="4">
                  <c:v>-805.39507849999995</c:v>
                </c:pt>
                <c:pt idx="5">
                  <c:v>-804.87249350000002</c:v>
                </c:pt>
                <c:pt idx="6">
                  <c:v>-814.77315290000001</c:v>
                </c:pt>
                <c:pt idx="7">
                  <c:v>-812.76663389999999</c:v>
                </c:pt>
                <c:pt idx="8">
                  <c:v>-811.25685950000002</c:v>
                </c:pt>
                <c:pt idx="9">
                  <c:v>-808.90855069999998</c:v>
                </c:pt>
                <c:pt idx="10">
                  <c:v>-807.21801489999996</c:v>
                </c:pt>
                <c:pt idx="11">
                  <c:v>-805.65684729999998</c:v>
                </c:pt>
                <c:pt idx="12">
                  <c:v>-806.32791450000002</c:v>
                </c:pt>
                <c:pt idx="13">
                  <c:v>-803.76617799999997</c:v>
                </c:pt>
                <c:pt idx="14">
                  <c:v>-801.90252050000004</c:v>
                </c:pt>
                <c:pt idx="15">
                  <c:v>-801.85777250000001</c:v>
                </c:pt>
                <c:pt idx="16">
                  <c:v>-801.97600309999996</c:v>
                </c:pt>
                <c:pt idx="17">
                  <c:v>-798.92786420000004</c:v>
                </c:pt>
                <c:pt idx="18">
                  <c:v>-798.14497370000004</c:v>
                </c:pt>
                <c:pt idx="19">
                  <c:v>-797.68118560000005</c:v>
                </c:pt>
                <c:pt idx="20">
                  <c:v>-796.60687459999997</c:v>
                </c:pt>
                <c:pt idx="21">
                  <c:v>-795.40760790000002</c:v>
                </c:pt>
                <c:pt idx="22">
                  <c:v>-795.34592620000001</c:v>
                </c:pt>
                <c:pt idx="23">
                  <c:v>-797.52959369999996</c:v>
                </c:pt>
                <c:pt idx="24">
                  <c:v>-796.22884669999996</c:v>
                </c:pt>
                <c:pt idx="25">
                  <c:v>-794.93702480000002</c:v>
                </c:pt>
                <c:pt idx="26">
                  <c:v>-797.79071569999996</c:v>
                </c:pt>
                <c:pt idx="27">
                  <c:v>-796.5800524</c:v>
                </c:pt>
                <c:pt idx="28">
                  <c:v>-794.46475080000005</c:v>
                </c:pt>
                <c:pt idx="29">
                  <c:v>-793.50152960000003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2-483B-A5B9-E2A2C4897E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-527.13053730000001</c:v>
                </c:pt>
                <c:pt idx="1">
                  <c:v>-922.64825670000005</c:v>
                </c:pt>
                <c:pt idx="2">
                  <c:v>-984.0812148</c:v>
                </c:pt>
                <c:pt idx="3">
                  <c:v>-1002.8046440000001</c:v>
                </c:pt>
                <c:pt idx="4">
                  <c:v>-1004.5587379999999</c:v>
                </c:pt>
                <c:pt idx="5">
                  <c:v>-1012.624162</c:v>
                </c:pt>
                <c:pt idx="6">
                  <c:v>-1012.735046</c:v>
                </c:pt>
                <c:pt idx="7">
                  <c:v>-1011.161184</c:v>
                </c:pt>
                <c:pt idx="8">
                  <c:v>-1005.987994</c:v>
                </c:pt>
                <c:pt idx="9">
                  <c:v>-1003.338115</c:v>
                </c:pt>
                <c:pt idx="10">
                  <c:v>-1000.3538</c:v>
                </c:pt>
                <c:pt idx="11">
                  <c:v>-997.44475350000005</c:v>
                </c:pt>
                <c:pt idx="12">
                  <c:v>-999.22192919999998</c:v>
                </c:pt>
                <c:pt idx="13">
                  <c:v>-998.9134732</c:v>
                </c:pt>
                <c:pt idx="14">
                  <c:v>-999.80166980000001</c:v>
                </c:pt>
                <c:pt idx="15">
                  <c:v>-999.47023279999996</c:v>
                </c:pt>
                <c:pt idx="16">
                  <c:v>-1001.668377</c:v>
                </c:pt>
                <c:pt idx="17">
                  <c:v>-1007.099081</c:v>
                </c:pt>
                <c:pt idx="18">
                  <c:v>-1009.823893</c:v>
                </c:pt>
                <c:pt idx="19">
                  <c:v>-1014.1189409999999</c:v>
                </c:pt>
                <c:pt idx="20">
                  <c:v>-1013.00328</c:v>
                </c:pt>
                <c:pt idx="21">
                  <c:v>-1014.546014</c:v>
                </c:pt>
                <c:pt idx="22">
                  <c:v>-1011.27633</c:v>
                </c:pt>
                <c:pt idx="23">
                  <c:v>-1012.053737</c:v>
                </c:pt>
                <c:pt idx="24">
                  <c:v>-1013.1982410000001</c:v>
                </c:pt>
                <c:pt idx="25">
                  <c:v>-1015.86041</c:v>
                </c:pt>
                <c:pt idx="26">
                  <c:v>-1016.499105</c:v>
                </c:pt>
                <c:pt idx="27">
                  <c:v>-1019.313067</c:v>
                </c:pt>
                <c:pt idx="28">
                  <c:v>-1019.0181679999999</c:v>
                </c:pt>
                <c:pt idx="29">
                  <c:v>-1016.838964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2-483B-A5B9-E2A2C4897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7129039"/>
        <c:axId val="1142743231"/>
      </c:lineChart>
      <c:catAx>
        <c:axId val="1137129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2743231"/>
        <c:crosses val="autoZero"/>
        <c:auto val="1"/>
        <c:lblAlgn val="ctr"/>
        <c:lblOffset val="100"/>
        <c:noMultiLvlLbl val="0"/>
      </c:catAx>
      <c:valAx>
        <c:axId val="114274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7129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GBPUSD60</a:t>
            </a:r>
            <a:r>
              <a:rPr lang="zh-CN" altLang="en-US"/>
              <a:t>与</a:t>
            </a:r>
            <a:r>
              <a:rPr lang="en-US" altLang="zh-CN"/>
              <a:t>XAUUSD60</a:t>
            </a:r>
            <a:r>
              <a:rPr lang="zh-CN" altLang="en-US"/>
              <a:t>胜率直方图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GBPUSD60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0.83482774900000001</c:v>
                </c:pt>
                <c:pt idx="1">
                  <c:v>0.82350165200000003</c:v>
                </c:pt>
                <c:pt idx="2">
                  <c:v>0.77111845199999995</c:v>
                </c:pt>
                <c:pt idx="3">
                  <c:v>0.72062293499999996</c:v>
                </c:pt>
                <c:pt idx="4">
                  <c:v>0.66918357699999997</c:v>
                </c:pt>
                <c:pt idx="5">
                  <c:v>0.63662104799999997</c:v>
                </c:pt>
                <c:pt idx="6">
                  <c:v>0.59886739</c:v>
                </c:pt>
                <c:pt idx="7">
                  <c:v>0.56819254399999997</c:v>
                </c:pt>
                <c:pt idx="8">
                  <c:v>0.54318074599999999</c:v>
                </c:pt>
                <c:pt idx="9">
                  <c:v>0.51156205799999999</c:v>
                </c:pt>
                <c:pt idx="10">
                  <c:v>0.49362907</c:v>
                </c:pt>
                <c:pt idx="11">
                  <c:v>0.47758376600000002</c:v>
                </c:pt>
                <c:pt idx="12">
                  <c:v>0.45917885800000002</c:v>
                </c:pt>
                <c:pt idx="13">
                  <c:v>0.44313355399999999</c:v>
                </c:pt>
                <c:pt idx="14">
                  <c:v>0.42331288299999997</c:v>
                </c:pt>
                <c:pt idx="15">
                  <c:v>0.406795658</c:v>
                </c:pt>
                <c:pt idx="16">
                  <c:v>0.39546956100000002</c:v>
                </c:pt>
                <c:pt idx="17">
                  <c:v>0.38131194000000002</c:v>
                </c:pt>
                <c:pt idx="18">
                  <c:v>0.37281736700000001</c:v>
                </c:pt>
                <c:pt idx="19">
                  <c:v>0.35913166600000002</c:v>
                </c:pt>
                <c:pt idx="20">
                  <c:v>0.34167059900000002</c:v>
                </c:pt>
                <c:pt idx="21">
                  <c:v>0.33317602600000001</c:v>
                </c:pt>
                <c:pt idx="22">
                  <c:v>0.32232185000000002</c:v>
                </c:pt>
                <c:pt idx="23">
                  <c:v>0.31477111800000002</c:v>
                </c:pt>
                <c:pt idx="24">
                  <c:v>0.30438886300000001</c:v>
                </c:pt>
                <c:pt idx="25">
                  <c:v>0.29731005199999999</c:v>
                </c:pt>
                <c:pt idx="26">
                  <c:v>0.28787163799999999</c:v>
                </c:pt>
                <c:pt idx="27">
                  <c:v>0.27890514399999999</c:v>
                </c:pt>
                <c:pt idx="28">
                  <c:v>0.27088249199999997</c:v>
                </c:pt>
                <c:pt idx="29">
                  <c:v>0.26569136399999999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F4-44DF-8E5C-A0F021C636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0.82199999999999995</c:v>
                </c:pt>
                <c:pt idx="1">
                  <c:v>0.81699999999999995</c:v>
                </c:pt>
                <c:pt idx="2">
                  <c:v>0.76900000000000002</c:v>
                </c:pt>
                <c:pt idx="3">
                  <c:v>0.72399999999999998</c:v>
                </c:pt>
                <c:pt idx="4">
                  <c:v>0.67800000000000005</c:v>
                </c:pt>
                <c:pt idx="5">
                  <c:v>0.63900000000000001</c:v>
                </c:pt>
                <c:pt idx="6">
                  <c:v>0.61599999999999999</c:v>
                </c:pt>
                <c:pt idx="7">
                  <c:v>0.58299999999999996</c:v>
                </c:pt>
                <c:pt idx="8">
                  <c:v>0.55800000000000005</c:v>
                </c:pt>
                <c:pt idx="9">
                  <c:v>0.53100000000000003</c:v>
                </c:pt>
                <c:pt idx="10">
                  <c:v>0.50600000000000001</c:v>
                </c:pt>
                <c:pt idx="11">
                  <c:v>0.48499999999999999</c:v>
                </c:pt>
                <c:pt idx="12">
                  <c:v>0.47</c:v>
                </c:pt>
                <c:pt idx="13">
                  <c:v>0.45600000000000002</c:v>
                </c:pt>
                <c:pt idx="14">
                  <c:v>0.443</c:v>
                </c:pt>
                <c:pt idx="15">
                  <c:v>0.42799999999999999</c:v>
                </c:pt>
                <c:pt idx="16">
                  <c:v>0.41699999999999998</c:v>
                </c:pt>
                <c:pt idx="17">
                  <c:v>0.40400000000000003</c:v>
                </c:pt>
                <c:pt idx="18">
                  <c:v>0.39500000000000002</c:v>
                </c:pt>
                <c:pt idx="19">
                  <c:v>0.38200000000000001</c:v>
                </c:pt>
                <c:pt idx="20">
                  <c:v>0.37</c:v>
                </c:pt>
                <c:pt idx="21">
                  <c:v>0.36</c:v>
                </c:pt>
                <c:pt idx="22">
                  <c:v>0.35099999999999998</c:v>
                </c:pt>
                <c:pt idx="23">
                  <c:v>0.34200000000000003</c:v>
                </c:pt>
                <c:pt idx="24">
                  <c:v>0.33200000000000002</c:v>
                </c:pt>
                <c:pt idx="25">
                  <c:v>0.32200000000000001</c:v>
                </c:pt>
                <c:pt idx="26">
                  <c:v>0.316</c:v>
                </c:pt>
                <c:pt idx="27">
                  <c:v>0.307</c:v>
                </c:pt>
                <c:pt idx="28">
                  <c:v>0.30099999999999999</c:v>
                </c:pt>
                <c:pt idx="29">
                  <c:v>0.29499999999999998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F4-44DF-8E5C-A0F021C63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9186479"/>
        <c:axId val="1142754463"/>
      </c:barChart>
      <c:catAx>
        <c:axId val="108918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2754463"/>
        <c:crosses val="autoZero"/>
        <c:auto val="1"/>
        <c:lblAlgn val="ctr"/>
        <c:lblOffset val="100"/>
        <c:noMultiLvlLbl val="0"/>
      </c:catAx>
      <c:valAx>
        <c:axId val="114275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918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GBPUSD60</a:t>
            </a:r>
            <a:r>
              <a:rPr lang="zh-CN" altLang="en-US"/>
              <a:t>与</a:t>
            </a:r>
            <a:r>
              <a:rPr lang="en-US" altLang="zh-CN"/>
              <a:t>XAUUSD60</a:t>
            </a:r>
            <a:r>
              <a:rPr lang="zh-CN" altLang="en-US"/>
              <a:t>每笔期望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GBPUSD60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Sheet1!$B$2:$B$31</c:f>
              <c:numCache>
                <c:formatCode>0.0_ </c:formatCode>
                <c:ptCount val="30"/>
                <c:pt idx="0">
                  <c:v>-27.373770650000001</c:v>
                </c:pt>
                <c:pt idx="1">
                  <c:v>-28.76999056</c:v>
                </c:pt>
                <c:pt idx="2">
                  <c:v>-24.657069369999999</c:v>
                </c:pt>
                <c:pt idx="3">
                  <c:v>-20.597758379999998</c:v>
                </c:pt>
                <c:pt idx="4">
                  <c:v>-26.213813120000001</c:v>
                </c:pt>
                <c:pt idx="5">
                  <c:v>-14.357687589999999</c:v>
                </c:pt>
                <c:pt idx="6">
                  <c:v>-21.459339310000001</c:v>
                </c:pt>
                <c:pt idx="7">
                  <c:v>-17.2694337</c:v>
                </c:pt>
                <c:pt idx="8">
                  <c:v>-9.5064700329999994</c:v>
                </c:pt>
                <c:pt idx="9">
                  <c:v>-14.88484191</c:v>
                </c:pt>
                <c:pt idx="10">
                  <c:v>-3.2417225109999999</c:v>
                </c:pt>
                <c:pt idx="11">
                  <c:v>8.9517697030000001</c:v>
                </c:pt>
                <c:pt idx="12">
                  <c:v>11.915450679999999</c:v>
                </c:pt>
                <c:pt idx="13">
                  <c:v>20.71571024</c:v>
                </c:pt>
                <c:pt idx="14">
                  <c:v>18.685365740000002</c:v>
                </c:pt>
                <c:pt idx="15">
                  <c:v>18.478036809999999</c:v>
                </c:pt>
                <c:pt idx="16">
                  <c:v>25.38233601</c:v>
                </c:pt>
                <c:pt idx="17">
                  <c:v>30.82885795</c:v>
                </c:pt>
                <c:pt idx="18">
                  <c:v>42.068060410000001</c:v>
                </c:pt>
                <c:pt idx="19">
                  <c:v>39.529641339999998</c:v>
                </c:pt>
                <c:pt idx="20">
                  <c:v>27.303279849999999</c:v>
                </c:pt>
                <c:pt idx="21">
                  <c:v>35.55677678</c:v>
                </c:pt>
                <c:pt idx="22">
                  <c:v>34.065762149999998</c:v>
                </c:pt>
                <c:pt idx="23">
                  <c:v>33.301557340000002</c:v>
                </c:pt>
                <c:pt idx="24">
                  <c:v>32.556649360000002</c:v>
                </c:pt>
                <c:pt idx="25">
                  <c:v>39.662930629999998</c:v>
                </c:pt>
                <c:pt idx="26">
                  <c:v>26.679117510000001</c:v>
                </c:pt>
                <c:pt idx="27">
                  <c:v>26.146191600000002</c:v>
                </c:pt>
                <c:pt idx="28">
                  <c:v>29.91635205</c:v>
                </c:pt>
                <c:pt idx="29">
                  <c:v>37.556219919999997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9-42B0-8B37-E83E4EEFE4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XAUUSD60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-29.3</c:v>
                </c:pt>
                <c:pt idx="1">
                  <c:v>-27.1</c:v>
                </c:pt>
                <c:pt idx="2">
                  <c:v>-17.7</c:v>
                </c:pt>
                <c:pt idx="3">
                  <c:v>-7.7</c:v>
                </c:pt>
                <c:pt idx="4">
                  <c:v>-4.0999999999999996</c:v>
                </c:pt>
                <c:pt idx="5">
                  <c:v>-1</c:v>
                </c:pt>
                <c:pt idx="6">
                  <c:v>23.2</c:v>
                </c:pt>
                <c:pt idx="7">
                  <c:v>26.8</c:v>
                </c:pt>
                <c:pt idx="8">
                  <c:v>42.7</c:v>
                </c:pt>
                <c:pt idx="9">
                  <c:v>48.2</c:v>
                </c:pt>
                <c:pt idx="10">
                  <c:v>54.6</c:v>
                </c:pt>
                <c:pt idx="11">
                  <c:v>62.8</c:v>
                </c:pt>
                <c:pt idx="12">
                  <c:v>76</c:v>
                </c:pt>
                <c:pt idx="13">
                  <c:v>91.2</c:v>
                </c:pt>
                <c:pt idx="14">
                  <c:v>103.8</c:v>
                </c:pt>
                <c:pt idx="15">
                  <c:v>111.2</c:v>
                </c:pt>
                <c:pt idx="16">
                  <c:v>119.3</c:v>
                </c:pt>
                <c:pt idx="17">
                  <c:v>117.5</c:v>
                </c:pt>
                <c:pt idx="18">
                  <c:v>126.8</c:v>
                </c:pt>
                <c:pt idx="19">
                  <c:v>119.7</c:v>
                </c:pt>
                <c:pt idx="20">
                  <c:v>123.4</c:v>
                </c:pt>
                <c:pt idx="21">
                  <c:v>122.8</c:v>
                </c:pt>
                <c:pt idx="22">
                  <c:v>136</c:v>
                </c:pt>
                <c:pt idx="23">
                  <c:v>135.1</c:v>
                </c:pt>
                <c:pt idx="24">
                  <c:v>127.9</c:v>
                </c:pt>
                <c:pt idx="25">
                  <c:v>120.8</c:v>
                </c:pt>
                <c:pt idx="26">
                  <c:v>127.1</c:v>
                </c:pt>
                <c:pt idx="27">
                  <c:v>121.8</c:v>
                </c:pt>
                <c:pt idx="28">
                  <c:v>128.6</c:v>
                </c:pt>
                <c:pt idx="29">
                  <c:v>136.30000000000001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99-42B0-8B37-E83E4EEFE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6766143"/>
        <c:axId val="1139374591"/>
      </c:lineChart>
      <c:catAx>
        <c:axId val="114676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9374591"/>
        <c:crosses val="autoZero"/>
        <c:auto val="1"/>
        <c:lblAlgn val="ctr"/>
        <c:lblOffset val="100"/>
        <c:noMultiLvlLbl val="0"/>
      </c:catAx>
      <c:valAx>
        <c:axId val="1139374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676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16</Pages>
  <Words>1706</Words>
  <Characters>9725</Characters>
  <Application>Microsoft Office Word</Application>
  <DocSecurity>0</DocSecurity>
  <Lines>81</Lines>
  <Paragraphs>22</Paragraphs>
  <ScaleCrop>false</ScaleCrop>
  <Company>微软中国</Company>
  <LinksUpToDate>false</LinksUpToDate>
  <CharactersWithSpaces>11409</CharactersWithSpaces>
  <SharedDoc>false</SharedDoc>
  <HLinks>
    <vt:vector size="156" baseType="variant"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_Toc31497</vt:lpwstr>
      </vt:variant>
      <vt:variant>
        <vt:i4>2424833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_Toc9759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_Toc15599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_Toc30415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_Toc6203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_Toc25315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_Toc16759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_Toc31370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_Toc19510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_Toc21102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_Toc25832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_Toc26894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_Toc25758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_Toc16329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_Toc17885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_Toc9456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_Toc13468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_Toc24951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_Toc27650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_Toc20435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_Toc14751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Ivan</cp:lastModifiedBy>
  <cp:revision>97</cp:revision>
  <cp:lastPrinted>2019-04-08T12:48:00Z</cp:lastPrinted>
  <dcterms:created xsi:type="dcterms:W3CDTF">2019-04-17T04:32:00Z</dcterms:created>
  <dcterms:modified xsi:type="dcterms:W3CDTF">2019-04-21T05:55:00Z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