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right"/>
        <w:rPr>
          <w:rFonts w:hint="default" w:ascii="Times New Roman" w:hAnsi="Times New Roman" w:eastAsia="仿宋" w:cs="Times New Roman"/>
          <w:sz w:val="32"/>
          <w:szCs w:val="32"/>
        </w:rPr>
      </w:pPr>
    </w:p>
    <w:tbl>
      <w:tblPr>
        <w:tblStyle w:val="7"/>
        <w:tblW w:w="7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0" w:hRule="atLeast"/>
        </w:trPr>
        <w:tc>
          <w:tcPr>
            <w:tcW w:w="7000" w:type="dxa"/>
            <w:vMerge w:val="restart"/>
            <w:vAlign w:val="center"/>
          </w:tcPr>
          <w:p>
            <w:pPr>
              <w:keepNext w:val="0"/>
              <w:keepLines w:val="0"/>
              <w:pageBreakBefore w:val="0"/>
              <w:widowControl/>
              <w:kinsoku/>
              <w:wordWrap/>
              <w:overflowPunct/>
              <w:topLinePunct w:val="0"/>
              <w:autoSpaceDE/>
              <w:autoSpaceDN/>
              <w:bidi w:val="0"/>
              <w:adjustRightInd/>
              <w:snapToGrid/>
              <w:spacing w:after="0" w:line="1200" w:lineRule="exact"/>
              <w:jc w:val="distribute"/>
              <w:textAlignment w:val="auto"/>
              <w:outlineLvl w:val="9"/>
              <w:rPr>
                <w:rFonts w:hint="default" w:ascii="Times New Roman" w:hAnsi="Times New Roman" w:eastAsia="方正小标宋简体" w:cs="Times New Roman"/>
                <w:b w:val="0"/>
                <w:bCs/>
                <w:w w:val="80"/>
                <w:sz w:val="36"/>
                <w:szCs w:val="36"/>
                <w:lang w:eastAsia="zh-CN"/>
              </w:rPr>
            </w:pPr>
            <w:r>
              <w:rPr>
                <w:rFonts w:hint="default" w:ascii="Times New Roman" w:hAnsi="Times New Roman" w:cs="Times New Roman"/>
                <w:w w:val="80"/>
                <w:sz w:val="84"/>
              </w:rPr>
              <w:pict>
                <v:shape id="文本框 2" o:spid="_x0000_s2051" o:spt="202" type="#_x0000_t202" style="position:absolute;left:0pt;margin-left:355.8pt;margin-top:56pt;height:83.9pt;width:83.85pt;z-index:251659264;mso-width-relative:page;mso-height-relative:page;" filled="f" stroked="f" coordsize="21600,21600" o:gfxdata="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fov5vYAAAA&#10;CwEAAA8AAAAAAAAAAQAgAAAAOAAAAGRycy9kb3ducmV2LnhtbFBLAQIUABQAAAAIAIdO4kARS9Bi&#10;lQEAAAcDAAAOAAAAAAAAAAEAIAAAAD0BAABkcnMvZTJvRG9jLnhtbFBLBQYAAAAABgAGAFkBAABE&#10;BQAAAAA=&#10;">
                  <v:path/>
                  <v:fill on="f" focussize="0,0"/>
                  <v:stroke on="f"/>
                  <v:imagedata o:title=""/>
                  <o:lock v:ext="edit" aspectratio="f"/>
                  <v:textbox>
                    <w:txbxContent>
                      <w:p>
                        <w:r>
                          <w:rPr>
                            <w:rFonts w:hint="eastAsia" w:ascii="方正小标宋简体" w:hAnsi="方正小标宋简体" w:eastAsia="方正小标宋简体" w:cs="方正小标宋简体"/>
                            <w:b w:val="0"/>
                            <w:bCs/>
                            <w:w w:val="80"/>
                            <w:sz w:val="84"/>
                            <w:szCs w:val="84"/>
                            <w:vertAlign w:val="baseline"/>
                            <w:lang w:eastAsia="zh-CN"/>
                          </w:rPr>
                          <w:t>文件</w:t>
                        </w:r>
                      </w:p>
                    </w:txbxContent>
                  </v:textbox>
                </v:shape>
              </w:pict>
            </w:r>
            <w:r>
              <w:rPr>
                <w:rFonts w:hint="default" w:ascii="Times New Roman" w:hAnsi="Times New Roman" w:eastAsia="方正小标宋简体" w:cs="Times New Roman"/>
                <w:b w:val="0"/>
                <w:bCs/>
                <w:w w:val="80"/>
                <w:sz w:val="72"/>
                <w:szCs w:val="72"/>
                <w:lang w:eastAsia="zh-CN"/>
              </w:rPr>
              <w:t>咸阳市医疗保障局</w:t>
            </w:r>
          </w:p>
          <w:p>
            <w:pPr>
              <w:keepNext w:val="0"/>
              <w:keepLines w:val="0"/>
              <w:pageBreakBefore w:val="0"/>
              <w:widowControl/>
              <w:kinsoku/>
              <w:wordWrap/>
              <w:overflowPunct/>
              <w:topLinePunct w:val="0"/>
              <w:autoSpaceDE/>
              <w:autoSpaceDN/>
              <w:bidi w:val="0"/>
              <w:adjustRightInd/>
              <w:snapToGrid/>
              <w:spacing w:after="0" w:line="1200" w:lineRule="exact"/>
              <w:jc w:val="distribute"/>
              <w:textAlignment w:val="auto"/>
              <w:outlineLvl w:val="9"/>
              <w:rPr>
                <w:rFonts w:hint="default" w:ascii="Times New Roman" w:hAnsi="Times New Roman" w:eastAsia="方正小标宋简体" w:cs="Times New Roman"/>
                <w:b w:val="0"/>
                <w:bCs/>
                <w:w w:val="80"/>
                <w:sz w:val="84"/>
                <w:szCs w:val="84"/>
                <w:lang w:eastAsia="zh-CN"/>
              </w:rPr>
            </w:pPr>
            <w:r>
              <w:rPr>
                <w:rFonts w:hint="eastAsia" w:eastAsia="方正小标宋简体" w:cs="Times New Roman"/>
                <w:b w:val="0"/>
                <w:bCs/>
                <w:w w:val="80"/>
                <w:sz w:val="72"/>
                <w:szCs w:val="72"/>
                <w:lang w:val="en-US" w:eastAsia="zh-CN"/>
              </w:rPr>
              <w:t xml:space="preserve">咸阳市财政局            </w:t>
            </w:r>
          </w:p>
          <w:p>
            <w:pPr>
              <w:keepNext w:val="0"/>
              <w:keepLines w:val="0"/>
              <w:pageBreakBefore w:val="0"/>
              <w:widowControl/>
              <w:kinsoku/>
              <w:wordWrap/>
              <w:overflowPunct/>
              <w:topLinePunct w:val="0"/>
              <w:autoSpaceDE/>
              <w:autoSpaceDN/>
              <w:bidi w:val="0"/>
              <w:adjustRightInd/>
              <w:snapToGrid/>
              <w:spacing w:after="0" w:line="1200" w:lineRule="exact"/>
              <w:jc w:val="distribute"/>
              <w:textAlignment w:val="auto"/>
              <w:outlineLvl w:val="9"/>
              <w:rPr>
                <w:rFonts w:hint="default" w:eastAsia="方正小标宋简体" w:cs="Times New Roman"/>
                <w:b w:val="0"/>
                <w:bCs/>
                <w:w w:val="80"/>
                <w:sz w:val="72"/>
                <w:szCs w:val="72"/>
                <w:lang w:val="en-US" w:eastAsia="zh-CN"/>
              </w:rPr>
            </w:pPr>
            <w:r>
              <w:rPr>
                <w:rFonts w:hint="eastAsia" w:eastAsia="方正小标宋简体" w:cs="Times New Roman"/>
                <w:b w:val="0"/>
                <w:bCs/>
                <w:w w:val="80"/>
                <w:sz w:val="72"/>
                <w:szCs w:val="72"/>
                <w:lang w:val="en-US" w:eastAsia="zh-CN"/>
              </w:rPr>
              <w:t>咸阳市卫生健康委员会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0" w:hRule="atLeast"/>
        </w:trPr>
        <w:tc>
          <w:tcPr>
            <w:tcW w:w="70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6" w:hRule="atLeast"/>
        </w:trPr>
        <w:tc>
          <w:tcPr>
            <w:tcW w:w="7000" w:type="dxa"/>
            <w:vMerge w:val="continue"/>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eastAsia="方正小标宋简体" w:cs="Times New Roman"/>
                <w:b w:val="0"/>
                <w:bCs/>
                <w:w w:val="80"/>
                <w:sz w:val="84"/>
                <w:szCs w:val="84"/>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before="469" w:beforeLines="150" w:line="520" w:lineRule="exact"/>
        <w:ind w:firstLine="160" w:firstLineChars="50"/>
        <w:jc w:val="center"/>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咸医保发〔20</w:t>
      </w:r>
      <w:r>
        <w:rPr>
          <w:rFonts w:hint="eastAsia" w:ascii="仿宋_GB2312" w:hAnsi="仿宋_GB2312" w:eastAsia="仿宋_GB2312" w:cs="仿宋_GB2312"/>
          <w:sz w:val="32"/>
          <w:szCs w:val="32"/>
          <w:lang w:val="en-US" w:eastAsia="zh-CN"/>
        </w:rPr>
        <w:t>23</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lang w:eastAsia="zh-CN"/>
        </w:rPr>
        <w:t>号</w:t>
      </w:r>
    </w:p>
    <w:p>
      <w:pPr>
        <w:keepNext w:val="0"/>
        <w:keepLines w:val="0"/>
        <w:pageBreakBefore w:val="0"/>
        <w:widowControl w:val="0"/>
        <w:kinsoku/>
        <w:wordWrap/>
        <w:overflowPunct/>
        <w:topLinePunct w:val="0"/>
        <w:autoSpaceDE/>
        <w:autoSpaceDN/>
        <w:bidi w:val="0"/>
        <w:adjustRightInd/>
        <w:snapToGrid/>
        <w:spacing w:before="313" w:beforeLines="100" w:line="520" w:lineRule="exact"/>
        <w:jc w:val="center"/>
        <w:textAlignment w:val="auto"/>
        <w:outlineLvl w:val="9"/>
        <w:rPr>
          <w:rFonts w:ascii="Times New Roman" w:hAnsi="Times New Roman" w:eastAsia="仿宋_GB2312" w:cs="Times New Roman"/>
          <w:sz w:val="32"/>
          <w:szCs w:val="32"/>
        </w:rPr>
      </w:pPr>
      <w:r>
        <w:rPr>
          <w:rFonts w:hint="default" w:ascii="Times New Roman" w:hAnsi="Times New Roman" w:cs="Times New Roman"/>
          <w:sz w:val="32"/>
        </w:rPr>
        <w:pict>
          <v:line id="直接连接符 1" o:spid="_x0000_s2050" o:spt="20" style="position:absolute;left:0pt;flip:y;margin-left:-4.05pt;margin-top:7.1pt;height:0.7pt;width:438pt;z-index:251660288;mso-width-relative:page;mso-height-relative:page;" filled="f" stroked="t" coordsize="21600,21600" o:gfxdata="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Aj8rfS1gAAAAgBAAAPAAAAAAAAAAEAIAAAADgAAABkcnMvZG93bnJl&#10;di54bWxQSwECFAAUAAAACACHTuJADXE6i+kBAACpAwAADgAAAAAAAAABACAAAAA7AQAAZHJzL2Uy&#10;b0RvYy54bWxQSwUGAAAAAAYABgBZAQAAlgUAAAAA&#10;">
            <v:path arrowok="t"/>
            <v:fill on="f" focussize="0,0"/>
            <v:stroke color="#000000" joinstyle="round"/>
            <v:imagedata o:title=""/>
            <o:lock v:ext="edit" aspectratio="f"/>
          </v:line>
        </w:pict>
      </w:r>
    </w:p>
    <w:p>
      <w:pPr>
        <w:keepNext w:val="0"/>
        <w:keepLines w:val="0"/>
        <w:pageBreakBefore w:val="0"/>
        <w:kinsoku/>
        <w:wordWrap/>
        <w:overflowPunct/>
        <w:topLinePunct w:val="0"/>
        <w:autoSpaceDE w:val="0"/>
        <w:autoSpaceDN/>
        <w:bidi w:val="0"/>
        <w:adjustRightInd/>
        <w:snapToGrid/>
        <w:spacing w:line="600" w:lineRule="exact"/>
        <w:jc w:val="center"/>
        <w:textAlignment w:val="auto"/>
        <w:outlineLvl w:val="9"/>
        <w:rPr>
          <w:rFonts w:hint="eastAsia" w:ascii="方正小标宋简体" w:hAnsi="方正小标宋简体" w:eastAsia="方正小标宋简体" w:cs="方正小标宋简体"/>
          <w:b w:val="0"/>
          <w:bCs w:val="0"/>
          <w:color w:val="000000"/>
          <w:kern w:val="0"/>
          <w:sz w:val="44"/>
          <w:szCs w:val="44"/>
          <w:lang w:eastAsia="zh-CN"/>
        </w:rPr>
      </w:pPr>
      <w:r>
        <w:rPr>
          <w:rFonts w:hint="eastAsia" w:ascii="方正小标宋简体" w:hAnsi="方正小标宋简体" w:eastAsia="方正小标宋简体" w:cs="方正小标宋简体"/>
          <w:b w:val="0"/>
          <w:bCs w:val="0"/>
          <w:color w:val="000000"/>
          <w:spacing w:val="62"/>
          <w:kern w:val="0"/>
          <w:sz w:val="44"/>
          <w:szCs w:val="44"/>
          <w:fitText w:val="4400" w:id="1370972976"/>
          <w:lang w:eastAsia="zh-CN"/>
        </w:rPr>
        <w:t>咸阳市医疗保障</w:t>
      </w:r>
      <w:r>
        <w:rPr>
          <w:rFonts w:hint="eastAsia" w:ascii="方正小标宋简体" w:hAnsi="方正小标宋简体" w:eastAsia="方正小标宋简体" w:cs="方正小标宋简体"/>
          <w:b w:val="0"/>
          <w:bCs w:val="0"/>
          <w:color w:val="000000"/>
          <w:spacing w:val="6"/>
          <w:kern w:val="0"/>
          <w:sz w:val="44"/>
          <w:szCs w:val="44"/>
          <w:fitText w:val="4400" w:id="1370972976"/>
          <w:lang w:eastAsia="zh-CN"/>
        </w:rPr>
        <w:t>局</w:t>
      </w:r>
    </w:p>
    <w:p>
      <w:pPr>
        <w:pStyle w:val="2"/>
        <w:jc w:val="center"/>
        <w:rPr>
          <w:rFonts w:hint="eastAsia" w:ascii="方正小标宋简体" w:hAnsi="方正小标宋简体" w:eastAsia="方正小标宋简体" w:cs="方正小标宋简体"/>
          <w:b w:val="0"/>
          <w:bCs w:val="0"/>
          <w:color w:val="000000"/>
          <w:kern w:val="0"/>
          <w:sz w:val="44"/>
          <w:szCs w:val="44"/>
          <w:lang w:eastAsia="zh-CN"/>
        </w:rPr>
      </w:pPr>
      <w:r>
        <w:rPr>
          <w:rFonts w:hint="eastAsia" w:ascii="方正小标宋简体" w:hAnsi="方正小标宋简体" w:eastAsia="方正小标宋简体" w:cs="方正小标宋简体"/>
          <w:b w:val="0"/>
          <w:bCs w:val="0"/>
          <w:color w:val="000000"/>
          <w:spacing w:val="176"/>
          <w:kern w:val="0"/>
          <w:sz w:val="44"/>
          <w:szCs w:val="44"/>
          <w:fitText w:val="4400" w:id="985093827"/>
          <w:lang w:eastAsia="zh-CN"/>
        </w:rPr>
        <w:t>咸阳市财政</w:t>
      </w:r>
      <w:r>
        <w:rPr>
          <w:rFonts w:hint="eastAsia" w:ascii="方正小标宋简体" w:hAnsi="方正小标宋简体" w:eastAsia="方正小标宋简体" w:cs="方正小标宋简体"/>
          <w:b w:val="0"/>
          <w:bCs w:val="0"/>
          <w:color w:val="000000"/>
          <w:spacing w:val="0"/>
          <w:kern w:val="0"/>
          <w:sz w:val="44"/>
          <w:szCs w:val="44"/>
          <w:fitText w:val="4400" w:id="985093827"/>
          <w:lang w:eastAsia="zh-CN"/>
        </w:rPr>
        <w:t>局</w:t>
      </w:r>
    </w:p>
    <w:p>
      <w:pPr>
        <w:pStyle w:val="2"/>
        <w:jc w:val="center"/>
        <w:rPr>
          <w:rFonts w:hint="eastAsia" w:ascii="方正小标宋简体" w:hAnsi="方正小标宋简体" w:eastAsia="方正小标宋简体" w:cs="方正小标宋简体"/>
          <w:b w:val="0"/>
          <w:bCs w:val="0"/>
          <w:color w:val="000000"/>
          <w:kern w:val="0"/>
          <w:sz w:val="44"/>
          <w:szCs w:val="44"/>
          <w:lang w:eastAsia="zh-CN"/>
        </w:rPr>
      </w:pPr>
      <w:r>
        <w:rPr>
          <w:rFonts w:hint="eastAsia" w:ascii="方正小标宋简体" w:hAnsi="方正小标宋简体" w:eastAsia="方正小标宋简体" w:cs="方正小标宋简体"/>
          <w:b w:val="0"/>
          <w:bCs w:val="0"/>
          <w:color w:val="000000"/>
          <w:kern w:val="0"/>
          <w:sz w:val="44"/>
          <w:szCs w:val="44"/>
          <w:lang w:eastAsia="zh-CN"/>
        </w:rPr>
        <w:t>咸阳市卫生健康委员会</w:t>
      </w:r>
    </w:p>
    <w:p>
      <w:pPr>
        <w:keepNext w:val="0"/>
        <w:keepLines w:val="0"/>
        <w:pageBreakBefore w:val="0"/>
        <w:kinsoku/>
        <w:wordWrap/>
        <w:overflowPunct/>
        <w:topLinePunct w:val="0"/>
        <w:autoSpaceDE w:val="0"/>
        <w:autoSpaceDN/>
        <w:bidi w:val="0"/>
        <w:adjustRightInd/>
        <w:snapToGrid/>
        <w:spacing w:line="600" w:lineRule="exact"/>
        <w:jc w:val="center"/>
        <w:textAlignment w:val="auto"/>
        <w:outlineLvl w:val="9"/>
        <w:rPr>
          <w:rFonts w:ascii="仿宋_GB2312" w:hAnsi="仿宋_GB2312" w:eastAsia="仿宋"/>
          <w:sz w:val="32"/>
          <w:szCs w:val="32"/>
        </w:rPr>
      </w:pPr>
      <w:r>
        <w:rPr>
          <w:rFonts w:hint="eastAsia" w:ascii="方正小标宋简体" w:hAnsi="方正小标宋简体" w:eastAsia="方正小标宋简体" w:cs="方正小标宋简体"/>
          <w:b w:val="0"/>
          <w:bCs w:val="0"/>
          <w:color w:val="000000"/>
          <w:kern w:val="0"/>
          <w:sz w:val="44"/>
          <w:szCs w:val="44"/>
        </w:rPr>
        <w:t>关于印发《咸阳市</w:t>
      </w:r>
      <w:r>
        <w:rPr>
          <w:rFonts w:hint="eastAsia" w:ascii="方正小标宋简体" w:hAnsi="方正小标宋简体" w:eastAsia="方正小标宋简体" w:cs="方正小标宋简体"/>
          <w:b w:val="0"/>
          <w:bCs w:val="0"/>
          <w:color w:val="000000"/>
          <w:kern w:val="0"/>
          <w:sz w:val="44"/>
          <w:szCs w:val="44"/>
          <w:lang w:eastAsia="zh-CN"/>
        </w:rPr>
        <w:t>基本医疗保险门诊慢特病</w:t>
      </w:r>
      <w:r>
        <w:rPr>
          <w:rFonts w:hint="eastAsia" w:ascii="方正小标宋简体" w:hAnsi="方正小标宋简体" w:eastAsia="方正小标宋简体" w:cs="方正小标宋简体"/>
          <w:b w:val="0"/>
          <w:bCs w:val="0"/>
          <w:color w:val="000000"/>
          <w:kern w:val="0"/>
          <w:sz w:val="44"/>
          <w:szCs w:val="44"/>
          <w:lang w:val="en-US" w:eastAsia="zh-CN"/>
        </w:rPr>
        <w:t xml:space="preserve"> </w:t>
      </w:r>
      <w:r>
        <w:rPr>
          <w:rFonts w:hint="eastAsia" w:ascii="方正小标宋简体" w:hAnsi="方正小标宋简体" w:eastAsia="方正小标宋简体" w:cs="方正小标宋简体"/>
          <w:b w:val="0"/>
          <w:bCs w:val="0"/>
          <w:color w:val="000000"/>
          <w:kern w:val="0"/>
          <w:sz w:val="44"/>
          <w:szCs w:val="44"/>
          <w:lang w:eastAsia="zh-CN"/>
        </w:rPr>
        <w:t>实施细则（试行）</w:t>
      </w:r>
      <w:r>
        <w:rPr>
          <w:rFonts w:hint="eastAsia" w:ascii="方正小标宋简体" w:hAnsi="方正小标宋简体" w:eastAsia="方正小标宋简体" w:cs="方正小标宋简体"/>
          <w:b w:val="0"/>
          <w:bCs w:val="0"/>
          <w:color w:val="000000"/>
          <w:kern w:val="0"/>
          <w:sz w:val="44"/>
          <w:szCs w:val="44"/>
        </w:rPr>
        <w:t>》的通知</w:t>
      </w:r>
    </w:p>
    <w:p>
      <w:pPr>
        <w:keepNext w:val="0"/>
        <w:keepLines w:val="0"/>
        <w:pageBreakBefore w:val="0"/>
        <w:kinsoku/>
        <w:wordWrap/>
        <w:overflowPunct/>
        <w:topLinePunct w:val="0"/>
        <w:autoSpaceDE w:val="0"/>
        <w:autoSpaceDN/>
        <w:bidi w:val="0"/>
        <w:adjustRightInd/>
        <w:snapToGrid/>
        <w:spacing w:line="600" w:lineRule="exact"/>
        <w:textAlignment w:val="auto"/>
        <w:outlineLvl w:val="9"/>
        <w:rPr>
          <w:rFonts w:hint="eastAsia" w:ascii="仿宋_GB2312" w:hAnsi="仿宋_GB2312" w:eastAsia="仿宋"/>
          <w:sz w:val="32"/>
          <w:szCs w:val="32"/>
          <w:lang w:val="en-US" w:eastAsia="zh-CN"/>
        </w:rPr>
      </w:pPr>
    </w:p>
    <w:p>
      <w:pPr>
        <w:pStyle w:val="2"/>
        <w:keepNext w:val="0"/>
        <w:keepLines w:val="0"/>
        <w:pageBreakBefore w:val="0"/>
        <w:kinsoku/>
        <w:wordWrap/>
        <w:overflowPunct/>
        <w:topLinePunct w:val="0"/>
        <w:autoSpaceDN/>
        <w:bidi w:val="0"/>
        <w:adjustRightInd/>
        <w:snapToGrid/>
        <w:spacing w:line="600" w:lineRule="exact"/>
        <w:textAlignment w:val="auto"/>
        <w:outlineLvl w:val="9"/>
        <w:rPr>
          <w:rFonts w:hint="eastAsia" w:ascii="仿宋_GB2312" w:hAnsi="仿宋_GB2312" w:eastAsia="仿宋"/>
          <w:sz w:val="32"/>
          <w:szCs w:val="32"/>
          <w:lang w:val="en-US" w:eastAsia="zh-CN"/>
        </w:rPr>
      </w:pPr>
      <w:r>
        <w:rPr>
          <w:rFonts w:hint="eastAsia" w:ascii="仿宋_GB2312" w:hAnsi="仿宋_GB2312" w:eastAsia="仿宋"/>
          <w:sz w:val="32"/>
          <w:szCs w:val="32"/>
          <w:lang w:val="en-US" w:eastAsia="zh-CN"/>
        </w:rPr>
        <w:t>各县市区医保局、财政局、卫健局：</w:t>
      </w:r>
    </w:p>
    <w:p>
      <w:pPr>
        <w:keepNext w:val="0"/>
        <w:keepLines w:val="0"/>
        <w:pageBreakBefore w:val="0"/>
        <w:kinsoku/>
        <w:wordWrap/>
        <w:overflowPunct/>
        <w:topLinePunct w:val="0"/>
        <w:autoSpaceDE w:val="0"/>
        <w:autoSpaceDN/>
        <w:bidi w:val="0"/>
        <w:adjustRightInd/>
        <w:snapToGrid/>
        <w:spacing w:line="600" w:lineRule="exact"/>
        <w:ind w:firstLine="640" w:firstLineChars="200"/>
        <w:jc w:val="both"/>
        <w:textAlignment w:val="auto"/>
        <w:outlineLvl w:val="9"/>
        <w:rPr>
          <w:rFonts w:hint="eastAsia" w:ascii="仿宋_GB2312" w:hAnsi="仿宋_GB2312" w:eastAsia="仿宋_GB2312" w:cs="仿宋_GB2312"/>
          <w:sz w:val="32"/>
          <w:szCs w:val="32"/>
          <w:u w:val="none"/>
          <w:lang w:val="en-US" w:eastAsia="zh-CN"/>
        </w:rPr>
      </w:pPr>
      <w:r>
        <w:rPr>
          <w:rFonts w:hint="eastAsia" w:ascii="仿宋_GB2312" w:hAnsi="仿宋_GB2312" w:eastAsia="仿宋"/>
          <w:sz w:val="32"/>
          <w:szCs w:val="32"/>
          <w:u w:val="none"/>
          <w:lang w:val="en-US" w:eastAsia="zh-CN"/>
        </w:rPr>
        <w:t>为落实全省统一的门诊慢特病管理制度，建立更加公平适度的基本医疗保险待遇保障机制，推进我市医保事业高质量发展和“三医”联动改革，按照《陕西省基本医疗保险门诊慢特病规范管理办法（试行）》(陕医保发</w:t>
      </w:r>
      <w:r>
        <w:rPr>
          <w:rFonts w:hint="eastAsia" w:ascii="仿宋" w:hAnsi="仿宋" w:eastAsia="仿宋" w:cs="仿宋"/>
          <w:sz w:val="32"/>
          <w:szCs w:val="32"/>
          <w:u w:val="none"/>
        </w:rPr>
        <w:t>〔20</w:t>
      </w:r>
      <w:r>
        <w:rPr>
          <w:rFonts w:hint="eastAsia" w:ascii="仿宋" w:hAnsi="仿宋" w:eastAsia="仿宋" w:cs="仿宋"/>
          <w:sz w:val="32"/>
          <w:szCs w:val="32"/>
          <w:u w:val="none"/>
          <w:lang w:val="en-US" w:eastAsia="zh-CN"/>
        </w:rPr>
        <w:t>22</w:t>
      </w:r>
      <w:r>
        <w:rPr>
          <w:rFonts w:hint="eastAsia" w:ascii="仿宋" w:hAnsi="仿宋" w:eastAsia="仿宋" w:cs="仿宋"/>
          <w:sz w:val="32"/>
          <w:szCs w:val="32"/>
          <w:u w:val="none"/>
        </w:rPr>
        <w:t>〕</w:t>
      </w:r>
      <w:r>
        <w:rPr>
          <w:rFonts w:hint="eastAsia" w:ascii="仿宋" w:hAnsi="仿宋" w:eastAsia="仿宋" w:cs="仿宋"/>
          <w:sz w:val="32"/>
          <w:szCs w:val="32"/>
          <w:u w:val="none"/>
          <w:lang w:val="en-US" w:eastAsia="zh-CN"/>
        </w:rPr>
        <w:t>1</w:t>
      </w:r>
      <w:r>
        <w:rPr>
          <w:rFonts w:hint="eastAsia" w:ascii="仿宋_GB2312" w:hAnsi="仿宋_GB2312" w:eastAsia="仿宋"/>
          <w:sz w:val="32"/>
          <w:szCs w:val="32"/>
          <w:u w:val="none"/>
          <w:lang w:val="en-US" w:eastAsia="zh-CN"/>
        </w:rPr>
        <w:t>8号)、</w:t>
      </w:r>
      <w:r>
        <w:rPr>
          <w:rFonts w:hint="eastAsia" w:ascii="仿宋_GB2312" w:hAnsi="仿宋_GB2312" w:eastAsia="仿宋_GB2312" w:cs="仿宋_GB2312"/>
          <w:sz w:val="32"/>
          <w:szCs w:val="32"/>
          <w:u w:val="none"/>
          <w:lang w:val="en-US" w:eastAsia="zh-CN"/>
        </w:rPr>
        <w:t>《陕西省医疗保障局关于印发全省基本医疗保险门诊慢特病相关政策标准的通知》（陕医保发</w:t>
      </w:r>
      <w:r>
        <w:rPr>
          <w:rFonts w:hint="eastAsia" w:ascii="仿宋" w:hAnsi="仿宋" w:eastAsia="仿宋" w:cs="仿宋"/>
          <w:sz w:val="32"/>
          <w:szCs w:val="32"/>
          <w:u w:val="none"/>
        </w:rPr>
        <w:t>〔20</w:t>
      </w:r>
      <w:r>
        <w:rPr>
          <w:rFonts w:hint="eastAsia" w:ascii="仿宋" w:hAnsi="仿宋" w:eastAsia="仿宋" w:cs="仿宋"/>
          <w:sz w:val="32"/>
          <w:szCs w:val="32"/>
          <w:u w:val="none"/>
          <w:lang w:val="en-US" w:eastAsia="zh-CN"/>
        </w:rPr>
        <w:t>22</w:t>
      </w:r>
      <w:r>
        <w:rPr>
          <w:rFonts w:hint="eastAsia" w:ascii="仿宋" w:hAnsi="仿宋" w:eastAsia="仿宋" w:cs="仿宋"/>
          <w:sz w:val="32"/>
          <w:szCs w:val="32"/>
          <w:u w:val="none"/>
        </w:rPr>
        <w:t>〕</w:t>
      </w:r>
      <w:r>
        <w:rPr>
          <w:rFonts w:hint="eastAsia" w:ascii="仿宋_GB2312" w:hAnsi="仿宋_GB2312" w:eastAsia="仿宋_GB2312" w:cs="仿宋_GB2312"/>
          <w:sz w:val="32"/>
          <w:szCs w:val="32"/>
          <w:u w:val="none"/>
          <w:lang w:val="en-US" w:eastAsia="zh-CN"/>
        </w:rPr>
        <w:t>30号）规定，结合我市实际，制定《咸阳市基本医疗保险门诊慢特病实施细则（试行）》，现印发你们，请认真贯彻落实。</w:t>
      </w:r>
    </w:p>
    <w:p>
      <w:pPr>
        <w:pStyle w:val="2"/>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pStyle w:val="2"/>
        <w:ind w:firstLine="960" w:firstLineChars="300"/>
        <w:rPr>
          <w:rFonts w:hint="eastAsia" w:ascii="仿宋_GB2312" w:hAnsi="仿宋_GB2312" w:cs="仿宋_GB2312"/>
          <w:color w:val="000000"/>
          <w:sz w:val="32"/>
          <w:szCs w:val="32"/>
          <w:lang w:val="en-US" w:eastAsia="zh-CN"/>
        </w:rPr>
      </w:pPr>
      <w:r>
        <w:rPr>
          <w:rFonts w:hint="eastAsia" w:ascii="仿宋_GB2312" w:hAnsi="仿宋_GB2312" w:eastAsia="仿宋_GB2312" w:cs="仿宋_GB2312"/>
          <w:color w:val="000000"/>
          <w:sz w:val="32"/>
          <w:szCs w:val="32"/>
        </w:rPr>
        <w:t xml:space="preserve">咸阳市医疗保障局 </w:t>
      </w:r>
      <w:r>
        <w:rPr>
          <w:rFonts w:hint="eastAsia" w:ascii="仿宋_GB2312" w:hAnsi="仿宋_GB2312" w:cs="仿宋_GB2312"/>
          <w:color w:val="000000"/>
          <w:sz w:val="32"/>
          <w:szCs w:val="32"/>
          <w:lang w:val="en-US" w:eastAsia="zh-CN"/>
        </w:rPr>
        <w:t xml:space="preserve">         咸阳市财政局</w:t>
      </w:r>
    </w:p>
    <w:p>
      <w:pPr>
        <w:pStyle w:val="2"/>
        <w:ind w:firstLine="960" w:firstLineChars="300"/>
        <w:rPr>
          <w:rFonts w:hint="eastAsia" w:ascii="仿宋_GB2312" w:hAnsi="仿宋_GB2312" w:cs="仿宋_GB2312"/>
          <w:color w:val="000000"/>
          <w:sz w:val="32"/>
          <w:szCs w:val="32"/>
          <w:lang w:val="en-US" w:eastAsia="zh-CN"/>
        </w:rPr>
      </w:pPr>
    </w:p>
    <w:p>
      <w:pPr>
        <w:pStyle w:val="2"/>
        <w:ind w:firstLine="960" w:firstLineChars="300"/>
        <w:rPr>
          <w:rFonts w:hint="eastAsia" w:ascii="仿宋_GB2312" w:hAnsi="仿宋_GB2312" w:cs="仿宋_GB2312"/>
          <w:color w:val="000000"/>
          <w:sz w:val="32"/>
          <w:szCs w:val="32"/>
          <w:lang w:val="en-US" w:eastAsia="zh-CN"/>
        </w:rPr>
      </w:pPr>
    </w:p>
    <w:p>
      <w:pPr>
        <w:pStyle w:val="2"/>
        <w:ind w:firstLine="960" w:firstLineChars="300"/>
        <w:rPr>
          <w:rFonts w:hint="eastAsia" w:ascii="仿宋_GB2312" w:hAnsi="仿宋_GB2312" w:cs="仿宋_GB2312"/>
          <w:color w:val="000000"/>
          <w:sz w:val="32"/>
          <w:szCs w:val="32"/>
          <w:lang w:val="en-US" w:eastAsia="zh-CN"/>
        </w:rPr>
      </w:pPr>
    </w:p>
    <w:p>
      <w:pPr>
        <w:pStyle w:val="2"/>
        <w:ind w:firstLine="960" w:firstLineChars="300"/>
        <w:rPr>
          <w:rFonts w:hint="eastAsia" w:ascii="仿宋_GB2312" w:hAnsi="仿宋_GB2312" w:cs="仿宋_GB2312"/>
          <w:color w:val="000000"/>
          <w:sz w:val="32"/>
          <w:szCs w:val="32"/>
          <w:lang w:val="en-US" w:eastAsia="zh-CN"/>
        </w:rPr>
      </w:pPr>
    </w:p>
    <w:p>
      <w:pPr>
        <w:pStyle w:val="2"/>
        <w:ind w:firstLine="3200" w:firstLineChars="1000"/>
        <w:rPr>
          <w:rFonts w:hint="eastAsia" w:ascii="仿宋_GB2312" w:hAnsi="仿宋_GB2312" w:eastAsia="仿宋_GB2312" w:cs="仿宋_GB2312"/>
          <w:color w:val="000000"/>
          <w:sz w:val="32"/>
          <w:szCs w:val="32"/>
          <w:lang w:val="en-US" w:eastAsia="zh-CN"/>
        </w:rPr>
      </w:pPr>
      <w:r>
        <w:rPr>
          <w:rFonts w:hint="eastAsia" w:ascii="仿宋_GB2312" w:hAnsi="仿宋_GB2312" w:cs="仿宋_GB2312"/>
          <w:color w:val="000000"/>
          <w:sz w:val="32"/>
          <w:szCs w:val="32"/>
          <w:lang w:val="en-US" w:eastAsia="zh-CN"/>
        </w:rPr>
        <w:t xml:space="preserve">         咸阳市卫生健康委员会</w:t>
      </w: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kinsoku/>
        <w:wordWrap/>
        <w:overflowPunct/>
        <w:topLinePunct w:val="0"/>
        <w:autoSpaceDE w:val="0"/>
        <w:autoSpaceDN/>
        <w:bidi w:val="0"/>
        <w:adjustRightInd/>
        <w:snapToGrid/>
        <w:spacing w:before="157" w:beforeLines="50" w:line="600" w:lineRule="exact"/>
        <w:jc w:val="center"/>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202</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lang w:val="en-US" w:eastAsia="zh-CN"/>
        </w:rPr>
        <w:t>2</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lang w:val="en-US" w:eastAsia="zh-CN"/>
        </w:rPr>
        <w:t xml:space="preserve">24日  </w:t>
      </w:r>
      <w:bookmarkStart w:id="0" w:name="_GoBack"/>
      <w:bookmarkEnd w:id="0"/>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kinsoku/>
        <w:wordWrap/>
        <w:overflowPunct/>
        <w:topLinePunct w:val="0"/>
        <w:autoSpaceDE w:val="0"/>
        <w:autoSpaceDN/>
        <w:bidi w:val="0"/>
        <w:adjustRightInd/>
        <w:snapToGrid/>
        <w:spacing w:line="600" w:lineRule="exact"/>
        <w:jc w:val="center"/>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kinsoku/>
        <w:wordWrap/>
        <w:overflowPunct/>
        <w:topLinePunct w:val="0"/>
        <w:autoSpaceDE w:val="0"/>
        <w:autoSpaceDN/>
        <w:bidi w:val="0"/>
        <w:adjustRightInd/>
        <w:snapToGrid/>
        <w:spacing w:line="600" w:lineRule="exact"/>
        <w:jc w:val="center"/>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仿宋_GB2312" w:hAnsi="仿宋_GB2312" w:eastAsia="仿宋_GB2312" w:cs="仿宋_GB2312"/>
          <w:color w:val="000000"/>
          <w:sz w:val="32"/>
          <w:szCs w:val="32"/>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小标宋简体" w:hAnsi="方正小标宋简体" w:eastAsia="方正小标宋简体" w:cs="方正小标宋简体"/>
          <w:bCs/>
          <w:color w:val="auto"/>
          <w:sz w:val="44"/>
          <w:szCs w:val="44"/>
        </w:rPr>
      </w:pPr>
      <w:r>
        <w:rPr>
          <w:rFonts w:hint="eastAsia" w:ascii="方正小标宋简体" w:hAnsi="方正小标宋简体" w:eastAsia="方正小标宋简体" w:cs="方正小标宋简体"/>
          <w:bCs/>
          <w:color w:val="auto"/>
          <w:sz w:val="44"/>
          <w:szCs w:val="44"/>
        </w:rPr>
        <w:t>咸阳市基本医疗保险门诊慢特病</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小标宋简体" w:hAnsi="方正小标宋简体" w:eastAsia="方正小标宋简体" w:cs="方正小标宋简体"/>
          <w:bCs/>
          <w:color w:val="auto"/>
          <w:sz w:val="44"/>
          <w:szCs w:val="44"/>
        </w:rPr>
      </w:pPr>
      <w:r>
        <w:rPr>
          <w:rFonts w:hint="eastAsia" w:ascii="方正小标宋简体" w:hAnsi="方正小标宋简体" w:eastAsia="方正小标宋简体" w:cs="方正小标宋简体"/>
          <w:bCs/>
          <w:color w:val="auto"/>
          <w:sz w:val="44"/>
          <w:szCs w:val="44"/>
        </w:rPr>
        <w:t>实施细则（试行）</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方正小标宋简体" w:hAnsi="方正小标宋简体" w:eastAsia="方正小标宋简体" w:cs="方正小标宋简体"/>
          <w:bCs/>
          <w:color w:val="auto"/>
          <w:sz w:val="44"/>
          <w:szCs w:val="44"/>
        </w:rPr>
      </w:pP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jc w:val="center"/>
        <w:textAlignment w:val="auto"/>
        <w:rPr>
          <w:rFonts w:ascii="黑体" w:hAnsi="黑体" w:eastAsia="黑体" w:cs="黑体"/>
          <w:bCs/>
          <w:color w:val="auto"/>
          <w:sz w:val="32"/>
          <w:szCs w:val="32"/>
        </w:rPr>
      </w:pPr>
      <w:r>
        <w:rPr>
          <w:rFonts w:hint="eastAsia" w:ascii="黑体" w:hAnsi="黑体" w:eastAsia="黑体" w:cs="黑体"/>
          <w:bCs/>
          <w:color w:val="auto"/>
          <w:sz w:val="32"/>
          <w:szCs w:val="32"/>
        </w:rPr>
        <w:t>第一章  总  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第一条  为贯彻落实陕西省医疗保障局 陕西省财政厅 陕西省卫生健康委员会印发的《陕西省基本医疗保险门诊慢特病规范管理办法（试行）》（陕医保发</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2022</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18号）、陕西省医疗保障局《关于印发全省基本医疗保险门诊慢特病相关政策标准的通知》（陕医保发</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2022</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30号）和《关于统一全省基本医疗保险门诊慢特病管理的实施方案》（陕医保函</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2022</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202号）精神，建立公平适度的基本医疗保险待遇保障机制，规范基本医疗保险门诊慢性病、特殊病（以下简称“门诊慢特病”）管理，更好地满足参保人员医疗需求，根据基本医疗保险政策有关规定，结合我市实际，制定本细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 xml:space="preserve">第二条  </w:t>
      </w:r>
      <w:r>
        <w:rPr>
          <w:rFonts w:hint="eastAsia" w:ascii="仿宋" w:hAnsi="仿宋" w:eastAsia="仿宋" w:cs="仿宋_GB2312"/>
          <w:color w:val="auto"/>
          <w:sz w:val="32"/>
          <w:szCs w:val="32"/>
          <w:lang w:eastAsia="zh-CN"/>
        </w:rPr>
        <w:t>执行全</w:t>
      </w:r>
      <w:r>
        <w:rPr>
          <w:rFonts w:hint="eastAsia" w:ascii="仿宋" w:hAnsi="仿宋" w:eastAsia="仿宋" w:cs="仿宋_GB2312"/>
          <w:color w:val="auto"/>
          <w:sz w:val="32"/>
          <w:szCs w:val="32"/>
        </w:rPr>
        <w:t>省统一</w:t>
      </w:r>
      <w:r>
        <w:rPr>
          <w:rFonts w:hint="eastAsia" w:ascii="仿宋" w:hAnsi="仿宋" w:eastAsia="仿宋" w:cs="仿宋_GB2312"/>
          <w:color w:val="auto"/>
          <w:sz w:val="32"/>
          <w:szCs w:val="32"/>
          <w:lang w:eastAsia="zh-CN"/>
        </w:rPr>
        <w:t>建立</w:t>
      </w:r>
      <w:r>
        <w:rPr>
          <w:rFonts w:hint="eastAsia" w:ascii="仿宋" w:hAnsi="仿宋" w:eastAsia="仿宋" w:cs="仿宋_GB2312"/>
          <w:color w:val="auto"/>
          <w:sz w:val="32"/>
          <w:szCs w:val="32"/>
        </w:rPr>
        <w:t>的门诊慢特病政策名称。实施细则所称门诊慢特病指门诊大额慢性病与门诊特殊病的简称，是指在我市统筹区内，发病率高经济负担重或患病率低医药费用高、可以门诊治疗、不需要住院治疗的一类临床诊断明确、诊疗方案确定的慢性病或重大疾病的总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第三条  实行统一的保障范围。本实施细则适用于咸阳市职工基本医疗保险和城乡居民基本医疗保险的门诊慢特病规范管理。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第四条  明确职能职责。根据《陕西省基本医疗保险门诊慢特病病种鉴定通则》、《陕西省基本医疗保险门诊慢特病病种鉴定标准》和《陕西省基本医疗保险门诊慢特病病种待遇标准》建立健全我市门诊慢特病管理制度。市县两级医保经办机构负责病种认定、待遇支付、费用结算、协议管理等工作，定期调度医保基金运行状况，确保医保基金安全运行。市财政局按规定拨付基本医疗保险费用，确保参保人员按时享受门诊慢特病待遇。市卫生健康委员会督促定点医疗机构依据诊疗规范为门诊慢特病患者提供诊疗必须、安全有效、费用适宜的门诊诊治服务，按规定开展鉴定工作。</w:t>
      </w: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jc w:val="center"/>
        <w:textAlignment w:val="auto"/>
        <w:rPr>
          <w:rFonts w:ascii="黑体" w:hAnsi="黑体" w:eastAsia="黑体" w:cs="黑体"/>
          <w:bCs/>
          <w:color w:val="auto"/>
          <w:sz w:val="32"/>
          <w:szCs w:val="32"/>
        </w:rPr>
      </w:pPr>
      <w:r>
        <w:rPr>
          <w:rFonts w:hint="eastAsia" w:ascii="黑体" w:hAnsi="黑体" w:eastAsia="黑体" w:cs="黑体"/>
          <w:bCs/>
          <w:color w:val="auto"/>
          <w:sz w:val="32"/>
          <w:szCs w:val="32"/>
        </w:rPr>
        <w:t>第二章  病种管理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 xml:space="preserve">第五条  门诊慢特病病种统一按照省医疗保障局有关规定实行分类管理。分为门诊慢特病Ⅰ类、门诊慢特病Ⅱ类。 </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第六条  门诊慢特病Ⅰ类为全省统一管理规范实施的病种。其病种名称、鉴定标准统一按照省上有关规定执行，支付标准、复检时限按照我市统筹基金实际运行和经济发展情况设置，逐步向省医疗保障局规定标准过渡。本细则实施前按我市已开展但不在全省规定的门诊慢特病Ⅰ类中的病种归为门诊慢特病Ⅱ类，继续保留并保障待遇，不再新增保障对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门诊慢特病Ⅰ类共51种，包括：高血压；糖尿病；高脂血症；恶性肿瘤门诊治疗；器官移植抗排异治疗；脑血管病后遗症(脑卒中后遗症)；肺结核活动期（包括耐药性结核病）；精神病（包括精神分裂症、双相障碍、妄想性障碍、分裂情感性障碍；癫痫性精神病、重度以上精神发育迟滞）；透析（含血液透析、腹膜透析）；氟骨病；大骨节病；克山病；儿童苯丙酮尿症；四氢生物蝶呤缺乏症；甲状腺功能异常；血友病；再生障碍性贫血；白血病门诊治疗；慢性粒细胞白血病；儿童白血病；癫痫；脑瘫；慢性阻塞性肺疾病；支气管哮喘；特发性肺间质纤维化；冠心病；肺源性心脏病；慢性心力衰竭；心脏瓣膜病；风湿性心脏病；心肌病；病毒性肝炎；肝硬化失代偿期；慢性肾功能不全失代偿期；肾病综合征；慢性肾炎；慢性肾小球肾炎；免疫性血小板减少症；生长激素缺乏症；强直性脊柱炎；类风湿性关节炎；慢性骨髓炎；帕金森病；系统性红斑狼疮；银屑病；中枢神经系统脱髓鞘疾病；运动神经元病；股骨头坏死；系统性硬化症；肝豆状核变性；重症肌无力。</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门诊慢特病Ⅱ类共</w:t>
      </w:r>
      <w:r>
        <w:rPr>
          <w:rFonts w:hint="eastAsia" w:ascii="仿宋" w:hAnsi="仿宋" w:eastAsia="仿宋" w:cs="仿宋_GB2312"/>
          <w:color w:val="auto"/>
          <w:sz w:val="32"/>
          <w:szCs w:val="32"/>
          <w:lang w:val="en-US" w:eastAsia="zh-CN"/>
        </w:rPr>
        <w:t>4</w:t>
      </w:r>
      <w:r>
        <w:rPr>
          <w:rFonts w:hint="eastAsia" w:ascii="仿宋" w:hAnsi="仿宋" w:eastAsia="仿宋" w:cs="仿宋_GB2312"/>
          <w:color w:val="auto"/>
          <w:sz w:val="32"/>
          <w:szCs w:val="32"/>
        </w:rPr>
        <w:t>个病种</w:t>
      </w:r>
      <w:r>
        <w:rPr>
          <w:rFonts w:hint="eastAsia" w:ascii="仿宋" w:hAnsi="仿宋" w:eastAsia="仿宋" w:cs="仿宋_GB2312"/>
          <w:color w:val="auto"/>
          <w:sz w:val="32"/>
          <w:szCs w:val="32"/>
          <w:lang w:eastAsia="zh-CN"/>
        </w:rPr>
        <w:t>，包括：</w:t>
      </w:r>
      <w:r>
        <w:rPr>
          <w:rFonts w:hint="eastAsia" w:ascii="仿宋" w:hAnsi="仿宋" w:eastAsia="仿宋" w:cs="仿宋_GB2312"/>
          <w:color w:val="auto"/>
          <w:sz w:val="32"/>
          <w:szCs w:val="32"/>
        </w:rPr>
        <w:t>阿尔茨海默病</w:t>
      </w:r>
      <w:r>
        <w:rPr>
          <w:rFonts w:hint="eastAsia" w:ascii="仿宋" w:hAnsi="仿宋" w:eastAsia="仿宋" w:cs="仿宋_GB2312"/>
          <w:color w:val="auto"/>
          <w:sz w:val="32"/>
          <w:szCs w:val="32"/>
          <w:lang w:eastAsia="zh-CN"/>
        </w:rPr>
        <w:t>、偏瘫、骨髓异常增生综合症、硬皮病</w:t>
      </w:r>
      <w:r>
        <w:rPr>
          <w:rFonts w:hint="eastAsia" w:ascii="仿宋" w:hAnsi="仿宋" w:eastAsia="仿宋"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jc w:val="center"/>
        <w:textAlignment w:val="auto"/>
        <w:rPr>
          <w:rFonts w:hint="eastAsia" w:ascii="黑体" w:hAnsi="黑体" w:eastAsia="黑体" w:cs="黑体"/>
          <w:bCs/>
          <w:color w:val="auto"/>
          <w:sz w:val="32"/>
          <w:szCs w:val="32"/>
        </w:rPr>
      </w:pPr>
      <w:r>
        <w:rPr>
          <w:rFonts w:hint="eastAsia" w:ascii="黑体" w:hAnsi="黑体" w:eastAsia="黑体" w:cs="黑体"/>
          <w:bCs/>
          <w:color w:val="auto"/>
          <w:sz w:val="32"/>
          <w:szCs w:val="32"/>
        </w:rPr>
        <w:t>第三章  待遇保障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第七条  城镇职工与城乡居民门诊慢特病医保待遇与缴费水平相挂钩，医保基金分别支付</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分</w:t>
      </w:r>
      <w:r>
        <w:rPr>
          <w:rFonts w:hint="eastAsia" w:ascii="仿宋" w:hAnsi="仿宋" w:eastAsia="仿宋" w:cs="仿宋_GB2312"/>
          <w:color w:val="auto"/>
          <w:sz w:val="32"/>
          <w:szCs w:val="32"/>
          <w:lang w:eastAsia="zh-CN"/>
        </w:rPr>
        <w:t>账</w:t>
      </w:r>
      <w:r>
        <w:rPr>
          <w:rFonts w:hint="eastAsia" w:ascii="仿宋" w:hAnsi="仿宋" w:eastAsia="仿宋" w:cs="仿宋_GB2312"/>
          <w:color w:val="auto"/>
          <w:sz w:val="32"/>
          <w:szCs w:val="32"/>
        </w:rPr>
        <w:t xml:space="preserve">核算。 </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第八条  门诊慢特病支付范围包括与疾病相关的符合基本医疗保险用药目录、诊疗项目范围、医疗服务设施范围和支付标准内的检查、检验、药品、治疗、特殊材料等医疗费用。与疾病无关或上述目录外的检查、检验、药品、治疗、特殊材料等费用不予支付。鼓励中西医结合治疗门诊慢特病，支持中医适宜技术和中草药在门诊慢特病治疗中的应用。门诊慢特病支付范围不设置病种用药，凡与疾病（含并发症、合并症）相关的治疗或辅助治疗的药品均可支付，用药范围按照《国家基本医疗保险、工伤保险和生育保险药品目录》分类执行，特药保障按相关政策执行。</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第九条  门诊慢特病待遇按参保年度设置（见附件）。门诊慢特病Ⅰ类、Ⅱ类年起付标准统一为360元（部分病种除外），城乡居民、城镇职工政策范围内乙类支付项目个人按5%先行自付后医保基金支付比例分别不低于70%、85%，城镇职工进入大额医疗补助后与基本医疗报销标准一致。按照病种分别设置基金支付最高限额和复检年限</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年度支付限额均纳入本人基本医疗保险、大额医疗补助统筹基金年度最高支付限额内管理。异地人员与市内执行同一标准。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第十条  门诊慢特病待遇支付实行年度参保、年度享受，以自然年度为待遇周期</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参保人员取得门诊慢特病身份后</w:t>
      </w:r>
      <w:r>
        <w:rPr>
          <w:rFonts w:hint="eastAsia" w:ascii="仿宋" w:hAnsi="仿宋" w:eastAsia="仿宋" w:cs="仿宋_GB2312"/>
          <w:color w:val="auto"/>
          <w:sz w:val="32"/>
          <w:szCs w:val="32"/>
          <w:lang w:eastAsia="zh-CN"/>
        </w:rPr>
        <w:t>，有起付标准金的病种</w:t>
      </w:r>
      <w:r>
        <w:rPr>
          <w:rFonts w:hint="eastAsia" w:ascii="仿宋" w:hAnsi="仿宋" w:eastAsia="仿宋" w:cs="仿宋_GB2312"/>
          <w:color w:val="auto"/>
          <w:sz w:val="32"/>
          <w:szCs w:val="32"/>
        </w:rPr>
        <w:t>次月开始享受待遇（住院期间除外）</w:t>
      </w:r>
      <w:r>
        <w:rPr>
          <w:rFonts w:hint="eastAsia" w:ascii="仿宋" w:hAnsi="仿宋" w:eastAsia="仿宋" w:cs="仿宋_GB2312"/>
          <w:color w:val="auto"/>
          <w:sz w:val="32"/>
          <w:szCs w:val="32"/>
          <w:lang w:eastAsia="zh-CN"/>
        </w:rPr>
        <w:t>，无起付标准金的病种当月享受待遇</w:t>
      </w:r>
      <w:r>
        <w:rPr>
          <w:rFonts w:hint="eastAsia" w:ascii="仿宋" w:hAnsi="仿宋" w:eastAsia="仿宋" w:cs="仿宋_GB2312"/>
          <w:color w:val="auto"/>
          <w:sz w:val="32"/>
          <w:szCs w:val="32"/>
        </w:rPr>
        <w:t>（住院期间除外）</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初次认定门诊慢特病身份年度的最高支付限额为该病种年度最高支付限额月平均值乘以剩余月份数确定，起付标准金按30元乘以剩余月份数确定。新政策执行后，原享受门诊特殊病人员所对应的病种起付标准金为30元乘以当年未享受月份数，对应的病种无起付标准金的不再支付起付标准金，统筹费用累加计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第十一条  参保人员罹患多种门诊慢特病</w:t>
      </w:r>
      <w:r>
        <w:rPr>
          <w:rFonts w:hint="eastAsia" w:ascii="仿宋" w:hAnsi="仿宋" w:eastAsia="仿宋" w:cs="仿宋_GB2312"/>
          <w:color w:val="auto"/>
          <w:sz w:val="32"/>
          <w:szCs w:val="32"/>
          <w:lang w:eastAsia="zh-CN"/>
        </w:rPr>
        <w:t>，在我市保障病种</w:t>
      </w:r>
      <w:r>
        <w:rPr>
          <w:rFonts w:hint="eastAsia" w:ascii="仿宋" w:hAnsi="仿宋" w:eastAsia="仿宋" w:cs="仿宋_GB2312"/>
          <w:color w:val="auto"/>
          <w:sz w:val="32"/>
          <w:szCs w:val="32"/>
        </w:rPr>
        <w:t>范围</w:t>
      </w:r>
      <w:r>
        <w:rPr>
          <w:rFonts w:hint="eastAsia" w:ascii="仿宋" w:hAnsi="仿宋" w:eastAsia="仿宋" w:cs="仿宋_GB2312"/>
          <w:color w:val="auto"/>
          <w:sz w:val="32"/>
          <w:szCs w:val="32"/>
          <w:lang w:eastAsia="zh-CN"/>
        </w:rPr>
        <w:t>内的</w:t>
      </w:r>
      <w:r>
        <w:rPr>
          <w:rFonts w:hint="eastAsia" w:ascii="仿宋" w:hAnsi="仿宋" w:eastAsia="仿宋" w:cs="仿宋_GB2312"/>
          <w:color w:val="auto"/>
          <w:sz w:val="32"/>
          <w:szCs w:val="32"/>
        </w:rPr>
        <w:t>，允许同时申报两种门诊慢特病，只计一次起付标准，年度最高支付限额按照申报病种支付限额最高的病种加第二个病种限额的1/2确定。参保人员申请</w:t>
      </w:r>
      <w:r>
        <w:rPr>
          <w:rFonts w:hint="eastAsia" w:ascii="仿宋" w:hAnsi="仿宋" w:eastAsia="仿宋" w:cs="仿宋_GB2312"/>
          <w:color w:val="auto"/>
          <w:sz w:val="32"/>
          <w:szCs w:val="32"/>
          <w:lang w:eastAsia="zh-CN"/>
        </w:rPr>
        <w:t>的</w:t>
      </w:r>
      <w:r>
        <w:rPr>
          <w:rFonts w:hint="eastAsia" w:ascii="仿宋" w:hAnsi="仿宋" w:eastAsia="仿宋" w:cs="仿宋_GB2312"/>
          <w:color w:val="auto"/>
          <w:sz w:val="32"/>
          <w:szCs w:val="32"/>
        </w:rPr>
        <w:t>病种</w:t>
      </w:r>
      <w:r>
        <w:rPr>
          <w:rFonts w:hint="eastAsia" w:ascii="仿宋" w:hAnsi="仿宋" w:eastAsia="仿宋" w:cs="仿宋_GB2312"/>
          <w:color w:val="auto"/>
          <w:sz w:val="32"/>
          <w:szCs w:val="32"/>
          <w:lang w:eastAsia="zh-CN"/>
        </w:rPr>
        <w:t>中包含一种既</w:t>
      </w:r>
      <w:r>
        <w:rPr>
          <w:rFonts w:hint="eastAsia" w:ascii="仿宋" w:hAnsi="仿宋" w:eastAsia="仿宋" w:cs="仿宋_GB2312"/>
          <w:color w:val="auto"/>
          <w:sz w:val="32"/>
          <w:szCs w:val="32"/>
        </w:rPr>
        <w:t>无起付标准金</w:t>
      </w:r>
      <w:r>
        <w:rPr>
          <w:rFonts w:hint="eastAsia" w:ascii="仿宋" w:hAnsi="仿宋" w:eastAsia="仿宋" w:cs="仿宋_GB2312"/>
          <w:color w:val="auto"/>
          <w:sz w:val="32"/>
          <w:szCs w:val="32"/>
          <w:lang w:eastAsia="zh-CN"/>
        </w:rPr>
        <w:t>又无年度最高支付限额</w:t>
      </w:r>
      <w:r>
        <w:rPr>
          <w:rFonts w:hint="eastAsia" w:ascii="仿宋" w:hAnsi="仿宋" w:eastAsia="仿宋" w:cs="仿宋_GB2312"/>
          <w:color w:val="auto"/>
          <w:sz w:val="32"/>
          <w:szCs w:val="32"/>
        </w:rPr>
        <w:t>的，只计一次起付标准，不设最高支付限额。</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第十二条  职工符合门诊慢特病规定发生的医药费用，执行门诊慢特病支付政策，超过对应病种年度限额的政策范围内费用，可按普通门诊统筹政策支付（单笔门诊慢特病结算后，个人承担部分不得纳入门诊统筹结算）；在门诊产生的其他费用按普通门诊统筹政策直接支付。门诊统筹政策范围内医疗费用统筹基金支付剩余部分，可使用个人账户结算，确有困难的，</w:t>
      </w:r>
      <w:r>
        <w:rPr>
          <w:rFonts w:hint="eastAsia" w:ascii="仿宋" w:hAnsi="仿宋" w:eastAsia="仿宋" w:cs="仿宋_GB2312"/>
          <w:bCs/>
          <w:color w:val="auto"/>
          <w:sz w:val="32"/>
          <w:szCs w:val="32"/>
        </w:rPr>
        <w:t>按规定纳入医疗救助范围。</w:t>
      </w:r>
      <w:r>
        <w:rPr>
          <w:rFonts w:hint="eastAsia" w:ascii="仿宋" w:hAnsi="仿宋" w:eastAsia="仿宋" w:cs="仿宋_GB2312"/>
          <w:color w:val="auto"/>
          <w:sz w:val="32"/>
          <w:szCs w:val="32"/>
        </w:rPr>
        <w:t>城镇职工、城乡居民医保门诊慢特病医疗费用经慢特病政策支付后，个人负担的政策范围内医疗费用分别纳入职工大病保险、城乡居民大病保险、医疗救助等保障范围。</w:t>
      </w: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jc w:val="center"/>
        <w:textAlignment w:val="auto"/>
        <w:rPr>
          <w:rFonts w:hint="eastAsia" w:ascii="黑体" w:hAnsi="黑体" w:eastAsia="黑体" w:cs="黑体"/>
          <w:bCs/>
          <w:color w:val="auto"/>
          <w:sz w:val="32"/>
          <w:szCs w:val="32"/>
        </w:rPr>
      </w:pPr>
      <w:r>
        <w:rPr>
          <w:rFonts w:hint="eastAsia" w:ascii="黑体" w:hAnsi="黑体" w:eastAsia="黑体" w:cs="黑体"/>
          <w:bCs/>
          <w:color w:val="auto"/>
          <w:sz w:val="32"/>
          <w:szCs w:val="32"/>
        </w:rPr>
        <w:t>第四章  资格认定</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rPr>
          <w:rFonts w:hint="eastAsia" w:ascii="仿宋" w:hAnsi="仿宋" w:eastAsia="仿宋" w:cs="仿宋_GB2312"/>
          <w:color w:val="auto"/>
          <w:sz w:val="32"/>
          <w:szCs w:val="32"/>
        </w:rPr>
      </w:pPr>
      <w:r>
        <w:rPr>
          <w:rFonts w:hint="eastAsia" w:ascii="仿宋" w:hAnsi="仿宋" w:eastAsia="仿宋" w:cs="仿宋_GB2312"/>
          <w:color w:val="auto"/>
          <w:sz w:val="32"/>
          <w:szCs w:val="32"/>
        </w:rPr>
        <w:t>第十三条 门诊慢特病病种诊断标准按照《陕西省基本医疗保险门诊慢特病规范管理办法（试行）》（陕医保发</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2022</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18号）中的《陕西省基本医疗保险门诊慢特病病种鉴定通则》、《陕西省基本医疗保险门诊慢特病病种鉴定标准》执行，门诊慢特病待遇享受标准根据我市基金承受能力确定。</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第十四条  门诊慢特病鉴定由具备资质和鉴定能力的医保定点医疗机构负责完成，定点医疗机构无法确定的特殊病例由经办机构组织认定。定点医疗机构负责定期向同级医保经办机构通过线上或线下方式报送通过和未通过人员，并及时将通过人员信息准确登记到医保信息系统中。同时，医保经办机构重点对初次鉴定未通过后又重复鉴定通过人员进行复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第十五条  市县医保经办机构委托满足条件的二级及以上定点医疗机构、有资质的相关机构作为全市城镇职工和城乡居民（含异地人员）门诊慢特病鉴定定点机构（专科医院只限鉴定相关病种），门诊慢特病鉴定专门机构组成鉴定专家组，专家组应由副主任医师级别以上医生组建，组织并实施申请人员的鉴定工作。承担鉴定工作的定点医疗机构不得推诿、刁难申请门诊慢特病患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第十六条  原门诊特殊病、门诊大额慢性病和统一政策后门诊慢特病待遇享受人员待遇期限满前三个月内按照相关规定重新申请鉴定，确保待遇连续享受。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第十七条  申请鉴定材料包括四类：基本材料，包括医保电子凭证或社保卡、身份证原件复印件等身份证明；申请材料，包括门诊慢特病申请鉴定表及相关病历等材料；病历材料，包括病历、诊断证明书、相关检查、化验报告复印件等；个别病种鉴定中其它必要的证明材料，包括其它部门、其它保险类型需说明的材料等。</w:t>
      </w: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jc w:val="center"/>
        <w:textAlignment w:val="auto"/>
        <w:rPr>
          <w:rFonts w:ascii="黑体" w:hAnsi="黑体" w:eastAsia="黑体" w:cs="黑体"/>
          <w:bCs/>
          <w:color w:val="auto"/>
          <w:sz w:val="32"/>
          <w:szCs w:val="32"/>
        </w:rPr>
      </w:pPr>
      <w:r>
        <w:rPr>
          <w:rFonts w:hint="eastAsia" w:ascii="黑体" w:hAnsi="黑体" w:eastAsia="黑体" w:cs="黑体"/>
          <w:bCs/>
          <w:color w:val="auto"/>
          <w:sz w:val="32"/>
          <w:szCs w:val="32"/>
        </w:rPr>
        <w:t>第五章  服务管理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第十八条</w:t>
      </w:r>
      <w:r>
        <w:rPr>
          <w:rFonts w:hint="eastAsia" w:ascii="仿宋" w:hAnsi="仿宋" w:eastAsia="仿宋" w:cs="仿宋_GB2312"/>
          <w:color w:val="auto"/>
          <w:sz w:val="32"/>
          <w:szCs w:val="32"/>
          <w:lang w:val="en-US" w:eastAsia="zh-CN"/>
        </w:rPr>
        <w:t xml:space="preserve">  </w:t>
      </w:r>
      <w:r>
        <w:rPr>
          <w:rFonts w:hint="eastAsia" w:ascii="仿宋" w:hAnsi="仿宋" w:eastAsia="仿宋" w:cs="仿宋_GB2312"/>
          <w:color w:val="auto"/>
          <w:sz w:val="32"/>
          <w:szCs w:val="32"/>
        </w:rPr>
        <w:t>医保经办机构采取委托定点医疗机构直接受理和经办机构设立专门窗口受理，参保单位代办、网上申报等方式提供慢</w:t>
      </w:r>
      <w:r>
        <w:rPr>
          <w:rFonts w:hint="eastAsia" w:ascii="仿宋" w:hAnsi="仿宋" w:eastAsia="仿宋" w:cs="仿宋_GB2312"/>
          <w:color w:val="auto"/>
          <w:sz w:val="32"/>
          <w:szCs w:val="32"/>
          <w:lang w:eastAsia="zh-CN"/>
        </w:rPr>
        <w:t>特</w:t>
      </w:r>
      <w:r>
        <w:rPr>
          <w:rFonts w:hint="eastAsia" w:ascii="仿宋" w:hAnsi="仿宋" w:eastAsia="仿宋" w:cs="仿宋_GB2312"/>
          <w:color w:val="auto"/>
          <w:sz w:val="32"/>
          <w:szCs w:val="32"/>
        </w:rPr>
        <w:t>病业务窗口服务。门诊慢特病申请鉴定实行即时申请、即时鉴定、统筹区域内通办原则，鉴定机构在收到患者申请材料</w:t>
      </w:r>
      <w:r>
        <w:rPr>
          <w:rFonts w:hint="eastAsia" w:ascii="仿宋" w:hAnsi="仿宋" w:eastAsia="仿宋" w:cs="仿宋_GB2312"/>
          <w:bCs/>
          <w:color w:val="auto"/>
          <w:sz w:val="32"/>
          <w:szCs w:val="32"/>
        </w:rPr>
        <w:t>10个工作日</w:t>
      </w:r>
      <w:r>
        <w:rPr>
          <w:rFonts w:hint="eastAsia" w:ascii="仿宋" w:hAnsi="仿宋" w:eastAsia="仿宋" w:cs="仿宋_GB2312"/>
          <w:color w:val="auto"/>
          <w:sz w:val="32"/>
          <w:szCs w:val="32"/>
        </w:rPr>
        <w:t>完成鉴定并进行备案和信息确认，为慢</w:t>
      </w:r>
      <w:r>
        <w:rPr>
          <w:rFonts w:hint="eastAsia" w:ascii="仿宋" w:hAnsi="仿宋" w:eastAsia="仿宋" w:cs="仿宋_GB2312"/>
          <w:color w:val="auto"/>
          <w:sz w:val="32"/>
          <w:szCs w:val="32"/>
          <w:lang w:eastAsia="zh-CN"/>
        </w:rPr>
        <w:t>特</w:t>
      </w:r>
      <w:r>
        <w:rPr>
          <w:rFonts w:hint="eastAsia" w:ascii="仿宋" w:hAnsi="仿宋" w:eastAsia="仿宋" w:cs="仿宋_GB2312"/>
          <w:color w:val="auto"/>
          <w:sz w:val="32"/>
          <w:szCs w:val="32"/>
        </w:rPr>
        <w:t>病患者在定点医药机构就医购药提供直接结算。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第十九条  承担门诊慢特病鉴定的医疗机构配合医保经办机构充分利用“互联网+”、各类信息平台和内网系统完成慢性病的申报、确认、待遇支付等工作的同时，应保留线下服务渠道，方便确有线上申报困难的参保人员申报、鉴定。</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第二十条  门诊慢特病患者医保关系转移接续时，转入和转出地均有同病种的，其门诊慢特病身份同步转移，关系转入地医保经办机构不再进行重新鉴定或认定，按照转出地备案和相关信息资料予以确认，并按照本统筹区同病种待遇按月计算年度内剩余月份的待遇限额。转入地无同种病种的，门诊慢特病待遇关系不做转移处理，待遇保障自然结束。门诊慢特病患者身份转换时，待遇按照转换后身份有关制度享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第二十一条  门诊慢特病用药实行“双通道”保障，所有具备条件的定点医疗机构和定点药店均可开展门诊慢特病用药保障服务。门诊慢特病治疗和用药实行年度费用限额和用药量管理。享受门诊慢特病待遇患者可以根据自己病情需要选择我市任意一家定点医药机构就医购药（无起付标准金病种仅限</w:t>
      </w:r>
      <w:r>
        <w:rPr>
          <w:rFonts w:hint="eastAsia" w:ascii="仿宋" w:hAnsi="仿宋" w:eastAsia="仿宋" w:cs="仿宋_GB2312"/>
          <w:color w:val="auto"/>
          <w:sz w:val="32"/>
          <w:szCs w:val="32"/>
          <w:lang w:eastAsia="zh-CN"/>
        </w:rPr>
        <w:t>定点</w:t>
      </w:r>
      <w:r>
        <w:rPr>
          <w:rFonts w:hint="eastAsia" w:ascii="仿宋" w:hAnsi="仿宋" w:eastAsia="仿宋" w:cs="仿宋_GB2312"/>
          <w:color w:val="auto"/>
          <w:sz w:val="32"/>
          <w:szCs w:val="32"/>
        </w:rPr>
        <w:t>医疗机构），支付个人承担费用后，剩余部分由定点医药机构与医保经办机构按照服务协议有关规定结算。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第二十二条  定点医药机构认真执行《门诊长期处方管理》要求，可根据病情治疗需要确定患者药物种类和用量，规范处方用药管理，处方原则不超过一个月使用量，长期处方用药量应当经过医师严格评估，最长不超过三个月。</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第二十三条  市县医保经办机构应将服务向基层延伸，探索建立门诊慢特病从出院到办理的快捷服务通道，进一步方便群众。可结合辖区医保经办服务队伍建设和我市定点医疗机构技术和条件，对因行动不便、年纪大、失能卧床等原因不能到达鉴定机构的或不具备线上申报条件的参保人员，组织管理人员和鉴定专家开展上门服务，或通过远程智能方式完成鉴定和认定工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第二十四条  异地享受门诊慢特病人员，应通过异地结算平台即时结算，未结算的，</w:t>
      </w:r>
      <w:r>
        <w:rPr>
          <w:rFonts w:hint="eastAsia" w:ascii="仿宋" w:hAnsi="仿宋" w:eastAsia="仿宋" w:cs="仿宋_GB2312"/>
          <w:bCs/>
          <w:color w:val="auto"/>
          <w:sz w:val="32"/>
          <w:szCs w:val="32"/>
        </w:rPr>
        <w:t>一个待遇自然年度（限执行起付标准金病种）或一个治疗周期（限无起付标准金病种）结束后</w:t>
      </w:r>
      <w:r>
        <w:rPr>
          <w:rFonts w:hint="eastAsia" w:ascii="仿宋" w:hAnsi="仿宋" w:eastAsia="仿宋" w:cs="仿宋_GB2312"/>
          <w:color w:val="auto"/>
          <w:sz w:val="32"/>
          <w:szCs w:val="32"/>
        </w:rPr>
        <w:t>，持处方、发票、社保卡或医保电子凭证等资料在参保所在地经办机构报销。</w:t>
      </w: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jc w:val="center"/>
        <w:textAlignment w:val="auto"/>
        <w:rPr>
          <w:rFonts w:ascii="黑体" w:hAnsi="黑体" w:eastAsia="黑体" w:cs="黑体"/>
          <w:bCs/>
          <w:color w:val="auto"/>
          <w:sz w:val="32"/>
          <w:szCs w:val="32"/>
        </w:rPr>
      </w:pPr>
      <w:r>
        <w:rPr>
          <w:rFonts w:hint="eastAsia" w:ascii="黑体" w:hAnsi="黑体" w:eastAsia="黑体" w:cs="黑体"/>
          <w:bCs/>
          <w:color w:val="auto"/>
          <w:sz w:val="32"/>
          <w:szCs w:val="32"/>
        </w:rPr>
        <w:t>第六章  监督管理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第二十五条  市县医保经办机构应将门诊慢特病管理纳入定点医药机构、医保医师协议管理范畴，开展定期核查和复审，加强对门诊慢特病病种认定、医疗服务及药品保障服务等行为的日常管理和监督检查。</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第二十六条  各定点医药机构应及时上传资格认定和费用结算信息，不得结算与病种无关的费用。门诊慢特病服务机构须做好认定资料及就医购药的处方、发票、结算单据等存档保管工作。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第二十七条 门诊慢特病用药必须严格遵守合理用药、因病施治原则，做到“人与病、病与症、症与药、药与量、量与价”五相符，确保门诊慢特病患者科学、合理、安全用药。</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第二十八条  各定点医药机构和鉴定专家组成员应严格执行门诊慢特病鉴定相关规范要求，禁止扩大鉴定病种范围，严禁人情鉴定或无正当理由拒绝鉴定等行为。医保经办机构在检查复审中发现相关违规行为，可依据医保定点协议管理要求进行处理，情节严重的医师和机构纳入医保协议医师管理和涉嫌欺诈骗保范围，按相关规定处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第二十九条  对涉嫌骗取医保基金的参保人员、医务人员、医疗机构、经办人员等一经查实，按照《医疗保障基金使用监督管理条例》有关规定执行。</w:t>
      </w:r>
    </w:p>
    <w:p>
      <w:pPr>
        <w:keepNext w:val="0"/>
        <w:keepLines w:val="0"/>
        <w:pageBreakBefore w:val="0"/>
        <w:widowControl w:val="0"/>
        <w:kinsoku/>
        <w:wordWrap/>
        <w:overflowPunct/>
        <w:topLinePunct w:val="0"/>
        <w:autoSpaceDE/>
        <w:autoSpaceDN/>
        <w:bidi w:val="0"/>
        <w:adjustRightInd/>
        <w:snapToGrid/>
        <w:spacing w:before="251" w:beforeLines="80" w:after="251" w:afterLines="80" w:line="540" w:lineRule="exact"/>
        <w:jc w:val="center"/>
        <w:textAlignment w:val="auto"/>
        <w:rPr>
          <w:rFonts w:ascii="黑体" w:hAnsi="黑体" w:eastAsia="黑体" w:cs="黑体"/>
          <w:bCs/>
          <w:color w:val="auto"/>
          <w:sz w:val="32"/>
          <w:szCs w:val="32"/>
        </w:rPr>
      </w:pPr>
      <w:r>
        <w:rPr>
          <w:rFonts w:hint="eastAsia" w:ascii="黑体" w:hAnsi="黑体" w:eastAsia="黑体" w:cs="黑体"/>
          <w:bCs/>
          <w:color w:val="auto"/>
          <w:sz w:val="32"/>
          <w:szCs w:val="32"/>
        </w:rPr>
        <w:t>第七章  附  则</w:t>
      </w:r>
    </w:p>
    <w:p>
      <w:pPr>
        <w:keepNext w:val="0"/>
        <w:keepLines w:val="0"/>
        <w:pageBreakBefore w:val="0"/>
        <w:widowControl w:val="0"/>
        <w:kinsoku/>
        <w:wordWrap/>
        <w:overflowPunct/>
        <w:topLinePunct w:val="0"/>
        <w:autoSpaceDE/>
        <w:autoSpaceDN/>
        <w:bidi w:val="0"/>
        <w:adjustRightInd/>
        <w:snapToGrid/>
        <w:spacing w:line="540" w:lineRule="exact"/>
        <w:ind w:left="0"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第三十条</w:t>
      </w:r>
      <w:r>
        <w:rPr>
          <w:rFonts w:hint="eastAsia" w:ascii="仿宋" w:hAnsi="仿宋" w:eastAsia="仿宋" w:cs="仿宋_GB2312"/>
          <w:color w:val="auto"/>
          <w:sz w:val="32"/>
          <w:szCs w:val="32"/>
          <w:lang w:val="en-US" w:eastAsia="zh-CN"/>
        </w:rPr>
        <w:t xml:space="preserve">  </w:t>
      </w:r>
      <w:r>
        <w:rPr>
          <w:rFonts w:hint="eastAsia" w:ascii="仿宋" w:hAnsi="仿宋" w:eastAsia="仿宋" w:cs="仿宋_GB2312"/>
          <w:color w:val="auto"/>
          <w:sz w:val="32"/>
          <w:szCs w:val="32"/>
        </w:rPr>
        <w:t>本</w:t>
      </w:r>
      <w:r>
        <w:rPr>
          <w:rFonts w:hint="eastAsia" w:ascii="仿宋" w:hAnsi="仿宋" w:eastAsia="仿宋" w:cs="仿宋_GB2312"/>
          <w:color w:val="auto"/>
          <w:sz w:val="32"/>
          <w:szCs w:val="32"/>
          <w:lang w:eastAsia="zh-CN"/>
        </w:rPr>
        <w:t>实施</w:t>
      </w:r>
      <w:r>
        <w:rPr>
          <w:rFonts w:hint="eastAsia" w:ascii="仿宋" w:hAnsi="仿宋" w:eastAsia="仿宋" w:cs="仿宋_GB2312"/>
          <w:color w:val="auto"/>
          <w:sz w:val="32"/>
          <w:szCs w:val="32"/>
        </w:rPr>
        <w:t>细则试用期二年。如遇国家有关医保制度政策变化进行调整,本</w:t>
      </w:r>
      <w:r>
        <w:rPr>
          <w:rFonts w:hint="eastAsia" w:ascii="仿宋" w:hAnsi="仿宋" w:eastAsia="仿宋" w:cs="仿宋_GB2312"/>
          <w:color w:val="auto"/>
          <w:sz w:val="32"/>
          <w:szCs w:val="32"/>
          <w:lang w:eastAsia="zh-CN"/>
        </w:rPr>
        <w:t>实施细则</w:t>
      </w:r>
      <w:r>
        <w:rPr>
          <w:rFonts w:hint="eastAsia" w:ascii="仿宋" w:hAnsi="仿宋" w:eastAsia="仿宋" w:cs="仿宋_GB2312"/>
          <w:color w:val="auto"/>
          <w:sz w:val="32"/>
          <w:szCs w:val="32"/>
        </w:rPr>
        <w:t>由</w:t>
      </w:r>
      <w:r>
        <w:rPr>
          <w:rFonts w:hint="eastAsia" w:ascii="仿宋" w:hAnsi="仿宋" w:eastAsia="仿宋" w:cs="仿宋_GB2312"/>
          <w:color w:val="auto"/>
          <w:sz w:val="32"/>
          <w:szCs w:val="32"/>
          <w:lang w:eastAsia="zh-CN"/>
        </w:rPr>
        <w:t>咸阳</w:t>
      </w:r>
      <w:r>
        <w:rPr>
          <w:rFonts w:hint="eastAsia" w:ascii="仿宋" w:hAnsi="仿宋" w:eastAsia="仿宋" w:cs="仿宋_GB2312"/>
          <w:color w:val="auto"/>
          <w:sz w:val="32"/>
          <w:szCs w:val="32"/>
        </w:rPr>
        <w:t>市医疗保障行政部门负责修订。具体经办流程按</w:t>
      </w:r>
      <w:r>
        <w:rPr>
          <w:rFonts w:hint="eastAsia" w:ascii="仿宋" w:hAnsi="仿宋" w:eastAsia="仿宋" w:cs="仿宋_GB2312"/>
          <w:color w:val="auto"/>
          <w:sz w:val="32"/>
          <w:szCs w:val="32"/>
          <w:lang w:eastAsia="zh-CN"/>
        </w:rPr>
        <w:t>《咸阳市医疗保障局关于印发咸阳市门诊慢特病业务经办流程的通知》（</w:t>
      </w:r>
      <w:r>
        <w:rPr>
          <w:rFonts w:hint="eastAsia" w:ascii="仿宋" w:hAnsi="仿宋" w:eastAsia="仿宋" w:cs="仿宋_GB2312"/>
          <w:color w:val="auto"/>
          <w:sz w:val="32"/>
          <w:szCs w:val="32"/>
        </w:rPr>
        <w:t>咸医保发</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2022</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44号</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执行。</w:t>
      </w:r>
    </w:p>
    <w:p>
      <w:pPr>
        <w:keepNext w:val="0"/>
        <w:keepLines w:val="0"/>
        <w:pageBreakBefore w:val="0"/>
        <w:widowControl w:val="0"/>
        <w:kinsoku/>
        <w:wordWrap/>
        <w:overflowPunct/>
        <w:topLinePunct w:val="0"/>
        <w:autoSpaceDE/>
        <w:autoSpaceDN/>
        <w:bidi w:val="0"/>
        <w:adjustRightInd/>
        <w:snapToGrid/>
        <w:spacing w:line="540" w:lineRule="exact"/>
        <w:ind w:left="0"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第三十一条</w:t>
      </w:r>
      <w:r>
        <w:rPr>
          <w:rFonts w:hint="eastAsia" w:ascii="仿宋" w:hAnsi="仿宋" w:eastAsia="仿宋" w:cs="仿宋_GB2312"/>
          <w:color w:val="auto"/>
          <w:sz w:val="32"/>
          <w:szCs w:val="32"/>
          <w:lang w:val="en-US" w:eastAsia="zh-CN"/>
        </w:rPr>
        <w:t xml:space="preserve">  </w:t>
      </w:r>
      <w:r>
        <w:rPr>
          <w:rFonts w:hint="eastAsia" w:ascii="仿宋" w:hAnsi="仿宋" w:eastAsia="仿宋" w:cs="仿宋_GB2312"/>
          <w:color w:val="auto"/>
          <w:sz w:val="32"/>
          <w:szCs w:val="32"/>
        </w:rPr>
        <w:t>原门诊特殊病、门诊大额慢性病、国家谈判药品及特殊药品支付管理相关政策与本</w:t>
      </w:r>
      <w:r>
        <w:rPr>
          <w:rFonts w:hint="eastAsia" w:ascii="仿宋" w:hAnsi="仿宋" w:eastAsia="仿宋" w:cs="仿宋_GB2312"/>
          <w:color w:val="auto"/>
          <w:sz w:val="32"/>
          <w:szCs w:val="32"/>
          <w:lang w:eastAsia="zh-CN"/>
        </w:rPr>
        <w:t>实施</w:t>
      </w:r>
      <w:r>
        <w:rPr>
          <w:rFonts w:hint="eastAsia" w:ascii="仿宋" w:hAnsi="仿宋" w:eastAsia="仿宋" w:cs="仿宋_GB2312"/>
          <w:color w:val="auto"/>
          <w:sz w:val="32"/>
          <w:szCs w:val="32"/>
        </w:rPr>
        <w:t>细则不一致的，</w:t>
      </w:r>
      <w:r>
        <w:rPr>
          <w:rFonts w:hint="eastAsia" w:ascii="仿宋" w:hAnsi="仿宋" w:eastAsia="仿宋" w:cs="仿宋_GB2312"/>
          <w:color w:val="auto"/>
          <w:sz w:val="32"/>
          <w:szCs w:val="32"/>
          <w:lang w:eastAsia="zh-CN"/>
        </w:rPr>
        <w:t>按</w:t>
      </w:r>
      <w:r>
        <w:rPr>
          <w:rFonts w:hint="eastAsia" w:ascii="仿宋" w:hAnsi="仿宋" w:eastAsia="仿宋" w:cs="仿宋_GB2312"/>
          <w:color w:val="auto"/>
          <w:sz w:val="32"/>
          <w:szCs w:val="32"/>
        </w:rPr>
        <w:t>本实施细则有关规定执行。</w:t>
      </w:r>
    </w:p>
    <w:p>
      <w:pPr>
        <w:keepNext w:val="0"/>
        <w:keepLines w:val="0"/>
        <w:pageBreakBefore w:val="0"/>
        <w:widowControl w:val="0"/>
        <w:kinsoku/>
        <w:wordWrap/>
        <w:overflowPunct/>
        <w:topLinePunct w:val="0"/>
        <w:autoSpaceDE/>
        <w:autoSpaceDN/>
        <w:bidi w:val="0"/>
        <w:adjustRightInd/>
        <w:snapToGrid/>
        <w:spacing w:line="540" w:lineRule="exact"/>
        <w:ind w:left="0" w:firstLine="640" w:firstLineChars="200"/>
        <w:textAlignment w:val="auto"/>
        <w:rPr>
          <w:rFonts w:ascii="仿宋" w:hAnsi="仿宋" w:eastAsia="仿宋" w:cs="仿宋_GB2312"/>
          <w:bCs/>
          <w:color w:val="auto"/>
          <w:sz w:val="32"/>
          <w:szCs w:val="32"/>
        </w:rPr>
      </w:pPr>
      <w:r>
        <w:rPr>
          <w:rFonts w:hint="eastAsia" w:ascii="仿宋" w:hAnsi="仿宋" w:eastAsia="仿宋" w:cs="仿宋_GB2312"/>
          <w:color w:val="auto"/>
          <w:sz w:val="32"/>
          <w:szCs w:val="32"/>
        </w:rPr>
        <w:t>第三十二条  本</w:t>
      </w:r>
      <w:r>
        <w:rPr>
          <w:rFonts w:hint="eastAsia" w:ascii="仿宋" w:hAnsi="仿宋" w:eastAsia="仿宋" w:cs="仿宋_GB2312"/>
          <w:color w:val="auto"/>
          <w:sz w:val="32"/>
          <w:szCs w:val="32"/>
          <w:lang w:eastAsia="zh-CN"/>
        </w:rPr>
        <w:t>实施细则</w:t>
      </w:r>
      <w:r>
        <w:rPr>
          <w:rFonts w:hint="eastAsia" w:ascii="仿宋" w:hAnsi="仿宋" w:eastAsia="仿宋" w:cs="仿宋_GB2312"/>
          <w:color w:val="auto"/>
          <w:sz w:val="32"/>
          <w:szCs w:val="32"/>
        </w:rPr>
        <w:t>由</w:t>
      </w:r>
      <w:r>
        <w:rPr>
          <w:rFonts w:hint="eastAsia" w:ascii="仿宋" w:hAnsi="仿宋" w:eastAsia="仿宋" w:cs="仿宋_GB2312"/>
          <w:color w:val="auto"/>
          <w:sz w:val="32"/>
          <w:szCs w:val="32"/>
          <w:lang w:eastAsia="zh-CN"/>
        </w:rPr>
        <w:t>咸阳</w:t>
      </w:r>
      <w:r>
        <w:rPr>
          <w:rFonts w:hint="eastAsia" w:ascii="仿宋" w:hAnsi="仿宋" w:eastAsia="仿宋" w:cs="仿宋_GB2312"/>
          <w:color w:val="auto"/>
          <w:sz w:val="32"/>
          <w:szCs w:val="32"/>
        </w:rPr>
        <w:t>市医疗保障行政部门负责解释，</w:t>
      </w:r>
      <w:r>
        <w:rPr>
          <w:rFonts w:hint="eastAsia" w:ascii="仿宋" w:hAnsi="仿宋" w:eastAsia="仿宋" w:cs="仿宋_GB2312"/>
          <w:bCs/>
          <w:color w:val="auto"/>
          <w:sz w:val="32"/>
          <w:szCs w:val="32"/>
        </w:rPr>
        <w:t>自2023年</w:t>
      </w:r>
      <w:r>
        <w:rPr>
          <w:rFonts w:hint="eastAsia" w:ascii="仿宋" w:hAnsi="仿宋" w:eastAsia="仿宋" w:cs="仿宋_GB2312"/>
          <w:bCs/>
          <w:color w:val="auto"/>
          <w:sz w:val="32"/>
          <w:szCs w:val="32"/>
          <w:lang w:val="en-US" w:eastAsia="zh-CN"/>
        </w:rPr>
        <w:t>1</w:t>
      </w:r>
      <w:r>
        <w:rPr>
          <w:rFonts w:hint="eastAsia" w:ascii="仿宋" w:hAnsi="仿宋" w:eastAsia="仿宋" w:cs="仿宋_GB2312"/>
          <w:bCs/>
          <w:color w:val="auto"/>
          <w:sz w:val="32"/>
          <w:szCs w:val="32"/>
        </w:rPr>
        <w:t>月</w:t>
      </w:r>
      <w:r>
        <w:rPr>
          <w:rFonts w:hint="eastAsia" w:ascii="仿宋" w:hAnsi="仿宋" w:eastAsia="仿宋" w:cs="仿宋_GB2312"/>
          <w:bCs/>
          <w:color w:val="auto"/>
          <w:sz w:val="32"/>
          <w:szCs w:val="32"/>
          <w:lang w:val="en-US" w:eastAsia="zh-CN"/>
        </w:rPr>
        <w:t>1</w:t>
      </w:r>
      <w:r>
        <w:rPr>
          <w:rFonts w:hint="eastAsia" w:ascii="仿宋" w:hAnsi="仿宋" w:eastAsia="仿宋" w:cs="仿宋_GB2312"/>
          <w:bCs/>
          <w:color w:val="auto"/>
          <w:sz w:val="32"/>
          <w:szCs w:val="32"/>
        </w:rPr>
        <w:t>日起试行。</w:t>
      </w:r>
    </w:p>
    <w:p>
      <w:pPr>
        <w:keepNext w:val="0"/>
        <w:keepLines w:val="0"/>
        <w:pageBreakBefore w:val="0"/>
        <w:widowControl w:val="0"/>
        <w:kinsoku/>
        <w:wordWrap/>
        <w:overflowPunct/>
        <w:topLinePunct w:val="0"/>
        <w:autoSpaceDE/>
        <w:autoSpaceDN/>
        <w:bidi w:val="0"/>
        <w:adjustRightInd/>
        <w:snapToGrid/>
        <w:spacing w:line="540" w:lineRule="exact"/>
        <w:ind w:left="0" w:firstLine="640" w:firstLineChars="200"/>
        <w:textAlignment w:val="auto"/>
        <w:rPr>
          <w:rFonts w:hint="eastAsia" w:ascii="仿宋_GB2312" w:hAnsi="仿宋_GB2312" w:eastAsia="仿宋_GB2312" w:cs="仿宋_GB2312"/>
          <w:color w:val="auto"/>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40" w:lineRule="exact"/>
        <w:ind w:left="0"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附件：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 w:hAnsi="仿宋" w:eastAsia="仿宋" w:cs="仿宋_GB2312"/>
          <w:color w:val="auto"/>
          <w:sz w:val="32"/>
          <w:szCs w:val="32"/>
          <w:lang w:eastAsia="zh-CN"/>
        </w:rPr>
      </w:pPr>
      <w:r>
        <w:rPr>
          <w:rFonts w:hint="eastAsia" w:ascii="仿宋" w:hAnsi="仿宋" w:eastAsia="仿宋" w:cs="仿宋_GB2312"/>
          <w:color w:val="auto"/>
          <w:sz w:val="32"/>
          <w:szCs w:val="32"/>
        </w:rPr>
        <w:t>1.</w:t>
      </w:r>
      <w:r>
        <w:rPr>
          <w:rFonts w:hint="eastAsia" w:ascii="仿宋" w:hAnsi="仿宋" w:eastAsia="仿宋" w:cs="仿宋"/>
          <w:color w:val="auto"/>
          <w:sz w:val="32"/>
          <w:szCs w:val="32"/>
        </w:rPr>
        <w:t>咸阳市基本医疗保险门诊慢特病</w:t>
      </w:r>
      <w:r>
        <w:rPr>
          <w:rFonts w:hint="eastAsia" w:ascii="仿宋" w:hAnsi="仿宋" w:eastAsia="仿宋" w:cs="仿宋"/>
          <w:color w:val="auto"/>
          <w:sz w:val="32"/>
          <w:szCs w:val="32"/>
          <w:lang w:eastAsia="zh-CN"/>
        </w:rPr>
        <w:t>病</w:t>
      </w:r>
      <w:r>
        <w:rPr>
          <w:rFonts w:hint="eastAsia" w:ascii="仿宋" w:hAnsi="仿宋" w:eastAsia="仿宋" w:cs="仿宋_GB2312"/>
          <w:color w:val="auto"/>
          <w:sz w:val="32"/>
          <w:szCs w:val="32"/>
        </w:rPr>
        <w:t>种鉴定标准（暂行）</w:t>
      </w:r>
      <w:r>
        <w:rPr>
          <w:rFonts w:hint="eastAsia" w:ascii="仿宋" w:hAnsi="仿宋" w:eastAsia="仿宋"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textAlignment w:val="auto"/>
        <w:rPr>
          <w:rFonts w:hint="eastAsia" w:ascii="仿宋" w:hAnsi="仿宋" w:eastAsia="仿宋" w:cs="仿宋_GB2312"/>
          <w:color w:val="auto"/>
          <w:sz w:val="32"/>
          <w:szCs w:val="32"/>
          <w:lang w:val="en" w:eastAsia="zh-CN"/>
        </w:rPr>
      </w:pPr>
      <w:r>
        <w:rPr>
          <w:rFonts w:hint="eastAsia" w:ascii="仿宋" w:hAnsi="仿宋" w:eastAsia="仿宋" w:cs="仿宋_GB2312"/>
          <w:color w:val="auto"/>
          <w:sz w:val="32"/>
          <w:szCs w:val="32"/>
        </w:rPr>
        <w:t xml:space="preserve">    2.咸阳市基本医疗保险门诊慢特病申请认定表</w:t>
      </w:r>
      <w:r>
        <w:rPr>
          <w:rFonts w:hint="eastAsia" w:ascii="仿宋" w:hAnsi="仿宋" w:eastAsia="仿宋"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firstLine="640"/>
        <w:textAlignment w:val="auto"/>
        <w:rPr>
          <w:rFonts w:hint="eastAsia" w:ascii="仿宋" w:hAnsi="仿宋" w:eastAsia="仿宋" w:cs="仿宋"/>
          <w:color w:val="auto"/>
          <w:sz w:val="32"/>
          <w:szCs w:val="32"/>
        </w:rPr>
      </w:pPr>
      <w:r>
        <w:rPr>
          <w:rFonts w:hint="eastAsia" w:ascii="仿宋" w:hAnsi="仿宋" w:eastAsia="仿宋" w:cs="仿宋_GB2312"/>
          <w:color w:val="auto"/>
          <w:sz w:val="32"/>
          <w:szCs w:val="32"/>
        </w:rPr>
        <w:t>3.</w:t>
      </w:r>
      <w:r>
        <w:rPr>
          <w:rFonts w:hint="eastAsia" w:ascii="仿宋" w:hAnsi="仿宋" w:eastAsia="仿宋" w:cs="仿宋"/>
          <w:color w:val="auto"/>
          <w:sz w:val="32"/>
          <w:szCs w:val="32"/>
        </w:rPr>
        <w:t>咸阳市基本医疗保险门诊慢特病待遇标准</w:t>
      </w:r>
    </w:p>
    <w:p>
      <w:pPr>
        <w:keepNext w:val="0"/>
        <w:keepLines w:val="0"/>
        <w:pageBreakBefore w:val="0"/>
        <w:widowControl w:val="0"/>
        <w:kinsoku/>
        <w:wordWrap/>
        <w:overflowPunct/>
        <w:topLinePunct w:val="0"/>
        <w:autoSpaceDE/>
        <w:autoSpaceDN/>
        <w:bidi w:val="0"/>
        <w:adjustRightInd/>
        <w:snapToGrid/>
        <w:spacing w:line="540" w:lineRule="exact"/>
        <w:ind w:left="0" w:firstLine="640"/>
        <w:textAlignment w:val="auto"/>
        <w:rPr>
          <w:rFonts w:hint="eastAsia" w:ascii="仿宋" w:hAnsi="仿宋" w:eastAsia="仿宋" w:cs="仿宋"/>
          <w:color w:val="auto"/>
          <w:sz w:val="32"/>
          <w:szCs w:val="32"/>
          <w:lang w:val="en" w:eastAsia="zh-CN"/>
        </w:rPr>
      </w:pPr>
      <w:r>
        <w:rPr>
          <w:rFonts w:hint="eastAsia" w:ascii="仿宋" w:hAnsi="仿宋" w:eastAsia="仿宋" w:cs="宋体"/>
          <w:color w:val="auto"/>
          <w:kern w:val="0"/>
          <w:sz w:val="32"/>
          <w:szCs w:val="32"/>
          <w:lang w:eastAsia="zh-CN"/>
        </w:rPr>
        <w:t>　</w:t>
      </w:r>
      <w:r>
        <w:rPr>
          <w:rFonts w:hint="eastAsia" w:ascii="仿宋" w:hAnsi="仿宋" w:eastAsia="仿宋" w:cs="宋体"/>
          <w:color w:val="auto"/>
          <w:kern w:val="0"/>
          <w:sz w:val="32"/>
          <w:szCs w:val="32"/>
        </w:rPr>
        <w:t>(</w:t>
      </w:r>
      <w:r>
        <w:rPr>
          <w:rFonts w:hint="eastAsia" w:ascii="仿宋" w:hAnsi="仿宋" w:eastAsia="仿宋" w:cs="仿宋_GB2312"/>
          <w:color w:val="auto"/>
          <w:sz w:val="32"/>
          <w:szCs w:val="32"/>
        </w:rPr>
        <w:t>Ⅰ类、Ⅱ类)</w:t>
      </w:r>
      <w:r>
        <w:rPr>
          <w:rFonts w:hint="eastAsia" w:ascii="仿宋" w:hAnsi="仿宋" w:eastAsia="仿宋"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721"/>
        <w:jc w:val="left"/>
        <w:textAlignment w:val="auto"/>
        <w:rPr>
          <w:rFonts w:ascii="仿宋" w:hAnsi="仿宋" w:eastAsia="仿宋" w:cs="仿宋"/>
          <w:color w:val="auto"/>
          <w:sz w:val="36"/>
          <w:szCs w:val="36"/>
        </w:rPr>
      </w:pPr>
    </w:p>
    <w:p>
      <w:pPr>
        <w:keepNext w:val="0"/>
        <w:keepLines w:val="0"/>
        <w:pageBreakBefore w:val="0"/>
        <w:widowControl w:val="0"/>
        <w:kinsoku/>
        <w:wordWrap/>
        <w:overflowPunct/>
        <w:topLinePunct w:val="0"/>
        <w:autoSpaceDE/>
        <w:autoSpaceDN/>
        <w:bidi w:val="0"/>
        <w:adjustRightInd/>
        <w:snapToGrid/>
        <w:spacing w:line="540" w:lineRule="exact"/>
        <w:ind w:left="721"/>
        <w:jc w:val="left"/>
        <w:textAlignment w:val="auto"/>
        <w:rPr>
          <w:rFonts w:ascii="仿宋" w:hAnsi="仿宋" w:eastAsia="仿宋" w:cs="仿宋"/>
          <w:color w:val="auto"/>
          <w:sz w:val="36"/>
          <w:szCs w:val="36"/>
        </w:rPr>
      </w:pPr>
    </w:p>
    <w:p>
      <w:pPr>
        <w:keepNext w:val="0"/>
        <w:keepLines w:val="0"/>
        <w:pageBreakBefore w:val="0"/>
        <w:widowControl w:val="0"/>
        <w:kinsoku/>
        <w:wordWrap/>
        <w:overflowPunct/>
        <w:topLinePunct w:val="0"/>
        <w:autoSpaceDE/>
        <w:autoSpaceDN/>
        <w:bidi w:val="0"/>
        <w:adjustRightInd/>
        <w:snapToGrid/>
        <w:spacing w:line="540" w:lineRule="exact"/>
        <w:ind w:left="721"/>
        <w:jc w:val="left"/>
        <w:textAlignment w:val="auto"/>
        <w:rPr>
          <w:rFonts w:ascii="仿宋" w:hAnsi="仿宋" w:eastAsia="仿宋" w:cs="仿宋"/>
          <w:color w:val="auto"/>
          <w:sz w:val="36"/>
          <w:szCs w:val="36"/>
        </w:rPr>
      </w:pPr>
    </w:p>
    <w:p>
      <w:pPr>
        <w:keepNext w:val="0"/>
        <w:keepLines w:val="0"/>
        <w:pageBreakBefore w:val="0"/>
        <w:widowControl w:val="0"/>
        <w:kinsoku/>
        <w:wordWrap/>
        <w:overflowPunct/>
        <w:topLinePunct w:val="0"/>
        <w:autoSpaceDE/>
        <w:autoSpaceDN/>
        <w:bidi w:val="0"/>
        <w:adjustRightInd/>
        <w:snapToGrid/>
        <w:spacing w:line="540" w:lineRule="exact"/>
        <w:ind w:left="4"/>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附件1</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Arial"/>
          <w:color w:val="auto"/>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方正小标宋简体" w:hAnsi="方正小标宋简体" w:eastAsia="方正小标宋简体" w:cs="方正小标宋简体"/>
          <w:color w:val="auto"/>
          <w:sz w:val="36"/>
          <w:szCs w:val="36"/>
        </w:rPr>
      </w:pPr>
      <w:r>
        <w:rPr>
          <w:rFonts w:hint="eastAsia" w:ascii="方正小标宋简体" w:hAnsi="方正小标宋简体" w:eastAsia="方正小标宋简体" w:cs="方正小标宋简体"/>
          <w:color w:val="auto"/>
          <w:sz w:val="36"/>
          <w:szCs w:val="36"/>
        </w:rPr>
        <w:t>咸阳市基本医疗保险门诊慢特病病种鉴定标准</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方正小标宋简体" w:hAnsi="方正小标宋简体" w:eastAsia="方正小标宋简体" w:cs="方正小标宋简体"/>
          <w:color w:val="auto"/>
          <w:sz w:val="36"/>
          <w:szCs w:val="36"/>
        </w:rPr>
      </w:pPr>
      <w:r>
        <w:rPr>
          <w:rFonts w:hint="eastAsia" w:ascii="方正小标宋简体" w:hAnsi="方正小标宋简体" w:eastAsia="方正小标宋简体" w:cs="方正小标宋简体"/>
          <w:color w:val="auto"/>
          <w:sz w:val="36"/>
          <w:szCs w:val="36"/>
        </w:rPr>
        <w:t>(暂行)</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 w:hAnsi="仿宋" w:eastAsia="仿宋"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rPr>
          <w:rFonts w:ascii="仿宋" w:hAnsi="仿宋" w:eastAsia="仿宋" w:cs="仿宋_GB2312"/>
          <w:b/>
          <w:bCs/>
          <w:color w:val="auto"/>
          <w:sz w:val="32"/>
          <w:szCs w:val="32"/>
        </w:rPr>
      </w:pPr>
      <w:r>
        <w:rPr>
          <w:rFonts w:hint="eastAsia" w:ascii="仿宋" w:hAnsi="仿宋" w:eastAsia="仿宋" w:cs="仿宋_GB2312"/>
          <w:b/>
          <w:bCs/>
          <w:color w:val="auto"/>
          <w:sz w:val="32"/>
          <w:szCs w:val="32"/>
        </w:rPr>
        <w:t>一、高血压(包括分期高血压和并发症)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临床确诊高血压，并具备下列并发症之一者：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1.脑血管意外(包括腔隙性脑梗塞及症状、短暂性脑缺血发作)或高血压脑病；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2.高血压性心脏疾病(心肌梗塞、心绞痛、心力衰竭等);</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3.高血压肾病；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4.眼底出血，渗出或视乳头水肿。</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二、糖尿病(包括并发症)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符合糖尿病诊断标准的所有类型糖尿病，包括I型糖尿病、LADA、Ⅱ 型糖尿病：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1.I型糖尿病(可不伴并发症);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符合下列(2)(3)(4)(5)并发症其中一条：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Ⅱ型糖尿病伴并发症：(1)临床确诊糖尿病，有三年以上病史；(2)有慢性并发症(心、脑、肾、眼、周围神经病变、周围血管病变等并发症既往史)的临床表现及相应并发症检查资料；(3)糖尿病合并周围神经病变需附肌电或感应阈值检查报告(显示阳性);(4)糖尿病合并周围血管病变需附下肢血管彩超提示有斑块形成。(5)尿ACR尿微量蛋白肌酐比值大于等于30mg/g。</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三、高脂血症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空腹静脉血浆检查以下指标至少1项异常：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1.总胆固醇≥5.2mmo1/L,甘油三脂≥2.3mmo1/L,低密度脂蛋白≥3.1mmo1/L；</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2.已行降脂治疗或颈部动脉、下肢动脉有粥样斑块形成，高密度脂蛋白胆固醇&lt;1.0mmo1/L。</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四、恶性肿瘤门诊治疗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 w:hAnsi="仿宋" w:eastAsia="仿宋" w:cs="仿宋_GB2312"/>
          <w:color w:val="auto"/>
          <w:sz w:val="32"/>
          <w:szCs w:val="32"/>
        </w:rPr>
      </w:pPr>
      <w:r>
        <w:rPr>
          <w:rFonts w:hint="eastAsia" w:ascii="仿宋" w:hAnsi="仿宋" w:eastAsia="仿宋" w:cs="仿宋_GB2312"/>
          <w:color w:val="auto"/>
          <w:sz w:val="32"/>
          <w:szCs w:val="32"/>
        </w:rPr>
        <w:t>符合诊断条件1条或(和)2条的：</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1.临床已确诊恶性肿瘤；</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2.病理诊断报告或相关影像学检查支持恶性肿瘤的诊断。</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五、器官移植抗排异治疗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有器官移植病史。</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六、脑血管病后遗症(脑卒中后遗症)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脑血管病发病后6个月以上，且神经功能缺损程度评分4分以上的患者。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七、肺结核活动期(包括耐药性结核病)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(一)肺结核活动期</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以下第(1)条单独出现不能诊断，需结合第(2)- (5)中任</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仿宋" w:hAnsi="仿宋" w:eastAsia="仿宋" w:cs="仿宋_GB2312"/>
          <w:color w:val="auto"/>
          <w:sz w:val="32"/>
          <w:szCs w:val="32"/>
          <w:lang w:eastAsia="zh-CN"/>
        </w:rPr>
      </w:pPr>
      <w:r>
        <w:rPr>
          <w:rFonts w:hint="eastAsia" w:ascii="仿宋" w:hAnsi="仿宋" w:eastAsia="仿宋" w:cs="仿宋_GB2312"/>
          <w:color w:val="auto"/>
          <w:sz w:val="32"/>
          <w:szCs w:val="32"/>
        </w:rPr>
        <w:t>意一项可诊断，第(2)- (5)具备1条或1条以上可诊断</w:t>
      </w:r>
      <w:r>
        <w:rPr>
          <w:rFonts w:hint="eastAsia" w:ascii="仿宋" w:hAnsi="仿宋" w:eastAsia="仿宋"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(1)有肺结核接触史，或具有常见结核病临床表现；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(2)结核菌涂片阳性或结核菌培养阳性；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(3)胸部影像有与活动性结核相符的病变；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(4)支气管镜检查符合结核改变；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(5)病理学检查符合结核病病理改变。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lang w:val="en-US" w:eastAsia="zh-CN"/>
        </w:rPr>
        <w:t>2.</w:t>
      </w:r>
      <w:r>
        <w:rPr>
          <w:rFonts w:hint="eastAsia" w:ascii="仿宋" w:hAnsi="仿宋" w:eastAsia="仿宋" w:cs="仿宋_GB2312"/>
          <w:color w:val="auto"/>
          <w:sz w:val="32"/>
          <w:szCs w:val="32"/>
        </w:rPr>
        <w:t>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 xml:space="preserve">(二)耐药性结核病 </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(1)符合结核(包括肺结核)临床表现；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(2)结核病相关实验室检查阳性；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(3)结核病影像检查有活动性改变；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(4)药敏试验证实对一种或多种一线二线结核药物具有耐药性。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八、精神病(包括精神分裂症、双相障碍、妄想性障碍、分裂情感性障碍；癫痫性精神病、重度以上精神发育迟滞)</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1.依据《国际疾病分类第10版》(ICD-10)诊断标准确诊；</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2.提供精神病专科医院或综合医院精神卫生科门诊或住院病历。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九、透析(含血液透析、腹膜透析)</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1.临床相关诊断明确，有明显慢性肾功能衰竭症状；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2.有肾功能异常：尿素氮、血肌酐值符合失代偿期诊断标准，且必须透析治疗；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3.有明确的长期慢性肾病疾病(CKD)病史并同时符合以下实验室检查结果(肌酐≥707.2;内生肌酐清除率≤5-10ml/min.糖尿病及60岁以上，肌酐≥528;内生肌酐清除率≤15ml/min,尿素氮≥28.6mmo1/L,血钾≥6.5mmo1/L作为参考标准。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十、氟骨病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1.出生并居住在地方性氟中毒病区或出生后迁居病区1年以上，颈、腰和四肢大关节疼痛，肢体运动功能障碍以及骨和关节X线征象异常，诊断为中、重度的氟骨症病例；</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2.流行病学及病历资料(临床症状、体征等)、专业医生开具的诊断书；</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3.颈、腰、骨盆、四肢大关节(3个部位以上)的影像学资料(X线检查、CT、核磁等)。</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十一、大骨节病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1.具有病区接触史(6个月以上),有多发性、对称性手指关节 增粗或短指(趾)畸形等体征并排除其他相关疾病，临床诊断为大骨节病Ⅱ度及以上的病例；</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2.手部或踝关节侧位X线片具有大骨节病X线征象，X线诊断为大骨节病中度及以上的病例。</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十二、克山病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1.在克山病病区连续生活6个月以上，具有心肌病或心功能不全的临床表现；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2.心电图、X线胸片或心脏彩超检查，排除包括心肌病在内的其他心脏疾病；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3.心功能Ⅱ级及以上者。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十三、儿童苯丙酮尿症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1.三级综合医院或专科医院临床明确诊断为苯丙酮尿症，新生儿筛查并复查发现血Phe浓度升高或出现相关临床表现；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2.血Phe&gt;120umo1/L(2mg/d1),Phe/Tyr&gt;2</w:t>
      </w:r>
      <w:r>
        <w:rPr>
          <w:rFonts w:hint="eastAsia" w:ascii="仿宋" w:hAnsi="仿宋" w:eastAsia="仿宋" w:cs="仿宋_GB2312"/>
          <w:color w:val="auto"/>
          <w:sz w:val="32"/>
          <w:szCs w:val="32"/>
          <w:lang w:val="en-US" w:eastAsia="zh-CN"/>
        </w:rPr>
        <w:t>.</w:t>
      </w:r>
      <w:r>
        <w:rPr>
          <w:rFonts w:hint="eastAsia" w:ascii="仿宋" w:hAnsi="仿宋" w:eastAsia="仿宋" w:cs="仿宋_GB2312"/>
          <w:color w:val="auto"/>
          <w:sz w:val="32"/>
          <w:szCs w:val="32"/>
        </w:rPr>
        <w:t>0和(或)基因检测发现两个PAH等位基因均在致病变异；</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3.血Phe浓度、尿蝶呤谱分析及血DHPR测定等检测结果符合各类高苯丙胺酸血症。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十四、四氢生物蝶呤缺乏症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1.三级综合医院或专科医院临床明确诊断；</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2.血Phc&gt;120umo1/L(2mg/d1),Phe/Tyr&gt;2</w:t>
      </w:r>
      <w:r>
        <w:rPr>
          <w:rFonts w:hint="eastAsia" w:ascii="仿宋" w:hAnsi="仿宋" w:eastAsia="仿宋" w:cs="仿宋_GB2312"/>
          <w:color w:val="auto"/>
          <w:sz w:val="32"/>
          <w:szCs w:val="32"/>
          <w:lang w:val="en-US" w:eastAsia="zh-CN"/>
        </w:rPr>
        <w:t>.</w:t>
      </w:r>
      <w:r>
        <w:rPr>
          <w:rFonts w:hint="eastAsia" w:ascii="仿宋" w:hAnsi="仿宋" w:eastAsia="仿宋" w:cs="仿宋_GB2312"/>
          <w:color w:val="auto"/>
          <w:sz w:val="32"/>
          <w:szCs w:val="32"/>
        </w:rPr>
        <w:t>0;</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3.尿蝶呤谱分析符合四氢生物蝶呤缺乏症表现和基因突变位点检测异常；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4.新生儿筛查并复查发现血Phc&gt;120umo/L(2mg/d1)。</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十五、甲状腺功能异常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1.甲状腺功能亢进</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符合以下(1)(2)条或(3)条或(1)(2)(3)条：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(1)具备甲状腺功能亢进症的临床表现和体征；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(2)血清TT3 、TT4 、FT3 、FT4开高， TSH 降低；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(3)甲状腺彩超：弥漫性肿大、血流增快、呈“火海症”。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2.甲状腺功能减退</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(1)具备甲状腺功能减退症的临床表现和体征；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(2)血清TT3 、TT4 、FT3 、FT4 降低， TSH升高；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(3)需长期替代药物治疗；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十六、血友病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同时具备</w:t>
      </w:r>
      <w:r>
        <w:rPr>
          <w:color w:val="auto"/>
        </w:rPr>
        <w:fldChar w:fldCharType="begin"/>
      </w:r>
      <w:r>
        <w:rPr>
          <w:color w:val="auto"/>
        </w:rPr>
        <w:instrText xml:space="preserve"> HYPERLINK "https://1.2.3.4" </w:instrText>
      </w:r>
      <w:r>
        <w:rPr>
          <w:color w:val="auto"/>
        </w:rPr>
        <w:fldChar w:fldCharType="separate"/>
      </w:r>
      <w:r>
        <w:rPr>
          <w:rFonts w:hint="eastAsia" w:ascii="仿宋" w:hAnsi="仿宋" w:eastAsia="仿宋" w:cs="仿宋_GB2312"/>
          <w:color w:val="auto"/>
          <w:sz w:val="32"/>
          <w:szCs w:val="32"/>
        </w:rPr>
        <w:t>1.2.3.4</w:t>
      </w:r>
      <w:r>
        <w:rPr>
          <w:rFonts w:hint="eastAsia" w:ascii="仿宋" w:hAnsi="仿宋" w:eastAsia="仿宋" w:cs="仿宋_GB2312"/>
          <w:color w:val="auto"/>
          <w:sz w:val="32"/>
          <w:szCs w:val="32"/>
        </w:rPr>
        <w:fldChar w:fldCharType="end"/>
      </w:r>
      <w:r>
        <w:rPr>
          <w:rFonts w:hint="eastAsia" w:ascii="仿宋" w:hAnsi="仿宋" w:eastAsia="仿宋" w:cs="仿宋_GB2312"/>
          <w:color w:val="auto"/>
          <w:sz w:val="32"/>
          <w:szCs w:val="32"/>
        </w:rPr>
        <w:t>条或</w:t>
      </w:r>
      <w:r>
        <w:rPr>
          <w:color w:val="auto"/>
        </w:rPr>
        <w:fldChar w:fldCharType="begin"/>
      </w:r>
      <w:r>
        <w:rPr>
          <w:color w:val="auto"/>
        </w:rPr>
        <w:instrText xml:space="preserve"> HYPERLINK "https://1.2.3.5" </w:instrText>
      </w:r>
      <w:r>
        <w:rPr>
          <w:color w:val="auto"/>
        </w:rPr>
        <w:fldChar w:fldCharType="separate"/>
      </w:r>
      <w:r>
        <w:rPr>
          <w:rFonts w:hint="eastAsia" w:ascii="仿宋" w:hAnsi="仿宋" w:eastAsia="仿宋" w:cs="仿宋_GB2312"/>
          <w:color w:val="auto"/>
          <w:sz w:val="32"/>
          <w:szCs w:val="32"/>
        </w:rPr>
        <w:t>1.2.3.5</w:t>
      </w:r>
      <w:r>
        <w:rPr>
          <w:rFonts w:hint="eastAsia" w:ascii="仿宋" w:hAnsi="仿宋" w:eastAsia="仿宋" w:cs="仿宋_GB2312"/>
          <w:color w:val="auto"/>
          <w:sz w:val="32"/>
          <w:szCs w:val="32"/>
        </w:rPr>
        <w:fldChar w:fldCharType="end"/>
      </w:r>
      <w:r>
        <w:rPr>
          <w:rFonts w:hint="eastAsia" w:ascii="仿宋" w:hAnsi="仿宋" w:eastAsia="仿宋" w:cs="仿宋_GB2312"/>
          <w:color w:val="auto"/>
          <w:sz w:val="32"/>
          <w:szCs w:val="32"/>
        </w:rPr>
        <w:t>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1.有或无家族史，有家族史者符合性联隐形遗传规律；</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2.有关节、肌肉、深部组织出血，活动过久、用力、创伤或手术后异常出血史；</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3.实验室检查结果阳性；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4.有明确(活动性)出血症状：如关节、肌肉、部组织出血或实验室检查结果为</w:t>
      </w:r>
      <w:r>
        <w:rPr>
          <w:rFonts w:hint="eastAsia" w:ascii="仿宋" w:hAnsi="仿宋" w:eastAsia="仿宋" w:cs="仿宋_GB2312"/>
          <w:color w:val="auto"/>
          <w:sz w:val="32"/>
          <w:szCs w:val="32"/>
          <w:lang w:eastAsia="zh-CN"/>
        </w:rPr>
        <w:t>Ⅷ</w:t>
      </w:r>
      <w:r>
        <w:rPr>
          <w:rFonts w:hint="eastAsia" w:ascii="仿宋" w:hAnsi="仿宋" w:eastAsia="仿宋" w:cs="仿宋_GB2312"/>
          <w:color w:val="auto"/>
          <w:sz w:val="32"/>
          <w:szCs w:val="32"/>
        </w:rPr>
        <w:t>因子活性检测&lt;25%、IX因子活性检查&lt;25%;</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5.有严重并发症：如关节畸形、假性肿瘤等。</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十七、再生障碍性贫血</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1.全血细胞减少，网织红细胞百分数&lt;0.01,淋巴细胞比例增</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2.骨髓多部位检查增生减低或重度减低，造血细胞减少，非造血细胞比例增高(包括骨髓活检);</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3.排除其他原因引起的全血细胞减少性疾病。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十八、白血病门诊治疗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1.在二级以上医院确诊过白血病；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2.临床表现有贫血、出血倾向、发热、骨痛、肝、脾淋巴结肿大等；</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3.血常规、骨髓化验检查符合白血病诊断条件。骨髓或者流式检测确定急性白血病(原幼&gt;20%)。</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十九、慢性粒细胞白血病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1.临床诊断明确；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2.骨髓或基因检测结果符合慢性粒细胞白血病诊断条件；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3.骨髓报告/基因检测/染色体/FISH/检测Bcr/ab1或(9:22)</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染色体异位。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二十、儿童白血病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1.年龄&lt;18岁。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2.骨穿检查或有基因染色体证实为慢性白血病；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3.三级医院确诊过白血病；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4.临床表现有贫血、出现倾向、发热、骨痛、肝、脾淋巴结肿大等；</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5.血常规、骨髓化验检查结果符合白血病诊断条件。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二十一、癫痫</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符合1、2条或1、3条：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1.相关病史住院资料；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2.近一年出现两次以上癫痫性发作的病历资料；</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3.脑电图描记报告符合癫痫的诊断标准。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二十二、脑瘫</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1.提供相关病史资料，临床相关诊断明确；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2.婴儿时期出现症状，表现为发育落后或各种运动障碍；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3.有脑损伤神经学症状：脑损伤或脑发育缺陷为非进行性，中枢性运动障碍及姿势和运动模式异常及活动受限、发育性反射异常、肌张力异常；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4.常伴随智力低下、言语障碍、惊厥、感知觉障碍及其它异常；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5.需除外进行性疾病所致的中枢性瘫痪、正常婴幼儿的一过性运动发育滞后及疾病；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6.头颅CT、MRI检查可见结构性改变。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二十三、慢性阻塞性肺疾病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1.有慢性咳嗽、咳痰、喘息、呼吸困难等临床表现；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2.肺功能检查：吸入支气管舒张剂后FEV1/FVC&lt;70%,可根据</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肺功能质控要求标准综合判断；</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3.胸部影像学表现为双肺纹理增粗、紊乱，肺气肿、肺大疱表现。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二十四、支气管哮喘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符合1—4条或4、5条：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1.反复发作性喘息、气急、胸闷或咳嗽，多与接触变应原、冷空气、物理、化学性刺激、病毒性上呼吸道感染、运动等有关；</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2.发作时在双肺可闻及散在或弥漫性、以呼气相为主的哮鸣音，呼气相延长；</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3.上述症状可经治疗缓解或自行缓解；</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4.除外其他疾病所引起的喘息、气急、胸闷和咳嗽；</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5.临床表现不典型者(如无明显喘息或体征)应有下列三项中至少一项阳性：(1)支气管激发试验或运动试验阳性；(2)支气管舒张试验阳性；(3)昼夜PEF变异率≥20%。</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二十五、特发性肺间质纤维化</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1.进行性气急、咳嗽、肺部湿罗音或捻发音；</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2.CT检查：典型改变胸膜下基底部分布为主的网格影和蜂窝影，伴或不伴牵拉性支气管扩张，磨玻璃样改变不明显；</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3.肺功能检查：可见肺容量减少、弥散功能降低和低氧血症；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4.如有可能，提供肺组织活检病理学依据。(非必要条件)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二十六、冠心病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1.急性心肌梗死</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(1)疼痛或无痛，休息和含硝酸甘油等扩冠脉药多不缓解；</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(2)心电图：ST段抬高呈弓背向上型、病理性Q波；或有典</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型的缺血性心电图改变(ST段压低、T波倒置);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(3)肌钙蛋白、肌酸激酶同工酶升高；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(4)病程4个月以内(发病之日至受理资料时间)。</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2.陈旧性心肌梗死</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确诊急性心肌梗死8周以上，且至少有下列一种并发症或合并症：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(1)慢性心力衰竭(同高血压3级极高危中慢性心力衰竭标准);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(2)严重心律失常(动态心电图提示：清醒静息状态下，持续 窦性心动过缓≤40次/分；Ⅱ度Ⅱ型以上窦房阻滞；持续性房扑或 持续性房颤；Ⅱ度Ⅱ型以上房室传导阻滞或频发多源性室性早搏； 持续性室性心动过速需抗心律失常药物控制的(药物性和一过性除外);</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(3)不稳定性心绞痛(结合血管造影或心电图改变确诊);</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(4)经皮球囊冠状动脉腔内成形术、支架植入术后或旁路移植(搭桥)术后；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(5)仍存在心外膜下大血管狭窄≥70%,左主干狭窄≥50%。</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3.冠心病(除外心肌梗死)支架术后标准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支架手术记录及相关耗材。</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二十七、肺源性心脏病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符合1、2条或1、2、3条：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1.有慢性阻塞性肺疾病，其它支气管、肺部疾患，胸廓疾病和肺血管病变的病史；</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2.胸片、心电图、超声心动图检查提示肺动脉高压、右心室增大；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3.有右心功能不全的临床表现。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二十八、慢性心力衰竭</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符合1、2条或1、3条：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1.心力衰竭的临床病史及体征；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2.超声心动图：(1)左心室舒张末内径(女性LVEDd&gt;5.0cm</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或男性LVEDd&gt;5.5cm);(2)左心室射血分数LVEF≤40%;</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3.NT-pro BNP或BNP符合心力衰竭诊断标准。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二十九、心脏瓣膜病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符合以下任意一条：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1.超声心动图示瓣膜狭窄和或关闭不全(中或重度),出现房和 (或)室增大(左房内径≥35mm,左室舒张末内径女性&gt;5.0cm,男性&gt;5.5cm;右房&gt;50×40mm,右室&gt;20mm。),出现经住院诊治的心功能NYHF分级Ⅱ-</w:t>
      </w:r>
      <w:r>
        <w:rPr>
          <w:rFonts w:hint="eastAsia" w:ascii="仿宋" w:hAnsi="仿宋" w:eastAsia="仿宋" w:cs="仿宋_GB2312"/>
          <w:color w:val="auto"/>
          <w:sz w:val="32"/>
          <w:szCs w:val="32"/>
          <w:lang w:eastAsia="zh-CN"/>
        </w:rPr>
        <w:t>Ⅳ</w:t>
      </w:r>
      <w:r>
        <w:rPr>
          <w:rFonts w:hint="eastAsia" w:ascii="仿宋" w:hAnsi="仿宋" w:eastAsia="仿宋" w:cs="仿宋_GB2312"/>
          <w:color w:val="auto"/>
          <w:sz w:val="32"/>
          <w:szCs w:val="32"/>
        </w:rPr>
        <w:t>级，或合并心房颤动、心房排扑动；</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2.心脏瓣膜置换术后。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三十、风湿性心脏病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1.三级医院或二级及以上专科医院临床确诊风湿性心脏病；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2.超声心动图检查显示中重度瓣膜病变；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3.风湿炎症导致的心脏瓣膜结构和(或)功能异常。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三十一、心肌病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1.临床诊断明确；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2.影像学提示心脏改变，心影明显增大，肺淤血；心电图可见多种心电异常如心房颤动传导阻滞等各种心律失常；超声心动图提示有心脏普遍扩大、运动减弱、心功能减退(心衰Ⅱ度、心功能Ⅲ级 以上)等扩张性心肌病特有改变。心功能2级，三级医院心脏超声或心脏磁共振提示心功能降低(EF值&lt;50%),室壁运动减弱。</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3.肥厚型心肌病：临床折返丰富的为肥厚型心肌病，三级医院心脏超声或磁共振提示室间隔厚度≥15mm或室间隔与左室后壁比值≥1.3;心尖部或室壁普遍增厚。</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三十二、病毒性肝炎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符合以下1-3条，同时具备4-7条中的任意1条，或仅符合第8条：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1.病程超过6个月；</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2.肝炎病毒标志物阳性；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3.ALT高于正常检测值或ALT正常但符合：(1)年龄大于30岁</w:t>
      </w:r>
      <w:r>
        <w:rPr>
          <w:rFonts w:hint="eastAsia" w:ascii="仿宋" w:hAnsi="仿宋" w:eastAsia="仿宋" w:cs="仿宋_GB2312"/>
          <w:color w:val="auto"/>
          <w:sz w:val="32"/>
          <w:szCs w:val="32"/>
          <w:lang w:eastAsia="zh-CN"/>
        </w:rPr>
        <w:t>，</w:t>
      </w:r>
      <w:r>
        <w:rPr>
          <w:rFonts w:hint="eastAsia" w:ascii="仿宋" w:hAnsi="仿宋" w:eastAsia="仿宋" w:cs="仿宋_GB2312"/>
          <w:color w:val="auto"/>
          <w:sz w:val="32"/>
          <w:szCs w:val="32"/>
        </w:rPr>
        <w:t>有肝硬化或肝癌家族史；(2)年龄大于30岁，无创肝纤维化诊断技术提示存在明显肝脏炎症或肝纤维化；(3)存在HBV相关肝外损害；</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4.血清胆红素测定值大于正常值上限的2倍；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5.血浆白蛋白低于正常值；</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6.凝血酶原活动度低于正常值下限；</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7.胆碱酯酶低于正常值下限；</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8.肝活检有慢性中(重)度病毒性肝炎的病理改变。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三十三、肝硬化失代偿期</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符合以下1-3条，或符合1、4条：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1.有肝病史；</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2.有门静脉高压的临床症状、体征及检查(实验室及影像检</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查);</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outlineLvl w:val="0"/>
        <w:rPr>
          <w:rFonts w:ascii="仿宋" w:hAnsi="仿宋" w:eastAsia="仿宋" w:cs="仿宋_GB2312"/>
          <w:color w:val="auto"/>
          <w:sz w:val="32"/>
          <w:szCs w:val="32"/>
        </w:rPr>
      </w:pPr>
      <w:r>
        <w:rPr>
          <w:rFonts w:hint="eastAsia" w:ascii="仿宋" w:hAnsi="仿宋" w:eastAsia="仿宋" w:cs="仿宋_GB2312"/>
          <w:color w:val="auto"/>
          <w:sz w:val="32"/>
          <w:szCs w:val="32"/>
        </w:rPr>
        <w:t>3.血清白蛋白下降，胆红素增高，凝血酶原活动度降低；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4.上消化道出血、肝性脑病、肝肾综合征等并发症。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三十四、慢性肾功能不全失代偿期</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1.临床诊断明确，有慢性肾脏疾病史；</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2.有肾脏排泄、分泌及调节机能减退；</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3.肾功能：血肌酐&gt;178umo1/L和或肌酐清除率&lt;60ml/min。</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三十五、肾病综合征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符合以下1-3条或1、2、4条：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由微小病变型肾病、系膜增生性肾小球肾炎、IgA肾病、局灶节段性肾小球硬化、膜性肾病、系膜增生性肾小球肾炎及系膜毛细血管性肾小球肾炎引起：</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1.大量蛋白尿(尿蛋白定量&gt;3.5g/d);</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2.低蛋白血症(血浆白蛋白&lt;30g/L);</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3.水肿(出现眼睑或下肢轻度水肿);</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4.高脂血症(血清总胆固醇或甘油三酯高于正常值)。</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三十六、慢性肾炎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1.临床诊断明确；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2.化验室检查提示有血尿、蛋白尿或肾小管损伤；</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3.三个月以上病史或肾活检病理报告；</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4.检测尿蛋白≥1.0g/24h及尿蛋白≥++,两次以上；持续血尿；尿红细胞≥5个或红细胞计数≥10000个/ml。</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三十七、慢性肾小球肾炎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1.临床诊断明确；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2.检测尿蛋白≥1.0g/24h(检测尿蛋白≥0.5g/24h)及尿蛋 白&gt;++,两次以上；持续血尿：尿红细胞≥5个或红细胞计数≥10000个/ml;</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3.有半年(三个月)以上病史及肾活检病理报告。</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三十八、免疫性血小板减少症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1.出血症状：如皮肤粘膜出血，或消化道、泌尿道出血； 2.实验室检查血小板计数减少(至少2次以上血常规);</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3.脾脏一般不肿大；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4.骨髓检查巨核细胞增多或正常，伴成熟障碍；</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5.排除其他继发性血小板减少症。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三十九、生长激素缺乏症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1.身高落后于同年龄、同性别正常健康儿童身高的第3百分位数[减1.88个标准差(-1.88SD)]或减2个标准差(--2SD)以下；</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2.年生长速率&lt;7cm/年(3岁以下);&lt;5cm/年(3岁-青春期前);&lt;6cm/年(青春期);</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3.匀称性矮小、面容幼稚；</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4.智力发育正常；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5.骨龄落后于实际年龄；</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6.两项GH药物激发试验GH峰值均&lt;10μg/L;</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7.血清胰岛素样生长因子1(IGF1)水平低于正常。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四十、强直性脊柱炎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腰背痛≥3个月的患者，符合1、2中任意一条：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1.影像学提示骶髂关节炎加上≥1个下述的SpA特征；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2.HLA—B27阳性加上≥2个下述的其他SpA特征。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其中影像学提示骶骼关节炎指的是：(1)MRI提示骶骼关节活动性(急性)炎症，高度提示与SpA相关的骶骼关节炎或(2)明确的骶骼关节炎影像学改变(根据1984年修订的纽约标准)。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SpA特征包括：(1)炎性背痛；(2)关节炎；(3)起止点炎(跟 腱);(4)眼葡萄膜炎；(5)指(趾)炎；(6)银屑病；(7)克罗恩病， 溃疡性结肠炎；(8)对非甾体抗炎药(NSAIDs)反应良好；(9)SpA家族史；(10)HLA—B27阳性；(11)CRP升高。</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四十一、类风湿性关节炎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1.临床诊断明确；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2.相关检查支持诊断并符合以下条件中任意四项：①晨僵(不少于6周);②三个或三个以上关节肿(不少于6周);③对称性关 节肿(不少于6周);④腕、掌指关节和近端指</w:t>
      </w:r>
      <w:r>
        <w:rPr>
          <w:rFonts w:hint="eastAsia" w:ascii="仿宋" w:hAnsi="仿宋" w:eastAsia="仿宋" w:cs="仿宋_GB2312"/>
          <w:color w:val="auto"/>
          <w:sz w:val="32"/>
          <w:szCs w:val="32"/>
          <w:lang w:eastAsia="zh-CN"/>
        </w:rPr>
        <w:t>间</w:t>
      </w:r>
      <w:r>
        <w:rPr>
          <w:rFonts w:hint="eastAsia" w:ascii="仿宋" w:hAnsi="仿宋" w:eastAsia="仿宋" w:cs="仿宋_GB2312"/>
          <w:color w:val="auto"/>
          <w:sz w:val="32"/>
          <w:szCs w:val="32"/>
        </w:rPr>
        <w:t>关节肿(不少于6周);⑤皮下结节；⑥手X光片改变；⑦类风湿因子阳性。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lang w:eastAsia="zh-CN"/>
        </w:rPr>
        <w:t>（二）</w:t>
      </w:r>
      <w:r>
        <w:rPr>
          <w:rFonts w:hint="eastAsia" w:ascii="仿宋" w:hAnsi="仿宋" w:eastAsia="仿宋" w:cs="仿宋_GB2312"/>
          <w:color w:val="auto"/>
          <w:sz w:val="32"/>
          <w:szCs w:val="32"/>
        </w:rPr>
        <w:t>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四十二、慢性骨髓炎</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需根据病史、症状、实验室检查、组织病理学、影像学综合判断。</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四十三、帕金森病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1.经三甲医院确诊；</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2.有震颤舞蹈动作或动作僵硬、缓慢等帕金森综合症的临床表现。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四十四、系统性红斑狼疮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1.临床诊断明确；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2.符合美国风湿病学(ARA)诊断标准，并有一个或一个以上脏器损害的中、重度病人。</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四十五、银屑病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在二级甲等及以上医院就诊，组织病理确诊为银屑病，慢性反复发作，有连续一年以上的治疗记录，并符合下列情况之一者：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1.寻常型银屑病BAS≥10%或PASI&gt;12分的中重度患者；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2.关节型(除外风湿相关关节损害)、脓疮型或红皮病型银屑病。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四十六、中枢神经系统脱髓鞘疾病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包括多发性硬化、视神经脊髓炎谱系疾病。经公立三级乙等级别以上医院神经内科住院确诊，需长期使用激素及免疫抑制剂治疗。</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四十七、运动神经元病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符合1-5条或符合6条：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1.临床、电生理或病理检查显示下运动神经元病变的证据；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2.临床检查显示上运动神经元病变的证据；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3.经三级医院确诊，相关检查支持；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4.排除其他可导致上下神经元病变的疾病；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5.患者存在一定程度的生活能力或工作能力的下降（经日常生活能力评定量表评定)</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6.临床明确诊断为下列疾病之一：运动神经元病；肌萎缩侧索硬化；进行性肌萎缩；进行性延髓麻痹；原发性侧索硬化。</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四十八、股骨头坏死</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具有临床表现和体征，同时具备以下任意一条：</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1.CT:出现骨硬化带包绕坏死骨、修复骨，或软骨下骨断裂；</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2.MRI:T1加权像局限性软骨下带状(也称线状)低信号影或T2加权像双线征，或放射性核素检查显示股骨头坏死。</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四十九、系统性硬化症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符合2013年ACR/EULAR、SSc</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b/>
          <w:bCs/>
          <w:color w:val="auto"/>
          <w:sz w:val="32"/>
          <w:szCs w:val="32"/>
        </w:rPr>
      </w:pPr>
      <w:r>
        <w:rPr>
          <w:rFonts w:hint="eastAsia" w:ascii="仿宋" w:hAnsi="仿宋" w:eastAsia="仿宋" w:cs="仿宋_GB2312"/>
          <w:b/>
          <w:bCs/>
          <w:color w:val="auto"/>
          <w:sz w:val="32"/>
          <w:szCs w:val="32"/>
        </w:rPr>
        <w:t>五十、肝豆状核变性</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1.三级医院临床确诊肝豆状核变性，相关检查支持诊断(眼底检查、化验检查等指标异常)。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2.检查：铜蓝蛋白、24小时尿铜异常；肝组织铜含量增高；角膜K-F环有可能阳性；ATP7B基因检测异常。</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keepNext w:val="0"/>
        <w:keepLines w:val="0"/>
        <w:pageBreakBefore w:val="0"/>
        <w:widowControl w:val="0"/>
        <w:kinsoku/>
        <w:wordWrap/>
        <w:overflowPunct/>
        <w:topLinePunct w:val="0"/>
        <w:autoSpaceDE/>
        <w:autoSpaceDN/>
        <w:bidi w:val="0"/>
        <w:adjustRightInd/>
        <w:snapToGrid/>
        <w:spacing w:line="540" w:lineRule="exact"/>
        <w:ind w:firstLine="643" w:firstLineChars="200"/>
        <w:textAlignment w:val="auto"/>
        <w:outlineLvl w:val="0"/>
        <w:rPr>
          <w:rFonts w:ascii="仿宋" w:hAnsi="仿宋" w:eastAsia="仿宋" w:cs="仿宋_GB2312"/>
          <w:color w:val="auto"/>
          <w:sz w:val="32"/>
          <w:szCs w:val="32"/>
        </w:rPr>
      </w:pPr>
      <w:r>
        <w:rPr>
          <w:rFonts w:hint="eastAsia" w:ascii="仿宋" w:hAnsi="仿宋" w:eastAsia="仿宋" w:cs="仿宋_GB2312"/>
          <w:b/>
          <w:bCs/>
          <w:color w:val="auto"/>
          <w:sz w:val="32"/>
          <w:szCs w:val="32"/>
        </w:rPr>
        <w:t>五十一、重症肌无力</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(一)诊断标准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1.波动性骨骼肌无力的，活动后加重、休息后减轻；</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2.新斯的明实验(+)或肌电图重频电刺激波幅递减；</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3.经二级甲等及以上医院神经内科医生诊断的住院患者。</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(二)鉴定条件</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1.符合以上诊断标准；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ascii="仿宋" w:hAnsi="仿宋" w:eastAsia="仿宋" w:cs="仿宋_GB2312"/>
          <w:color w:val="auto"/>
          <w:sz w:val="32"/>
          <w:szCs w:val="32"/>
        </w:rPr>
      </w:pPr>
      <w:r>
        <w:rPr>
          <w:rFonts w:hint="eastAsia" w:ascii="仿宋" w:hAnsi="仿宋" w:eastAsia="仿宋" w:cs="仿宋_GB2312"/>
          <w:color w:val="auto"/>
          <w:sz w:val="32"/>
          <w:szCs w:val="32"/>
        </w:rPr>
        <w:t>2.相关住院或门诊病历；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仿宋" w:hAnsi="仿宋" w:eastAsia="仿宋" w:cs="仿宋_GB2312"/>
          <w:color w:val="auto"/>
          <w:sz w:val="32"/>
          <w:szCs w:val="32"/>
        </w:rPr>
      </w:pPr>
      <w:r>
        <w:rPr>
          <w:rFonts w:hint="eastAsia" w:ascii="仿宋" w:hAnsi="仿宋" w:eastAsia="仿宋" w:cs="仿宋_GB2312"/>
          <w:color w:val="auto"/>
          <w:sz w:val="32"/>
          <w:szCs w:val="32"/>
        </w:rPr>
        <w:t>3.有效诊断证明。</w:t>
      </w:r>
    </w:p>
    <w:p>
      <w:pPr>
        <w:spacing w:line="594" w:lineRule="exact"/>
        <w:ind w:firstLine="720" w:firstLineChars="200"/>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pStyle w:val="2"/>
        <w:rPr>
          <w:rFonts w:hint="eastAsia" w:ascii="仿宋_GB2312" w:hAnsi="仿宋_GB2312" w:eastAsia="仿宋_GB2312" w:cs="仿宋_GB2312"/>
          <w:color w:val="auto"/>
          <w:sz w:val="36"/>
          <w:szCs w:val="36"/>
        </w:rPr>
      </w:pPr>
    </w:p>
    <w:p>
      <w:pPr>
        <w:spacing w:line="594" w:lineRule="exact"/>
        <w:rPr>
          <w:rFonts w:hint="eastAsia" w:ascii="黑体" w:hAnsi="黑体" w:eastAsia="黑体" w:cs="黑体"/>
          <w:color w:val="auto"/>
          <w:sz w:val="32"/>
          <w:szCs w:val="32"/>
        </w:rPr>
      </w:pPr>
      <w:r>
        <w:rPr>
          <w:rFonts w:hint="eastAsia" w:ascii="黑体" w:hAnsi="黑体" w:eastAsia="黑体" w:cs="黑体"/>
          <w:color w:val="auto"/>
          <w:sz w:val="32"/>
          <w:szCs w:val="32"/>
        </w:rPr>
        <w:t>附件2</w:t>
      </w:r>
    </w:p>
    <w:p>
      <w:pPr>
        <w:keepNext w:val="0"/>
        <w:keepLines w:val="0"/>
        <w:pageBreakBefore w:val="0"/>
        <w:widowControl w:val="0"/>
        <w:kinsoku/>
        <w:wordWrap/>
        <w:overflowPunct/>
        <w:topLinePunct w:val="0"/>
        <w:autoSpaceDE/>
        <w:autoSpaceDN/>
        <w:bidi w:val="0"/>
        <w:adjustRightInd/>
        <w:snapToGrid/>
        <w:spacing w:after="313" w:afterLines="100" w:line="560" w:lineRule="exact"/>
        <w:ind w:firstLine="1080" w:firstLineChars="300"/>
        <w:textAlignment w:val="auto"/>
        <w:rPr>
          <w:rFonts w:hint="eastAsia" w:ascii="方正小标宋简体" w:hAnsi="方正小标宋简体" w:eastAsia="方正小标宋简体" w:cs="方正小标宋简体"/>
          <w:color w:val="auto"/>
          <w:sz w:val="36"/>
          <w:szCs w:val="36"/>
        </w:rPr>
      </w:pPr>
      <w:r>
        <w:rPr>
          <w:rFonts w:hint="eastAsia" w:ascii="方正小标宋简体" w:hAnsi="方正小标宋简体" w:eastAsia="方正小标宋简体" w:cs="方正小标宋简体"/>
          <w:color w:val="auto"/>
          <w:sz w:val="36"/>
          <w:szCs w:val="36"/>
        </w:rPr>
        <w:t>咸阳市基本医疗保险门诊慢特病申请认定表</w:t>
      </w:r>
    </w:p>
    <w:p>
      <w:pPr>
        <w:keepNext w:val="0"/>
        <w:keepLines w:val="0"/>
        <w:pageBreakBefore w:val="0"/>
        <w:widowControl w:val="0"/>
        <w:kinsoku/>
        <w:wordWrap/>
        <w:overflowPunct/>
        <w:topLinePunct w:val="0"/>
        <w:autoSpaceDE/>
        <w:autoSpaceDN/>
        <w:bidi w:val="0"/>
        <w:adjustRightInd/>
        <w:snapToGrid/>
        <w:spacing w:after="157" w:afterLines="50" w:line="400" w:lineRule="exact"/>
        <w:ind w:firstLine="280" w:firstLineChars="100"/>
        <w:textAlignment w:val="auto"/>
        <w:rPr>
          <w:rFonts w:ascii="仿宋_GB2312" w:hAnsi="仿宋_GB2312" w:eastAsia="仿宋_GB2312" w:cs="仿宋_GB2312"/>
          <w:color w:val="auto"/>
          <w:sz w:val="28"/>
          <w:szCs w:val="28"/>
        </w:rPr>
      </w:pPr>
      <w:r>
        <w:rPr>
          <w:rFonts w:hint="eastAsia" w:ascii="仿宋_GB2312" w:hAnsi="仿宋_GB2312" w:eastAsia="仿宋_GB2312" w:cs="仿宋_GB2312"/>
          <w:color w:val="auto"/>
          <w:sz w:val="28"/>
          <w:szCs w:val="28"/>
        </w:rPr>
        <w:t>单位（社区）</w:t>
      </w:r>
      <w:r>
        <w:rPr>
          <w:rFonts w:hint="eastAsia" w:ascii="仿宋_GB2312" w:hAnsi="仿宋_GB2312" w:eastAsia="仿宋_GB2312" w:cs="仿宋_GB2312"/>
          <w:color w:val="auto"/>
          <w:sz w:val="28"/>
          <w:szCs w:val="28"/>
          <w:lang w:eastAsia="zh-CN"/>
        </w:rPr>
        <w:t>：</w:t>
      </w:r>
      <w:r>
        <w:rPr>
          <w:rFonts w:hint="eastAsia" w:ascii="仿宋_GB2312" w:hAnsi="仿宋_GB2312" w:eastAsia="仿宋_GB2312" w:cs="仿宋_GB2312"/>
          <w:color w:val="auto"/>
          <w:sz w:val="28"/>
          <w:szCs w:val="28"/>
          <w:lang w:val="en-US" w:eastAsia="zh-CN"/>
        </w:rPr>
        <w:t xml:space="preserve">            </w:t>
      </w:r>
      <w:r>
        <w:rPr>
          <w:rFonts w:hint="eastAsia" w:ascii="仿宋_GB2312" w:hAnsi="仿宋_GB2312" w:eastAsia="仿宋_GB2312" w:cs="仿宋_GB2312"/>
          <w:color w:val="auto"/>
          <w:sz w:val="28"/>
          <w:szCs w:val="28"/>
        </w:rPr>
        <w:t xml:space="preserve">  </w:t>
      </w:r>
      <w:r>
        <w:rPr>
          <w:rFonts w:hint="eastAsia" w:ascii="仿宋_GB2312" w:hAnsi="仿宋_GB2312" w:eastAsia="仿宋_GB2312" w:cs="仿宋_GB2312"/>
          <w:color w:val="auto"/>
          <w:sz w:val="28"/>
          <w:szCs w:val="28"/>
          <w:lang w:val="en-US" w:eastAsia="zh-CN"/>
        </w:rPr>
        <w:t xml:space="preserve">        </w:t>
      </w:r>
      <w:r>
        <w:rPr>
          <w:rFonts w:hint="eastAsia" w:ascii="仿宋_GB2312" w:hAnsi="仿宋_GB2312" w:eastAsia="仿宋_GB2312" w:cs="仿宋_GB2312"/>
          <w:color w:val="auto"/>
          <w:sz w:val="28"/>
          <w:szCs w:val="28"/>
        </w:rPr>
        <w:t xml:space="preserve">   填报时间：   年   月  日</w:t>
      </w:r>
    </w:p>
    <w:tbl>
      <w:tblPr>
        <w:tblStyle w:val="7"/>
        <w:tblW w:w="906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35"/>
        <w:gridCol w:w="4"/>
        <w:gridCol w:w="1166"/>
        <w:gridCol w:w="474"/>
        <w:gridCol w:w="1155"/>
        <w:gridCol w:w="88"/>
        <w:gridCol w:w="724"/>
        <w:gridCol w:w="1039"/>
        <w:gridCol w:w="210"/>
        <w:gridCol w:w="24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24" w:hRule="atLeast"/>
        </w:trPr>
        <w:tc>
          <w:tcPr>
            <w:tcW w:w="1735"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姓名</w:t>
            </w:r>
          </w:p>
        </w:tc>
        <w:tc>
          <w:tcPr>
            <w:tcW w:w="1644" w:type="dxa"/>
            <w:gridSpan w:val="3"/>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p>
        </w:tc>
        <w:tc>
          <w:tcPr>
            <w:tcW w:w="1243" w:type="dxa"/>
            <w:gridSpan w:val="2"/>
            <w:tcBorders>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性别</w:t>
            </w:r>
          </w:p>
        </w:tc>
        <w:tc>
          <w:tcPr>
            <w:tcW w:w="724" w:type="dxa"/>
            <w:tcBorders>
              <w:lef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p>
        </w:tc>
        <w:tc>
          <w:tcPr>
            <w:tcW w:w="1249" w:type="dxa"/>
            <w:gridSpan w:val="2"/>
            <w:tcBorders>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年龄</w:t>
            </w:r>
          </w:p>
        </w:tc>
        <w:tc>
          <w:tcPr>
            <w:tcW w:w="2474" w:type="dxa"/>
            <w:tcBorders>
              <w:lef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5" w:hRule="atLeast"/>
        </w:trPr>
        <w:tc>
          <w:tcPr>
            <w:tcW w:w="1735"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参保所属地</w:t>
            </w:r>
          </w:p>
        </w:tc>
        <w:tc>
          <w:tcPr>
            <w:tcW w:w="1644" w:type="dxa"/>
            <w:gridSpan w:val="3"/>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p>
        </w:tc>
        <w:tc>
          <w:tcPr>
            <w:tcW w:w="1243" w:type="dxa"/>
            <w:gridSpan w:val="2"/>
            <w:tcBorders>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手机</w:t>
            </w:r>
          </w:p>
        </w:tc>
        <w:tc>
          <w:tcPr>
            <w:tcW w:w="4447" w:type="dxa"/>
            <w:gridSpan w:val="4"/>
            <w:tcBorders>
              <w:lef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5" w:hRule="atLeast"/>
        </w:trPr>
        <w:tc>
          <w:tcPr>
            <w:tcW w:w="1735"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单位和家庭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详细住址</w:t>
            </w:r>
          </w:p>
        </w:tc>
        <w:tc>
          <w:tcPr>
            <w:tcW w:w="7334" w:type="dxa"/>
            <w:gridSpan w:val="9"/>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1735"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rPr>
              <w:t>身份证号</w:t>
            </w:r>
            <w:r>
              <w:rPr>
                <w:rFonts w:hint="eastAsia" w:ascii="仿宋_GB2312" w:hAnsi="仿宋_GB2312" w:eastAsia="仿宋_GB2312" w:cs="仿宋_GB2312"/>
                <w:color w:val="auto"/>
                <w:sz w:val="24"/>
                <w:szCs w:val="24"/>
                <w:lang w:eastAsia="zh-CN"/>
              </w:rPr>
              <w:t>码</w:t>
            </w:r>
          </w:p>
        </w:tc>
        <w:tc>
          <w:tcPr>
            <w:tcW w:w="7334" w:type="dxa"/>
            <w:gridSpan w:val="9"/>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35"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参保类别</w:t>
            </w:r>
          </w:p>
        </w:tc>
        <w:tc>
          <w:tcPr>
            <w:tcW w:w="2887" w:type="dxa"/>
            <w:gridSpan w:val="5"/>
            <w:tcBorders>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城镇职工□</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城乡居民□</w:t>
            </w:r>
          </w:p>
        </w:tc>
        <w:tc>
          <w:tcPr>
            <w:tcW w:w="4447" w:type="dxa"/>
            <w:gridSpan w:val="4"/>
            <w:tcBorders>
              <w:lef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异地安置（居住、打工、上学）是□否□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45" w:hRule="atLeast"/>
        </w:trPr>
        <w:tc>
          <w:tcPr>
            <w:tcW w:w="1735"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申请疾病名称</w:t>
            </w:r>
          </w:p>
        </w:tc>
        <w:tc>
          <w:tcPr>
            <w:tcW w:w="1170" w:type="dxa"/>
            <w:gridSpan w:val="2"/>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疾病1</w:t>
            </w:r>
          </w:p>
        </w:tc>
        <w:tc>
          <w:tcPr>
            <w:tcW w:w="2441" w:type="dxa"/>
            <w:gridSpan w:val="4"/>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color w:val="auto"/>
                <w:sz w:val="24"/>
                <w:szCs w:val="24"/>
              </w:rPr>
            </w:pPr>
          </w:p>
        </w:tc>
        <w:tc>
          <w:tcPr>
            <w:tcW w:w="1039" w:type="dxa"/>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eastAsia="zh-CN"/>
              </w:rPr>
              <w:t>疾病</w:t>
            </w:r>
            <w:r>
              <w:rPr>
                <w:rFonts w:hint="eastAsia" w:ascii="仿宋_GB2312" w:hAnsi="仿宋_GB2312" w:eastAsia="仿宋_GB2312" w:cs="仿宋_GB2312"/>
                <w:color w:val="auto"/>
                <w:sz w:val="24"/>
                <w:szCs w:val="24"/>
                <w:lang w:val="en-US" w:eastAsia="zh-CN"/>
              </w:rPr>
              <w:t>2</w:t>
            </w:r>
          </w:p>
        </w:tc>
        <w:tc>
          <w:tcPr>
            <w:tcW w:w="2684" w:type="dxa"/>
            <w:gridSpan w:val="2"/>
            <w:vAlign w:val="center"/>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color w:val="auto"/>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85" w:hRule="atLeast"/>
        </w:trPr>
        <w:tc>
          <w:tcPr>
            <w:tcW w:w="1735" w:type="dxa"/>
            <w:vMerge w:val="restart"/>
            <w:vAlign w:val="center"/>
          </w:tcPr>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疾病1</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认定结果</w:t>
            </w:r>
          </w:p>
        </w:tc>
        <w:tc>
          <w:tcPr>
            <w:tcW w:w="3611" w:type="dxa"/>
            <w:gridSpan w:val="6"/>
          </w:tcPr>
          <w:p>
            <w:pPr>
              <w:keepNext w:val="0"/>
              <w:keepLines w:val="0"/>
              <w:pageBreakBefore w:val="0"/>
              <w:widowControl w:val="0"/>
              <w:kinsoku/>
              <w:wordWrap/>
              <w:overflowPunct/>
              <w:topLinePunct w:val="0"/>
              <w:autoSpaceDE/>
              <w:autoSpaceDN/>
              <w:bidi w:val="0"/>
              <w:adjustRightInd/>
              <w:snapToGrid/>
              <w:spacing w:line="540" w:lineRule="exact"/>
              <w:ind w:firstLine="480" w:firstLineChars="2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通过 □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不通过□</w:t>
            </w:r>
          </w:p>
        </w:tc>
        <w:tc>
          <w:tcPr>
            <w:tcW w:w="3723" w:type="dxa"/>
            <w:gridSpan w:val="3"/>
          </w:tcPr>
          <w:p>
            <w:pPr>
              <w:keepNext w:val="0"/>
              <w:keepLines w:val="0"/>
              <w:pageBreakBefore w:val="0"/>
              <w:widowControl w:val="0"/>
              <w:kinsoku/>
              <w:wordWrap/>
              <w:overflowPunct/>
              <w:topLinePunct w:val="0"/>
              <w:autoSpaceDE/>
              <w:autoSpaceDN/>
              <w:bidi w:val="0"/>
              <w:adjustRightInd/>
              <w:snapToGrid/>
              <w:spacing w:line="540" w:lineRule="exact"/>
              <w:ind w:firstLine="480" w:firstLineChars="2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通过□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不通过□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73" w:hRule="atLeast"/>
        </w:trPr>
        <w:tc>
          <w:tcPr>
            <w:tcW w:w="1735" w:type="dxa"/>
            <w:vMerge w:val="continue"/>
          </w:tcPr>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ascii="仿宋_GB2312" w:hAnsi="仿宋_GB2312" w:eastAsia="仿宋_GB2312" w:cs="仿宋_GB2312"/>
                <w:color w:val="auto"/>
                <w:sz w:val="24"/>
                <w:szCs w:val="24"/>
              </w:rPr>
            </w:pPr>
          </w:p>
        </w:tc>
        <w:tc>
          <w:tcPr>
            <w:tcW w:w="3611" w:type="dxa"/>
            <w:gridSpan w:val="6"/>
          </w:tcPr>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认定专家</w:t>
            </w:r>
            <w:r>
              <w:rPr>
                <w:rFonts w:hint="eastAsia" w:ascii="仿宋_GB2312" w:hAnsi="仿宋_GB2312" w:eastAsia="仿宋_GB2312" w:cs="仿宋_GB2312"/>
                <w:color w:val="auto"/>
                <w:sz w:val="24"/>
                <w:szCs w:val="24"/>
                <w:lang w:val="en-US" w:eastAsia="zh-CN"/>
              </w:rPr>
              <w:t>1</w:t>
            </w:r>
            <w:r>
              <w:rPr>
                <w:rFonts w:hint="eastAsia" w:ascii="仿宋_GB2312" w:hAnsi="仿宋_GB2312" w:eastAsia="仿宋_GB2312" w:cs="仿宋_GB2312"/>
                <w:color w:val="auto"/>
                <w:sz w:val="24"/>
                <w:szCs w:val="24"/>
              </w:rPr>
              <w:t xml:space="preserve">签名：      </w:t>
            </w:r>
          </w:p>
          <w:p>
            <w:pPr>
              <w:keepNext w:val="0"/>
              <w:keepLines w:val="0"/>
              <w:pageBreakBefore w:val="0"/>
              <w:widowControl w:val="0"/>
              <w:kinsoku/>
              <w:wordWrap/>
              <w:overflowPunct/>
              <w:topLinePunct w:val="0"/>
              <w:autoSpaceDE/>
              <w:autoSpaceDN/>
              <w:bidi w:val="0"/>
              <w:adjustRightInd/>
              <w:snapToGrid/>
              <w:spacing w:line="540" w:lineRule="exact"/>
              <w:ind w:firstLine="1440" w:firstLineChars="6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年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月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日</w:t>
            </w:r>
          </w:p>
        </w:tc>
        <w:tc>
          <w:tcPr>
            <w:tcW w:w="3723" w:type="dxa"/>
            <w:gridSpan w:val="3"/>
          </w:tcPr>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认定专家2签名：      </w:t>
            </w:r>
          </w:p>
          <w:p>
            <w:pPr>
              <w:keepNext w:val="0"/>
              <w:keepLines w:val="0"/>
              <w:pageBreakBefore w:val="0"/>
              <w:widowControl w:val="0"/>
              <w:kinsoku/>
              <w:wordWrap/>
              <w:overflowPunct/>
              <w:topLinePunct w:val="0"/>
              <w:autoSpaceDE/>
              <w:autoSpaceDN/>
              <w:bidi w:val="0"/>
              <w:adjustRightInd/>
              <w:snapToGrid/>
              <w:spacing w:line="540" w:lineRule="exact"/>
              <w:ind w:firstLine="1680" w:firstLineChars="7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年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月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85" w:hRule="atLeast"/>
        </w:trPr>
        <w:tc>
          <w:tcPr>
            <w:tcW w:w="1735" w:type="dxa"/>
            <w:vMerge w:val="restart"/>
            <w:vAlign w:val="center"/>
          </w:tcPr>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疾病2</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仿宋_GB2312" w:hAnsi="仿宋_GB2312" w:eastAsia="仿宋_GB2312" w:cs="仿宋_GB2312"/>
                <w:color w:val="auto"/>
                <w:sz w:val="24"/>
                <w:szCs w:val="24"/>
                <w:lang w:eastAsia="zh-CN"/>
              </w:rPr>
            </w:pPr>
            <w:r>
              <w:rPr>
                <w:rFonts w:hint="eastAsia" w:ascii="仿宋_GB2312" w:hAnsi="仿宋_GB2312" w:eastAsia="仿宋_GB2312" w:cs="仿宋_GB2312"/>
                <w:color w:val="auto"/>
                <w:sz w:val="24"/>
                <w:szCs w:val="24"/>
                <w:lang w:eastAsia="zh-CN"/>
              </w:rPr>
              <w:t>认定结果</w:t>
            </w:r>
          </w:p>
        </w:tc>
        <w:tc>
          <w:tcPr>
            <w:tcW w:w="3611" w:type="dxa"/>
            <w:gridSpan w:val="6"/>
          </w:tcPr>
          <w:p>
            <w:pPr>
              <w:keepNext w:val="0"/>
              <w:keepLines w:val="0"/>
              <w:pageBreakBefore w:val="0"/>
              <w:widowControl w:val="0"/>
              <w:kinsoku/>
              <w:wordWrap/>
              <w:overflowPunct/>
              <w:topLinePunct w:val="0"/>
              <w:autoSpaceDE/>
              <w:autoSpaceDN/>
              <w:bidi w:val="0"/>
              <w:adjustRightInd/>
              <w:snapToGrid/>
              <w:spacing w:line="540" w:lineRule="exact"/>
              <w:ind w:firstLine="480" w:firstLineChars="2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通过□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不通过□</w:t>
            </w:r>
          </w:p>
        </w:tc>
        <w:tc>
          <w:tcPr>
            <w:tcW w:w="3723" w:type="dxa"/>
            <w:gridSpan w:val="3"/>
          </w:tcPr>
          <w:p>
            <w:pPr>
              <w:keepNext w:val="0"/>
              <w:keepLines w:val="0"/>
              <w:pageBreakBefore w:val="0"/>
              <w:widowControl w:val="0"/>
              <w:kinsoku/>
              <w:wordWrap/>
              <w:overflowPunct/>
              <w:topLinePunct w:val="0"/>
              <w:autoSpaceDE/>
              <w:autoSpaceDN/>
              <w:bidi w:val="0"/>
              <w:adjustRightInd/>
              <w:snapToGrid/>
              <w:spacing w:line="540" w:lineRule="exact"/>
              <w:ind w:firstLine="480" w:firstLineChars="2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通过□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不通过□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73" w:hRule="atLeast"/>
        </w:trPr>
        <w:tc>
          <w:tcPr>
            <w:tcW w:w="1735" w:type="dxa"/>
            <w:vMerge w:val="continue"/>
          </w:tcPr>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ascii="仿宋_GB2312" w:hAnsi="仿宋_GB2312" w:eastAsia="仿宋_GB2312" w:cs="仿宋_GB2312"/>
                <w:color w:val="auto"/>
                <w:sz w:val="24"/>
                <w:szCs w:val="24"/>
              </w:rPr>
            </w:pPr>
          </w:p>
        </w:tc>
        <w:tc>
          <w:tcPr>
            <w:tcW w:w="3611" w:type="dxa"/>
            <w:gridSpan w:val="6"/>
          </w:tcPr>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认定专家1签名：      </w:t>
            </w:r>
          </w:p>
          <w:p>
            <w:pPr>
              <w:keepNext w:val="0"/>
              <w:keepLines w:val="0"/>
              <w:pageBreakBefore w:val="0"/>
              <w:widowControl w:val="0"/>
              <w:kinsoku/>
              <w:wordWrap/>
              <w:overflowPunct/>
              <w:topLinePunct w:val="0"/>
              <w:autoSpaceDE/>
              <w:autoSpaceDN/>
              <w:bidi w:val="0"/>
              <w:adjustRightInd/>
              <w:snapToGrid/>
              <w:spacing w:line="540" w:lineRule="exact"/>
              <w:ind w:firstLine="1680" w:firstLineChars="7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年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月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日</w:t>
            </w:r>
          </w:p>
        </w:tc>
        <w:tc>
          <w:tcPr>
            <w:tcW w:w="3723" w:type="dxa"/>
            <w:gridSpan w:val="3"/>
          </w:tcPr>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认定专家2签名：      </w:t>
            </w:r>
          </w:p>
          <w:p>
            <w:pPr>
              <w:keepNext w:val="0"/>
              <w:keepLines w:val="0"/>
              <w:pageBreakBefore w:val="0"/>
              <w:widowControl w:val="0"/>
              <w:kinsoku/>
              <w:wordWrap/>
              <w:overflowPunct/>
              <w:topLinePunct w:val="0"/>
              <w:autoSpaceDE/>
              <w:autoSpaceDN/>
              <w:bidi w:val="0"/>
              <w:adjustRightInd/>
              <w:snapToGrid/>
              <w:spacing w:line="540" w:lineRule="exact"/>
              <w:ind w:firstLine="1680" w:firstLineChars="7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年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月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10" w:hRule="atLeast"/>
        </w:trPr>
        <w:tc>
          <w:tcPr>
            <w:tcW w:w="4534" w:type="dxa"/>
            <w:gridSpan w:val="5"/>
          </w:tcPr>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仿宋_GB2312" w:hAnsi="仿宋_GB2312" w:eastAsia="仿宋_GB2312" w:cs="仿宋_GB2312"/>
                <w:color w:val="auto"/>
                <w:sz w:val="24"/>
                <w:szCs w:val="24"/>
              </w:rPr>
            </w:pP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认定医院医保科（或经办机构）意见</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（盖章）</w:t>
            </w:r>
          </w:p>
          <w:p>
            <w:pPr>
              <w:keepNext w:val="0"/>
              <w:keepLines w:val="0"/>
              <w:pageBreakBefore w:val="0"/>
              <w:widowControl w:val="0"/>
              <w:kinsoku/>
              <w:wordWrap/>
              <w:overflowPunct/>
              <w:topLinePunct w:val="0"/>
              <w:autoSpaceDE/>
              <w:autoSpaceDN/>
              <w:bidi w:val="0"/>
              <w:adjustRightInd/>
              <w:snapToGrid/>
              <w:spacing w:line="540" w:lineRule="exact"/>
              <w:ind w:firstLine="240" w:firstLineChars="100"/>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经办人</w:t>
            </w:r>
            <w:r>
              <w:rPr>
                <w:rFonts w:hint="eastAsia" w:ascii="仿宋_GB2312" w:hAnsi="仿宋_GB2312" w:eastAsia="仿宋_GB2312" w:cs="仿宋_GB2312"/>
                <w:color w:val="auto"/>
                <w:sz w:val="24"/>
                <w:szCs w:val="24"/>
                <w:lang w:eastAsia="zh-CN"/>
              </w:rPr>
              <w:t>：</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年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月  日 </w:t>
            </w:r>
          </w:p>
        </w:tc>
        <w:tc>
          <w:tcPr>
            <w:tcW w:w="4535" w:type="dxa"/>
            <w:gridSpan w:val="5"/>
          </w:tcPr>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仿宋_GB2312" w:hAnsi="仿宋_GB2312" w:eastAsia="仿宋_GB2312" w:cs="仿宋_GB2312"/>
                <w:color w:val="auto"/>
                <w:sz w:val="24"/>
                <w:szCs w:val="24"/>
              </w:rPr>
            </w:pP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患者或（代办人）签名</w:t>
            </w:r>
          </w:p>
          <w:p>
            <w:pPr>
              <w:keepNext w:val="0"/>
              <w:keepLines w:val="0"/>
              <w:pageBreakBefore w:val="0"/>
              <w:widowControl w:val="0"/>
              <w:kinsoku/>
              <w:wordWrap/>
              <w:overflowPunct/>
              <w:topLinePunct w:val="0"/>
              <w:autoSpaceDE/>
              <w:autoSpaceDN/>
              <w:bidi w:val="0"/>
              <w:adjustRightInd/>
              <w:snapToGrid/>
              <w:spacing w:line="540" w:lineRule="exact"/>
              <w:textAlignment w:val="auto"/>
              <w:rPr>
                <w:rFonts w:hint="eastAsia" w:ascii="仿宋_GB2312" w:hAnsi="仿宋_GB2312" w:eastAsia="仿宋_GB2312" w:cs="仿宋_GB2312"/>
                <w:color w:val="auto"/>
                <w:sz w:val="24"/>
                <w:szCs w:val="24"/>
              </w:rPr>
            </w:pPr>
          </w:p>
          <w:p>
            <w:pPr>
              <w:keepNext w:val="0"/>
              <w:keepLines w:val="0"/>
              <w:pageBreakBefore w:val="0"/>
              <w:widowControl w:val="0"/>
              <w:kinsoku/>
              <w:wordWrap/>
              <w:overflowPunct/>
              <w:topLinePunct w:val="0"/>
              <w:autoSpaceDE/>
              <w:autoSpaceDN/>
              <w:bidi w:val="0"/>
              <w:adjustRightInd/>
              <w:snapToGrid/>
              <w:spacing w:line="540" w:lineRule="exact"/>
              <w:ind w:firstLine="2400" w:firstLineChars="1000"/>
              <w:textAlignment w:val="auto"/>
              <w:rPr>
                <w:rFonts w:hint="eastAsia"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 xml:space="preserve">年  </w:t>
            </w:r>
            <w:r>
              <w:rPr>
                <w:rFonts w:hint="eastAsia" w:ascii="仿宋_GB2312" w:hAnsi="仿宋_GB2312" w:eastAsia="仿宋_GB2312" w:cs="仿宋_GB2312"/>
                <w:color w:val="auto"/>
                <w:sz w:val="24"/>
                <w:szCs w:val="24"/>
                <w:lang w:val="en-US" w:eastAsia="zh-CN"/>
              </w:rPr>
              <w:t xml:space="preserve"> </w:t>
            </w:r>
            <w:r>
              <w:rPr>
                <w:rFonts w:hint="eastAsia" w:ascii="仿宋_GB2312" w:hAnsi="仿宋_GB2312" w:eastAsia="仿宋_GB2312" w:cs="仿宋_GB2312"/>
                <w:color w:val="auto"/>
                <w:sz w:val="24"/>
                <w:szCs w:val="24"/>
              </w:rPr>
              <w:t xml:space="preserve">月  日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18" w:hRule="atLeast"/>
        </w:trPr>
        <w:tc>
          <w:tcPr>
            <w:tcW w:w="1739" w:type="dxa"/>
            <w:gridSpan w:val="2"/>
          </w:tcPr>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ascii="仿宋_GB2312" w:hAnsi="仿宋_GB2312" w:eastAsia="仿宋_GB2312" w:cs="仿宋_GB2312"/>
                <w:color w:val="auto"/>
                <w:sz w:val="24"/>
                <w:szCs w:val="24"/>
              </w:rPr>
            </w:pPr>
            <w:r>
              <w:rPr>
                <w:rFonts w:hint="eastAsia" w:ascii="仿宋_GB2312" w:hAnsi="仿宋_GB2312" w:eastAsia="仿宋_GB2312" w:cs="仿宋_GB2312"/>
                <w:color w:val="auto"/>
                <w:sz w:val="24"/>
                <w:szCs w:val="24"/>
              </w:rPr>
              <w:t>备   注</w:t>
            </w:r>
          </w:p>
        </w:tc>
        <w:tc>
          <w:tcPr>
            <w:tcW w:w="7330" w:type="dxa"/>
            <w:gridSpan w:val="8"/>
          </w:tcPr>
          <w:p>
            <w:pPr>
              <w:keepNext w:val="0"/>
              <w:keepLines w:val="0"/>
              <w:pageBreakBefore w:val="0"/>
              <w:widowControl w:val="0"/>
              <w:kinsoku/>
              <w:wordWrap/>
              <w:overflowPunct/>
              <w:topLinePunct w:val="0"/>
              <w:autoSpaceDE/>
              <w:autoSpaceDN/>
              <w:bidi w:val="0"/>
              <w:adjustRightInd/>
              <w:snapToGrid/>
              <w:spacing w:line="540" w:lineRule="exact"/>
              <w:textAlignment w:val="auto"/>
              <w:rPr>
                <w:rFonts w:ascii="仿宋_GB2312" w:hAnsi="仿宋_GB2312" w:eastAsia="仿宋_GB2312" w:cs="仿宋_GB2312"/>
                <w:color w:val="auto"/>
                <w:sz w:val="24"/>
                <w:szCs w:val="24"/>
              </w:rPr>
            </w:pPr>
          </w:p>
        </w:tc>
      </w:tr>
    </w:tbl>
    <w:p>
      <w:pPr>
        <w:widowControl/>
        <w:spacing w:line="480" w:lineRule="auto"/>
        <w:jc w:val="left"/>
        <w:rPr>
          <w:rFonts w:hint="eastAsia" w:ascii="仿宋" w:hAnsi="仿宋" w:eastAsia="仿宋" w:cs="仿宋"/>
          <w:b w:val="0"/>
          <w:bCs/>
          <w:color w:val="auto"/>
          <w:sz w:val="32"/>
          <w:szCs w:val="32"/>
        </w:rPr>
      </w:pPr>
    </w:p>
    <w:p>
      <w:pPr>
        <w:widowControl/>
        <w:spacing w:line="480" w:lineRule="auto"/>
        <w:jc w:val="left"/>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附件3</w:t>
      </w:r>
    </w:p>
    <w:p>
      <w:pPr>
        <w:widowControl/>
        <w:spacing w:line="480" w:lineRule="auto"/>
        <w:ind w:left="721"/>
        <w:jc w:val="center"/>
        <w:rPr>
          <w:rFonts w:hint="eastAsia" w:ascii="方正小标宋简体" w:hAnsi="方正小标宋简体" w:eastAsia="方正小标宋简体" w:cs="方正小标宋简体"/>
          <w:color w:val="auto"/>
          <w:sz w:val="36"/>
          <w:szCs w:val="36"/>
        </w:rPr>
      </w:pPr>
      <w:r>
        <w:rPr>
          <w:rFonts w:hint="eastAsia" w:ascii="方正小标宋简体" w:hAnsi="方正小标宋简体" w:eastAsia="方正小标宋简体" w:cs="方正小标宋简体"/>
          <w:color w:val="auto"/>
          <w:sz w:val="36"/>
          <w:szCs w:val="36"/>
        </w:rPr>
        <w:t>咸阳市基本医疗保险门诊慢特病待遇标准</w:t>
      </w:r>
      <w:r>
        <w:rPr>
          <w:rFonts w:hint="eastAsia" w:ascii="方正小标宋简体" w:hAnsi="方正小标宋简体" w:eastAsia="方正小标宋简体" w:cs="方正小标宋简体"/>
          <w:color w:val="auto"/>
          <w:kern w:val="0"/>
          <w:sz w:val="36"/>
          <w:szCs w:val="36"/>
        </w:rPr>
        <w:t>(</w:t>
      </w:r>
      <w:r>
        <w:rPr>
          <w:rFonts w:hint="eastAsia" w:ascii="方正小标宋简体" w:hAnsi="方正小标宋简体" w:eastAsia="方正小标宋简体" w:cs="方正小标宋简体"/>
          <w:color w:val="auto"/>
          <w:sz w:val="36"/>
          <w:szCs w:val="36"/>
        </w:rPr>
        <w:t>Ⅰ类)</w:t>
      </w:r>
    </w:p>
    <w:tbl>
      <w:tblPr>
        <w:tblStyle w:val="6"/>
        <w:tblpPr w:leftFromText="180" w:rightFromText="180" w:vertAnchor="text" w:horzAnchor="page" w:tblpX="1414" w:tblpY="619"/>
        <w:tblOverlap w:val="never"/>
        <w:tblW w:w="9415" w:type="dxa"/>
        <w:tblInd w:w="0" w:type="dxa"/>
        <w:tblLayout w:type="fixed"/>
        <w:tblCellMar>
          <w:top w:w="15" w:type="dxa"/>
          <w:left w:w="15" w:type="dxa"/>
          <w:bottom w:w="15" w:type="dxa"/>
          <w:right w:w="15" w:type="dxa"/>
        </w:tblCellMar>
      </w:tblPr>
      <w:tblGrid>
        <w:gridCol w:w="614"/>
        <w:gridCol w:w="1984"/>
        <w:gridCol w:w="1134"/>
        <w:gridCol w:w="567"/>
        <w:gridCol w:w="961"/>
        <w:gridCol w:w="960"/>
        <w:gridCol w:w="945"/>
        <w:gridCol w:w="1080"/>
        <w:gridCol w:w="1170"/>
      </w:tblGrid>
      <w:tr>
        <w:tblPrEx>
          <w:tblCellMar>
            <w:top w:w="15" w:type="dxa"/>
            <w:left w:w="15" w:type="dxa"/>
            <w:bottom w:w="15" w:type="dxa"/>
            <w:right w:w="15" w:type="dxa"/>
          </w:tblCellMar>
        </w:tblPrEx>
        <w:trPr>
          <w:trHeight w:val="369" w:hRule="atLeast"/>
        </w:trPr>
        <w:tc>
          <w:tcPr>
            <w:tcW w:w="614" w:type="dxa"/>
            <w:vMerge w:val="restart"/>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仿宋"/>
                <w:color w:val="auto"/>
                <w:kern w:val="0"/>
                <w:szCs w:val="21"/>
              </w:rPr>
            </w:pPr>
            <w:r>
              <w:rPr>
                <w:rFonts w:hint="eastAsia" w:ascii="仿宋" w:hAnsi="仿宋" w:eastAsia="仿宋" w:cs="仿宋"/>
                <w:color w:val="auto"/>
                <w:kern w:val="0"/>
                <w:szCs w:val="21"/>
              </w:rPr>
              <w:t>序号</w:t>
            </w:r>
          </w:p>
        </w:tc>
        <w:tc>
          <w:tcPr>
            <w:tcW w:w="1984" w:type="dxa"/>
            <w:vMerge w:val="restart"/>
            <w:tcBorders>
              <w:top w:val="single" w:color="000000" w:sz="4" w:space="0"/>
              <w:left w:val="single" w:color="000000" w:sz="4" w:space="0"/>
              <w:right w:val="single" w:color="auto" w:sz="4" w:space="0"/>
            </w:tcBorders>
            <w:vAlign w:val="center"/>
          </w:tcPr>
          <w:p>
            <w:pPr>
              <w:jc w:val="center"/>
              <w:textAlignment w:val="center"/>
              <w:rPr>
                <w:rFonts w:ascii="宋体" w:hAnsi="宋体" w:cs="宋体"/>
                <w:color w:val="auto"/>
                <w:kern w:val="0"/>
                <w:szCs w:val="21"/>
              </w:rPr>
            </w:pPr>
            <w:r>
              <w:rPr>
                <w:rFonts w:hint="eastAsia" w:ascii="宋体" w:hAnsi="宋体" w:cs="宋体"/>
                <w:color w:val="auto"/>
                <w:kern w:val="0"/>
                <w:szCs w:val="21"/>
              </w:rPr>
              <w:t>门诊特殊病名称      (</w:t>
            </w:r>
            <w:r>
              <w:rPr>
                <w:rFonts w:hint="eastAsia" w:ascii="仿宋_GB2312" w:hAnsi="仿宋_GB2312" w:eastAsia="仿宋_GB2312" w:cs="仿宋_GB2312"/>
                <w:color w:val="auto"/>
                <w:sz w:val="24"/>
                <w:szCs w:val="24"/>
              </w:rPr>
              <w:t>Ⅰ类)</w:t>
            </w:r>
          </w:p>
        </w:tc>
        <w:tc>
          <w:tcPr>
            <w:tcW w:w="1134" w:type="dxa"/>
            <w:vMerge w:val="restart"/>
            <w:tcBorders>
              <w:top w:val="single" w:color="000000" w:sz="4" w:space="0"/>
              <w:left w:val="single" w:color="auto" w:sz="4" w:space="0"/>
              <w:right w:val="single" w:color="auto" w:sz="4" w:space="0"/>
            </w:tcBorders>
            <w:vAlign w:val="center"/>
          </w:tcPr>
          <w:p>
            <w:pPr>
              <w:jc w:val="center"/>
              <w:textAlignment w:val="center"/>
              <w:rPr>
                <w:rFonts w:ascii="仿宋" w:hAnsi="仿宋" w:eastAsia="仿宋" w:cs="仿宋"/>
                <w:color w:val="auto"/>
                <w:kern w:val="0"/>
                <w:sz w:val="24"/>
                <w:szCs w:val="24"/>
              </w:rPr>
            </w:pPr>
            <w:r>
              <w:rPr>
                <w:rFonts w:hint="eastAsia" w:ascii="仿宋" w:hAnsi="仿宋" w:eastAsia="仿宋" w:cs="仿宋"/>
                <w:color w:val="auto"/>
                <w:kern w:val="0"/>
                <w:sz w:val="24"/>
                <w:szCs w:val="24"/>
              </w:rPr>
              <w:t>病种代码</w:t>
            </w:r>
          </w:p>
        </w:tc>
        <w:tc>
          <w:tcPr>
            <w:tcW w:w="4513" w:type="dxa"/>
            <w:gridSpan w:val="5"/>
            <w:tcBorders>
              <w:top w:val="single" w:color="000000" w:sz="4" w:space="0"/>
              <w:left w:val="single" w:color="auto" w:sz="4" w:space="0"/>
              <w:right w:val="single" w:color="000000" w:sz="4" w:space="0"/>
            </w:tcBorders>
            <w:vAlign w:val="center"/>
          </w:tcPr>
          <w:p>
            <w:pPr>
              <w:widowControl/>
              <w:jc w:val="center"/>
              <w:textAlignment w:val="center"/>
              <w:rPr>
                <w:rFonts w:ascii="宋体" w:hAnsi="宋体" w:cs="宋体"/>
                <w:color w:val="auto"/>
                <w:kern w:val="0"/>
                <w:szCs w:val="21"/>
              </w:rPr>
            </w:pPr>
            <w:r>
              <w:rPr>
                <w:rFonts w:hint="eastAsia" w:ascii="宋体" w:hAnsi="宋体" w:cs="宋体"/>
                <w:color w:val="auto"/>
                <w:kern w:val="0"/>
                <w:szCs w:val="21"/>
              </w:rPr>
              <w:t>支付标准（元）</w:t>
            </w:r>
          </w:p>
        </w:tc>
        <w:tc>
          <w:tcPr>
            <w:tcW w:w="1170" w:type="dxa"/>
            <w:vMerge w:val="restart"/>
            <w:tcBorders>
              <w:top w:val="single" w:color="000000" w:sz="4" w:space="0"/>
              <w:left w:val="single" w:color="000000" w:sz="4" w:space="0"/>
              <w:right w:val="single" w:color="000000" w:sz="4" w:space="0"/>
            </w:tcBorders>
            <w:vAlign w:val="center"/>
          </w:tcPr>
          <w:p>
            <w:pPr>
              <w:jc w:val="center"/>
              <w:textAlignment w:val="center"/>
              <w:rPr>
                <w:rFonts w:ascii="宋体" w:hAnsi="宋体" w:cs="宋体"/>
                <w:color w:val="auto"/>
                <w:kern w:val="0"/>
                <w:szCs w:val="21"/>
              </w:rPr>
            </w:pPr>
            <w:r>
              <w:rPr>
                <w:rFonts w:hint="eastAsia" w:ascii="宋体" w:hAnsi="宋体" w:cs="宋体"/>
                <w:color w:val="auto"/>
                <w:kern w:val="0"/>
                <w:szCs w:val="21"/>
              </w:rPr>
              <w:t>有效期</w:t>
            </w:r>
          </w:p>
        </w:tc>
      </w:tr>
      <w:tr>
        <w:tblPrEx>
          <w:tblCellMar>
            <w:top w:w="15" w:type="dxa"/>
            <w:left w:w="15" w:type="dxa"/>
            <w:bottom w:w="15" w:type="dxa"/>
            <w:right w:w="15" w:type="dxa"/>
          </w:tblCellMar>
        </w:tblPrEx>
        <w:trPr>
          <w:trHeight w:val="369" w:hRule="atLeast"/>
        </w:trPr>
        <w:tc>
          <w:tcPr>
            <w:tcW w:w="614" w:type="dxa"/>
            <w:vMerge w:val="continue"/>
            <w:tcBorders>
              <w:left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c>
          <w:tcPr>
            <w:tcW w:w="1984" w:type="dxa"/>
            <w:vMerge w:val="continue"/>
            <w:tcBorders>
              <w:left w:val="single" w:color="000000" w:sz="4" w:space="0"/>
              <w:right w:val="single" w:color="auto" w:sz="4" w:space="0"/>
            </w:tcBorders>
            <w:vAlign w:val="center"/>
          </w:tcPr>
          <w:p>
            <w:pPr>
              <w:widowControl/>
              <w:jc w:val="center"/>
              <w:textAlignment w:val="center"/>
              <w:rPr>
                <w:rFonts w:ascii="仿宋" w:hAnsi="仿宋" w:eastAsia="仿宋" w:cs="仿宋"/>
                <w:color w:val="auto"/>
                <w:kern w:val="0"/>
                <w:szCs w:val="21"/>
              </w:rPr>
            </w:pPr>
          </w:p>
        </w:tc>
        <w:tc>
          <w:tcPr>
            <w:tcW w:w="1134" w:type="dxa"/>
            <w:vMerge w:val="continue"/>
            <w:tcBorders>
              <w:left w:val="single" w:color="auto" w:sz="4" w:space="0"/>
              <w:right w:val="single" w:color="auto" w:sz="4" w:space="0"/>
            </w:tcBorders>
            <w:vAlign w:val="center"/>
          </w:tcPr>
          <w:p>
            <w:pPr>
              <w:widowControl/>
              <w:jc w:val="center"/>
              <w:textAlignment w:val="center"/>
              <w:rPr>
                <w:rFonts w:ascii="仿宋" w:hAnsi="仿宋" w:eastAsia="仿宋" w:cs="仿宋"/>
                <w:color w:val="auto"/>
                <w:kern w:val="0"/>
                <w:sz w:val="24"/>
                <w:szCs w:val="24"/>
              </w:rPr>
            </w:pPr>
          </w:p>
        </w:tc>
        <w:tc>
          <w:tcPr>
            <w:tcW w:w="567" w:type="dxa"/>
            <w:vMerge w:val="restart"/>
            <w:tcBorders>
              <w:top w:val="single" w:color="000000" w:sz="4" w:space="0"/>
              <w:left w:val="single" w:color="auto" w:sz="4" w:space="0"/>
              <w:right w:val="single" w:color="000000" w:sz="4" w:space="0"/>
            </w:tcBorders>
            <w:vAlign w:val="center"/>
          </w:tcPr>
          <w:p>
            <w:pPr>
              <w:widowControl/>
              <w:jc w:val="center"/>
              <w:textAlignment w:val="center"/>
              <w:rPr>
                <w:rFonts w:ascii="宋体" w:hAnsi="宋体" w:cs="宋体"/>
                <w:color w:val="auto"/>
                <w:kern w:val="0"/>
                <w:szCs w:val="21"/>
              </w:rPr>
            </w:pPr>
            <w:r>
              <w:rPr>
                <w:rFonts w:hint="eastAsia" w:ascii="宋体" w:hAnsi="宋体" w:cs="宋体"/>
                <w:color w:val="auto"/>
                <w:kern w:val="0"/>
                <w:szCs w:val="21"/>
              </w:rPr>
              <w:t>起付  标准</w:t>
            </w:r>
          </w:p>
        </w:tc>
        <w:tc>
          <w:tcPr>
            <w:tcW w:w="1921" w:type="dxa"/>
            <w:gridSpan w:val="2"/>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szCs w:val="21"/>
                <w:lang w:eastAsia="zh-CN"/>
              </w:rPr>
            </w:pPr>
            <w:r>
              <w:rPr>
                <w:rFonts w:hint="eastAsia" w:ascii="宋体" w:hAnsi="宋体" w:cs="宋体"/>
                <w:color w:val="auto"/>
                <w:szCs w:val="21"/>
                <w:lang w:val="en-US" w:eastAsia="zh-CN"/>
              </w:rPr>
              <w:t>居民</w:t>
            </w:r>
          </w:p>
        </w:tc>
        <w:tc>
          <w:tcPr>
            <w:tcW w:w="2025" w:type="dxa"/>
            <w:gridSpan w:val="2"/>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szCs w:val="21"/>
                <w:lang w:eastAsia="zh-CN"/>
              </w:rPr>
            </w:pPr>
            <w:r>
              <w:rPr>
                <w:rFonts w:hint="eastAsia" w:ascii="宋体" w:hAnsi="宋体" w:cs="宋体"/>
                <w:color w:val="auto"/>
                <w:szCs w:val="21"/>
                <w:lang w:val="en-US" w:eastAsia="zh-CN"/>
              </w:rPr>
              <w:t>职工</w:t>
            </w:r>
          </w:p>
        </w:tc>
        <w:tc>
          <w:tcPr>
            <w:tcW w:w="1170" w:type="dxa"/>
            <w:vMerge w:val="continue"/>
            <w:tcBorders>
              <w:left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r>
      <w:tr>
        <w:tblPrEx>
          <w:tblCellMar>
            <w:top w:w="15" w:type="dxa"/>
            <w:left w:w="15" w:type="dxa"/>
            <w:bottom w:w="15" w:type="dxa"/>
            <w:right w:w="15" w:type="dxa"/>
          </w:tblCellMar>
        </w:tblPrEx>
        <w:trPr>
          <w:trHeight w:val="369" w:hRule="atLeast"/>
        </w:trPr>
        <w:tc>
          <w:tcPr>
            <w:tcW w:w="614" w:type="dxa"/>
            <w:vMerge w:val="continue"/>
            <w:tcBorders>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c>
          <w:tcPr>
            <w:tcW w:w="1984" w:type="dxa"/>
            <w:vMerge w:val="continue"/>
            <w:tcBorders>
              <w:left w:val="single" w:color="000000" w:sz="4" w:space="0"/>
              <w:bottom w:val="single" w:color="auto" w:sz="4" w:space="0"/>
              <w:right w:val="single" w:color="auto" w:sz="4" w:space="0"/>
            </w:tcBorders>
            <w:vAlign w:val="center"/>
          </w:tcPr>
          <w:p>
            <w:pPr>
              <w:widowControl/>
              <w:jc w:val="center"/>
              <w:textAlignment w:val="center"/>
              <w:rPr>
                <w:rFonts w:ascii="仿宋" w:hAnsi="仿宋" w:eastAsia="仿宋" w:cs="仿宋"/>
                <w:color w:val="auto"/>
                <w:kern w:val="0"/>
                <w:szCs w:val="21"/>
              </w:rPr>
            </w:pPr>
          </w:p>
        </w:tc>
        <w:tc>
          <w:tcPr>
            <w:tcW w:w="1134" w:type="dxa"/>
            <w:vMerge w:val="continue"/>
            <w:tcBorders>
              <w:left w:val="single" w:color="auto" w:sz="4" w:space="0"/>
              <w:bottom w:val="single" w:color="auto" w:sz="4" w:space="0"/>
              <w:right w:val="single" w:color="auto" w:sz="4" w:space="0"/>
            </w:tcBorders>
            <w:vAlign w:val="center"/>
          </w:tcPr>
          <w:p>
            <w:pPr>
              <w:widowControl/>
              <w:jc w:val="center"/>
              <w:textAlignment w:val="center"/>
              <w:rPr>
                <w:rFonts w:ascii="仿宋" w:hAnsi="仿宋" w:eastAsia="仿宋" w:cs="仿宋"/>
                <w:color w:val="auto"/>
                <w:kern w:val="0"/>
                <w:szCs w:val="21"/>
              </w:rPr>
            </w:pPr>
          </w:p>
        </w:tc>
        <w:tc>
          <w:tcPr>
            <w:tcW w:w="567" w:type="dxa"/>
            <w:vMerge w:val="continue"/>
            <w:tcBorders>
              <w:left w:val="single" w:color="auto" w:sz="4" w:space="0"/>
              <w:bottom w:val="single" w:color="auto" w:sz="4" w:space="0"/>
              <w:right w:val="single" w:color="000000" w:sz="4" w:space="0"/>
            </w:tcBorders>
            <w:vAlign w:val="center"/>
          </w:tcPr>
          <w:p>
            <w:pPr>
              <w:widowControl/>
              <w:jc w:val="center"/>
              <w:textAlignment w:val="center"/>
              <w:rPr>
                <w:rFonts w:ascii="宋体" w:hAnsi="宋体" w:cs="宋体"/>
                <w:color w:val="auto"/>
                <w:kern w:val="0"/>
                <w:szCs w:val="21"/>
              </w:rPr>
            </w:pP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kern w:val="0"/>
                <w:szCs w:val="21"/>
              </w:rPr>
              <w:t>支付比例    （%）</w:t>
            </w:r>
          </w:p>
        </w:tc>
        <w:tc>
          <w:tcPr>
            <w:tcW w:w="960"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szCs w:val="21"/>
              </w:rPr>
              <w:t>年度支付限额</w:t>
            </w:r>
          </w:p>
        </w:tc>
        <w:tc>
          <w:tcPr>
            <w:tcW w:w="945" w:type="dxa"/>
            <w:tcBorders>
              <w:top w:val="single" w:color="000000" w:sz="4" w:space="0"/>
              <w:left w:val="single" w:color="auto" w:sz="4" w:space="0"/>
              <w:bottom w:val="single" w:color="000000" w:sz="4" w:space="0"/>
              <w:right w:val="single" w:color="auto"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kern w:val="0"/>
                <w:szCs w:val="21"/>
              </w:rPr>
              <w:t>支付比例（%）</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szCs w:val="21"/>
              </w:rPr>
              <w:t>年度支付限额</w:t>
            </w:r>
          </w:p>
        </w:tc>
        <w:tc>
          <w:tcPr>
            <w:tcW w:w="1170" w:type="dxa"/>
            <w:vMerge w:val="continue"/>
            <w:tcBorders>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高血压</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M03900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2568</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2568</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2</w:t>
            </w:r>
          </w:p>
        </w:tc>
        <w:tc>
          <w:tcPr>
            <w:tcW w:w="1984" w:type="dxa"/>
            <w:tcBorders>
              <w:top w:val="single" w:color="auto" w:sz="4" w:space="0"/>
              <w:left w:val="single" w:color="auto" w:sz="4" w:space="0"/>
              <w:bottom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糖尿病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M01600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2952</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2952</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3</w:t>
            </w:r>
          </w:p>
        </w:tc>
        <w:tc>
          <w:tcPr>
            <w:tcW w:w="1984" w:type="dxa"/>
            <w:tcBorders>
              <w:top w:val="single" w:color="000000" w:sz="4" w:space="0"/>
              <w:left w:val="single" w:color="auto" w:sz="4" w:space="0"/>
              <w:bottom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高脂血症</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M01912</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1500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1500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4</w:t>
            </w:r>
          </w:p>
        </w:tc>
        <w:tc>
          <w:tcPr>
            <w:tcW w:w="1984" w:type="dxa"/>
            <w:tcBorders>
              <w:top w:val="single" w:color="000000" w:sz="4" w:space="0"/>
              <w:left w:val="single" w:color="auto" w:sz="4" w:space="0"/>
              <w:bottom w:val="single" w:color="000000" w:sz="4" w:space="0"/>
              <w:right w:val="single" w:color="auto" w:sz="4" w:space="0"/>
            </w:tcBorders>
            <w:vAlign w:val="center"/>
          </w:tcPr>
          <w:p>
            <w:pPr>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恶性肿瘤门诊治疗</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M00500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945" w:type="dxa"/>
            <w:tcBorders>
              <w:top w:val="single" w:color="000000" w:sz="4" w:space="0"/>
              <w:left w:val="single" w:color="auto" w:sz="4" w:space="0"/>
              <w:bottom w:val="single" w:color="000000" w:sz="4" w:space="0"/>
              <w:right w:val="single" w:color="000000" w:sz="4" w:space="0"/>
            </w:tcBorders>
            <w:vAlign w:val="center"/>
          </w:tcPr>
          <w:p>
            <w:pPr>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90</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579" w:hRule="atLeast"/>
        </w:trPr>
        <w:tc>
          <w:tcPr>
            <w:tcW w:w="614" w:type="dxa"/>
            <w:tcBorders>
              <w:top w:val="single" w:color="000000" w:sz="4" w:space="0"/>
              <w:left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5</w:t>
            </w:r>
          </w:p>
        </w:tc>
        <w:tc>
          <w:tcPr>
            <w:tcW w:w="1984" w:type="dxa"/>
            <w:tcBorders>
              <w:top w:val="single" w:color="000000"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器官移植抗排异     治疗</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M08300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90</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6</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脑血管病后遗症</w:t>
            </w:r>
            <w:r>
              <w:rPr>
                <w:rFonts w:hint="eastAsia" w:ascii="仿宋" w:hAnsi="仿宋" w:eastAsia="仿宋" w:cs="仿宋"/>
                <w:color w:val="auto"/>
                <w:kern w:val="0"/>
                <w:szCs w:val="21"/>
                <w:lang w:val="en-US" w:eastAsia="zh-CN"/>
              </w:rPr>
              <w:t xml:space="preserve">  </w:t>
            </w:r>
            <w:r>
              <w:rPr>
                <w:rFonts w:hint="eastAsia" w:ascii="仿宋" w:hAnsi="仿宋" w:eastAsia="仿宋" w:cs="仿宋"/>
                <w:color w:val="auto"/>
                <w:kern w:val="0"/>
                <w:szCs w:val="21"/>
              </w:rPr>
              <w:t>（脑卒中后遗症）</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M04803</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5400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5400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vMerge w:val="restart"/>
            <w:tcBorders>
              <w:top w:val="single" w:color="000000" w:sz="4" w:space="0"/>
              <w:left w:val="single" w:color="000000"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7</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肺结核活动期</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M00116</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3912</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3912</w:t>
            </w:r>
          </w:p>
        </w:tc>
        <w:tc>
          <w:tcPr>
            <w:tcW w:w="1170" w:type="dxa"/>
            <w:tcBorders>
              <w:top w:val="single" w:color="000000" w:sz="4" w:space="0"/>
              <w:left w:val="single" w:color="000000" w:sz="4" w:space="0"/>
              <w:bottom w:val="single" w:color="auto" w:sz="4" w:space="0"/>
              <w:right w:val="single" w:color="000000" w:sz="4" w:space="0"/>
            </w:tcBorders>
            <w:vAlign w:val="center"/>
          </w:tcPr>
          <w:p>
            <w:pPr>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369" w:hRule="atLeast"/>
        </w:trPr>
        <w:tc>
          <w:tcPr>
            <w:tcW w:w="614" w:type="dxa"/>
            <w:vMerge w:val="continue"/>
            <w:tcBorders>
              <w:left w:val="single" w:color="000000"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耐药性肺结核</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M00</w:t>
            </w:r>
            <w:r>
              <w:rPr>
                <w:rFonts w:hint="eastAsia" w:ascii="仿宋" w:hAnsi="仿宋" w:eastAsia="仿宋" w:cs="仿宋"/>
                <w:color w:val="auto"/>
                <w:szCs w:val="21"/>
                <w:lang w:val="en-US" w:eastAsia="zh-CN"/>
              </w:rPr>
              <w:t>101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8400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8400</w:t>
            </w:r>
          </w:p>
        </w:tc>
        <w:tc>
          <w:tcPr>
            <w:tcW w:w="1170" w:type="dxa"/>
            <w:tcBorders>
              <w:top w:val="single" w:color="000000" w:sz="4" w:space="0"/>
              <w:left w:val="single" w:color="000000" w:sz="4" w:space="0"/>
              <w:bottom w:val="single" w:color="auto" w:sz="4" w:space="0"/>
              <w:right w:val="single" w:color="000000" w:sz="4" w:space="0"/>
            </w:tcBorders>
            <w:vAlign w:val="center"/>
          </w:tcPr>
          <w:p>
            <w:pPr>
              <w:ind w:firstLine="105" w:firstLineChars="50"/>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8</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精神病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M02000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8400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8400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9</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透析（含血液透析、腹膜透析）</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M07801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90</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10</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氟骨症</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M11700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720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720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11</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大骨节病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M08800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600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600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12</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克山病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M01913</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1500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1500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13</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儿童苯丙酮尿症</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M01802</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default" w:ascii="宋体" w:hAnsi="宋体" w:eastAsia="宋体" w:cs="宋体"/>
                <w:color w:val="auto"/>
                <w:kern w:val="0"/>
                <w:sz w:val="21"/>
                <w:szCs w:val="21"/>
                <w:lang w:val="en-US" w:eastAsia="zh-CN" w:bidi="ar-SA"/>
              </w:rPr>
            </w:pPr>
            <w:r>
              <w:rPr>
                <w:rFonts w:hint="eastAsia" w:ascii="宋体" w:hAnsi="宋体" w:cs="宋体"/>
                <w:color w:val="auto"/>
                <w:kern w:val="0"/>
                <w:sz w:val="21"/>
                <w:szCs w:val="21"/>
                <w:lang w:val="en-US" w:eastAsia="zh-CN" w:bidi="ar-SA"/>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20000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0-18岁</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14</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四氢生物蝶呤     缺乏症</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M01801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lang w:val="en-US" w:eastAsia="zh-CN"/>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20000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0-18岁</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15</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甲状腺功能异常</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M01700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2568</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2568</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16</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血友病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M01200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90</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17</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再生障碍性贫血</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M01102</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8400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8400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18</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白血病门诊治疗</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M00800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90</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19</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慢性粒细胞性      白血病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M00803</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90</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20</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儿童白血病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M00820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无上限</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kern w:val="2"/>
                <w:sz w:val="21"/>
                <w:szCs w:val="21"/>
                <w:lang w:val="en-US" w:eastAsia="zh-CN" w:bidi="ar-SA"/>
              </w:rPr>
              <w:t>/</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21</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癫痫</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M02500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3480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3480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22</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脑瘫</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M02601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rPr>
              <w:t>14400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kern w:val="2"/>
                <w:sz w:val="21"/>
                <w:szCs w:val="21"/>
                <w:lang w:val="en-US" w:eastAsia="zh-CN" w:bidi="ar-SA"/>
              </w:rPr>
              <w:t>/</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0-5岁</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23</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慢性阻塞性肺疾病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M05300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3432</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3432</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24</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支气管哮喘</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M05400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0"/>
                <w:szCs w:val="21"/>
              </w:rPr>
              <w:t>3</w:t>
            </w:r>
            <w:r>
              <w:rPr>
                <w:rFonts w:hint="eastAsia" w:ascii="宋体" w:hAnsi="宋体" w:cs="宋体"/>
                <w:color w:val="auto"/>
                <w:kern w:val="0"/>
                <w:szCs w:val="21"/>
                <w:lang w:val="en-US" w:eastAsia="zh-CN"/>
              </w:rPr>
              <w:t>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3432</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3432</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25</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ind w:firstLine="105" w:firstLineChars="50"/>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特发性肺间质    纤维化</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M05601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7992</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7992</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26</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冠心病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M04600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27</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肺源性心脏病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M04100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28</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慢性心力衰竭</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M04301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29</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心脏瓣膜病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M04500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30</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风湿性心脏病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M03802</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31</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心肌病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M04200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2760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32</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病毒性肝炎</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M00200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33</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肝硬化失代偿期</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M06201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5040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5040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34</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慢性肾功能不全失代偿期</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M07806</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5040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5040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2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35</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肾病综合症</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M07700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36</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慢性肾炎</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M07600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37</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慢性肾小球肾炎</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M07603</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38</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免疫性血小板减少</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M01501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6000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6000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 w:val="21"/>
                <w:szCs w:val="21"/>
                <w:lang w:val="en-US" w:eastAsia="zh-CN" w:bidi="ar-SA"/>
              </w:rPr>
              <w:t>39</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生长激素缺乏症（重组人生长激素治疗）</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M01928</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lang w:val="en-US" w:eastAsia="zh-CN"/>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20000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0-18岁</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40</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强直性脊柱炎</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M07200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44"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41</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类风湿性关节炎</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M06900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42</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慢性骨髓炎</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M07300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284"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43</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帕金森病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M02300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kern w:val="2"/>
                <w:sz w:val="21"/>
                <w:szCs w:val="21"/>
                <w:lang w:val="en-US" w:eastAsia="zh-CN" w:bidi="ar-SA"/>
              </w:rPr>
              <w:t>4080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44</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系统性红斑狼疮</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M07101</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8400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eastAsia="宋体" w:cs="宋体"/>
                <w:color w:val="auto"/>
                <w:kern w:val="2"/>
                <w:sz w:val="21"/>
                <w:szCs w:val="21"/>
                <w:lang w:val="en-US" w:eastAsia="zh-CN" w:bidi="ar-SA"/>
              </w:rPr>
            </w:pPr>
            <w:r>
              <w:rPr>
                <w:rFonts w:hint="eastAsia" w:ascii="宋体" w:hAnsi="宋体" w:cs="宋体"/>
                <w:color w:val="auto"/>
                <w:szCs w:val="21"/>
                <w:lang w:val="en-US" w:eastAsia="zh-CN"/>
              </w:rPr>
              <w:t>8400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14"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45</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银屑病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M06700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2040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2040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542" w:hRule="atLeast"/>
        </w:trPr>
        <w:tc>
          <w:tcPr>
            <w:tcW w:w="614" w:type="dxa"/>
            <w:tcBorders>
              <w:top w:val="single" w:color="000000" w:sz="4" w:space="0"/>
              <w:left w:val="single" w:color="000000" w:sz="4" w:space="0"/>
              <w:bottom w:val="single" w:color="auto" w:sz="4" w:space="0"/>
              <w:right w:val="single" w:color="auto"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46</w:t>
            </w:r>
          </w:p>
        </w:tc>
        <w:tc>
          <w:tcPr>
            <w:tcW w:w="198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中枢神经系统脱髓鞘疾病</w:t>
            </w:r>
          </w:p>
        </w:tc>
        <w:tc>
          <w:tcPr>
            <w:tcW w:w="1134"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M03000</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1500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1500</w:t>
            </w:r>
          </w:p>
        </w:tc>
        <w:tc>
          <w:tcPr>
            <w:tcW w:w="1170" w:type="dxa"/>
            <w:tcBorders>
              <w:top w:val="single" w:color="000000" w:sz="4" w:space="0"/>
              <w:left w:val="single" w:color="000000" w:sz="4" w:space="0"/>
              <w:bottom w:val="single" w:color="auto"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47</w:t>
            </w:r>
          </w:p>
        </w:tc>
        <w:tc>
          <w:tcPr>
            <w:tcW w:w="198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仿宋" w:hAnsi="仿宋" w:eastAsia="仿宋" w:cs="仿宋"/>
                <w:color w:val="auto"/>
                <w:kern w:val="0"/>
                <w:szCs w:val="21"/>
              </w:rPr>
            </w:pPr>
            <w:r>
              <w:rPr>
                <w:rFonts w:hint="eastAsia" w:ascii="仿宋" w:hAnsi="仿宋" w:eastAsia="仿宋" w:cs="仿宋"/>
                <w:color w:val="auto"/>
                <w:kern w:val="0"/>
                <w:szCs w:val="21"/>
              </w:rPr>
              <w:t>运动神经元病</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szCs w:val="21"/>
              </w:rPr>
            </w:pPr>
            <w:r>
              <w:rPr>
                <w:rFonts w:hint="eastAsia" w:ascii="仿宋" w:hAnsi="仿宋" w:eastAsia="仿宋" w:cs="仿宋"/>
                <w:color w:val="auto"/>
                <w:szCs w:val="21"/>
              </w:rPr>
              <w:t>M02700</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auto"/>
                <w:kern w:val="0"/>
                <w:szCs w:val="21"/>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7992</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szCs w:val="21"/>
              </w:rPr>
              <w:t>7992</w:t>
            </w:r>
          </w:p>
        </w:tc>
        <w:tc>
          <w:tcPr>
            <w:tcW w:w="11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48</w:t>
            </w:r>
          </w:p>
        </w:tc>
        <w:tc>
          <w:tcPr>
            <w:tcW w:w="198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股骨头坏死</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仿宋" w:hAnsi="仿宋" w:eastAsia="仿宋" w:cs="仿宋"/>
                <w:color w:val="auto"/>
                <w:kern w:val="2"/>
                <w:sz w:val="21"/>
                <w:szCs w:val="21"/>
                <w:lang w:val="en-US" w:eastAsia="zh-CN" w:bidi="ar-SA"/>
              </w:rPr>
            </w:pPr>
            <w:r>
              <w:rPr>
                <w:rFonts w:hint="eastAsia" w:ascii="仿宋" w:hAnsi="仿宋" w:eastAsia="仿宋" w:cs="仿宋"/>
                <w:color w:val="auto"/>
                <w:szCs w:val="21"/>
              </w:rPr>
              <w:t>M07401</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3000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3000</w:t>
            </w:r>
          </w:p>
        </w:tc>
        <w:tc>
          <w:tcPr>
            <w:tcW w:w="11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5年</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szCs w:val="21"/>
                <w:lang w:val="en-US" w:eastAsia="zh-CN"/>
              </w:rPr>
            </w:pPr>
            <w:r>
              <w:rPr>
                <w:rFonts w:hint="eastAsia" w:ascii="仿宋" w:hAnsi="仿宋" w:eastAsia="仿宋" w:cs="仿宋"/>
                <w:color w:val="auto"/>
                <w:szCs w:val="21"/>
                <w:lang w:val="en-US" w:eastAsia="zh-CN"/>
              </w:rPr>
              <w:t>49</w:t>
            </w:r>
          </w:p>
        </w:tc>
        <w:tc>
          <w:tcPr>
            <w:tcW w:w="198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系统性硬化症</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M07105</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auto"/>
                <w:kern w:val="0"/>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4020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szCs w:val="21"/>
              </w:rPr>
              <w:t>4020</w:t>
            </w:r>
          </w:p>
        </w:tc>
        <w:tc>
          <w:tcPr>
            <w:tcW w:w="11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 w:val="21"/>
                <w:szCs w:val="21"/>
                <w:lang w:val="en-US" w:eastAsia="zh-CN" w:bidi="ar-SA"/>
              </w:rPr>
            </w:pPr>
            <w:r>
              <w:rPr>
                <w:rFonts w:hint="eastAsia" w:ascii="仿宋" w:hAnsi="仿宋" w:eastAsia="仿宋" w:cs="仿宋"/>
                <w:color w:val="auto"/>
                <w:kern w:val="0"/>
                <w:szCs w:val="21"/>
                <w:lang w:val="en-US" w:eastAsia="zh-CN"/>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50</w:t>
            </w:r>
          </w:p>
        </w:tc>
        <w:tc>
          <w:tcPr>
            <w:tcW w:w="198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肝豆状核变性</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2"/>
                <w:sz w:val="21"/>
                <w:szCs w:val="21"/>
                <w:lang w:val="en-US" w:eastAsia="zh-CN" w:bidi="ar-SA"/>
              </w:rPr>
            </w:pPr>
            <w:r>
              <w:rPr>
                <w:rFonts w:hint="eastAsia" w:ascii="仿宋" w:hAnsi="仿宋" w:eastAsia="仿宋" w:cs="仿宋"/>
                <w:color w:val="auto"/>
                <w:szCs w:val="21"/>
              </w:rPr>
              <w:t>M01904</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7992</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szCs w:val="21"/>
              </w:rPr>
              <w:t>7992</w:t>
            </w:r>
          </w:p>
        </w:tc>
        <w:tc>
          <w:tcPr>
            <w:tcW w:w="11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r>
        <w:tblPrEx>
          <w:tblCellMar>
            <w:top w:w="15" w:type="dxa"/>
            <w:left w:w="15" w:type="dxa"/>
            <w:bottom w:w="15" w:type="dxa"/>
            <w:right w:w="15" w:type="dxa"/>
          </w:tblCellMar>
        </w:tblPrEx>
        <w:trPr>
          <w:trHeight w:val="369" w:hRule="atLeast"/>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szCs w:val="21"/>
                <w:lang w:val="en-US" w:eastAsia="zh-CN"/>
              </w:rPr>
            </w:pPr>
            <w:r>
              <w:rPr>
                <w:rFonts w:hint="eastAsia" w:ascii="仿宋" w:hAnsi="仿宋" w:eastAsia="仿宋" w:cs="仿宋"/>
                <w:color w:val="auto"/>
                <w:kern w:val="0"/>
                <w:szCs w:val="21"/>
                <w:lang w:val="en-US" w:eastAsia="zh-CN"/>
              </w:rPr>
              <w:t>51</w:t>
            </w:r>
          </w:p>
        </w:tc>
        <w:tc>
          <w:tcPr>
            <w:tcW w:w="198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仿宋" w:hAnsi="仿宋" w:eastAsia="仿宋" w:cs="仿宋"/>
                <w:color w:val="auto"/>
                <w:kern w:val="2"/>
                <w:sz w:val="21"/>
                <w:szCs w:val="21"/>
                <w:lang w:val="en-US" w:eastAsia="zh-CN" w:bidi="ar-SA"/>
              </w:rPr>
            </w:pPr>
            <w:r>
              <w:rPr>
                <w:rFonts w:hint="eastAsia" w:ascii="仿宋" w:hAnsi="仿宋" w:eastAsia="仿宋" w:cs="仿宋"/>
                <w:color w:val="auto"/>
                <w:kern w:val="0"/>
                <w:szCs w:val="21"/>
              </w:rPr>
              <w:t>重症肌无力</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2"/>
                <w:sz w:val="21"/>
                <w:szCs w:val="21"/>
                <w:lang w:val="en-US" w:eastAsia="zh-CN" w:bidi="ar-SA"/>
              </w:rPr>
            </w:pPr>
            <w:r>
              <w:rPr>
                <w:rFonts w:hint="eastAsia" w:ascii="仿宋" w:hAnsi="仿宋" w:eastAsia="仿宋" w:cs="仿宋"/>
                <w:color w:val="auto"/>
                <w:szCs w:val="21"/>
              </w:rPr>
              <w:t>M03200</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kern w:val="0"/>
                <w:szCs w:val="21"/>
              </w:rPr>
              <w:t>360</w:t>
            </w:r>
          </w:p>
        </w:tc>
        <w:tc>
          <w:tcPr>
            <w:tcW w:w="96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szCs w:val="21"/>
              </w:rPr>
              <w:t>70</w:t>
            </w:r>
          </w:p>
        </w:tc>
        <w:tc>
          <w:tcPr>
            <w:tcW w:w="96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4800</w:t>
            </w:r>
          </w:p>
        </w:tc>
        <w:tc>
          <w:tcPr>
            <w:tcW w:w="945"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2"/>
                <w:sz w:val="21"/>
                <w:szCs w:val="21"/>
                <w:lang w:val="en-US" w:eastAsia="zh-CN" w:bidi="ar-SA"/>
              </w:rPr>
            </w:pPr>
            <w:r>
              <w:rPr>
                <w:rFonts w:hint="eastAsia" w:ascii="宋体" w:hAnsi="宋体" w:cs="宋体"/>
                <w:color w:val="auto"/>
                <w:szCs w:val="21"/>
              </w:rPr>
              <w:t>85</w:t>
            </w:r>
          </w:p>
        </w:tc>
        <w:tc>
          <w:tcPr>
            <w:tcW w:w="1080"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eastAsia="宋体" w:cs="宋体"/>
                <w:color w:val="auto"/>
                <w:kern w:val="2"/>
                <w:sz w:val="21"/>
                <w:szCs w:val="21"/>
                <w:lang w:val="en-US" w:eastAsia="zh-CN" w:bidi="ar-SA"/>
              </w:rPr>
            </w:pPr>
            <w:r>
              <w:rPr>
                <w:rFonts w:hint="eastAsia" w:ascii="宋体" w:hAnsi="宋体" w:cs="宋体"/>
                <w:color w:val="auto"/>
                <w:szCs w:val="21"/>
              </w:rPr>
              <w:t>4800</w:t>
            </w:r>
          </w:p>
        </w:tc>
        <w:tc>
          <w:tcPr>
            <w:tcW w:w="11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 w:val="21"/>
                <w:szCs w:val="21"/>
                <w:lang w:val="en-US" w:eastAsia="zh-CN" w:bidi="ar-SA"/>
              </w:rPr>
            </w:pPr>
            <w:r>
              <w:rPr>
                <w:rFonts w:hint="eastAsia" w:ascii="仿宋" w:hAnsi="仿宋" w:eastAsia="仿宋" w:cs="仿宋"/>
                <w:color w:val="auto"/>
                <w:kern w:val="0"/>
                <w:szCs w:val="21"/>
              </w:rPr>
              <w:t>长期</w:t>
            </w:r>
          </w:p>
        </w:tc>
      </w:tr>
    </w:tbl>
    <w:p>
      <w:pPr>
        <w:widowControl/>
        <w:spacing w:line="480" w:lineRule="auto"/>
        <w:jc w:val="center"/>
        <w:rPr>
          <w:rFonts w:hint="eastAsia" w:ascii="方正小标宋简体" w:hAnsi="方正小标宋简体" w:eastAsia="方正小标宋简体" w:cs="方正小标宋简体"/>
          <w:color w:val="auto"/>
          <w:sz w:val="36"/>
          <w:szCs w:val="36"/>
        </w:rPr>
      </w:pPr>
      <w:r>
        <w:rPr>
          <w:rFonts w:hint="eastAsia" w:ascii="方正小标宋简体" w:hAnsi="方正小标宋简体" w:eastAsia="方正小标宋简体" w:cs="方正小标宋简体"/>
          <w:color w:val="auto"/>
          <w:sz w:val="36"/>
          <w:szCs w:val="36"/>
        </w:rPr>
        <w:t>咸阳市基本医疗保险门诊慢特病待遇标准</w:t>
      </w:r>
      <w:r>
        <w:rPr>
          <w:rFonts w:hint="eastAsia" w:ascii="方正小标宋简体" w:hAnsi="方正小标宋简体" w:eastAsia="方正小标宋简体" w:cs="方正小标宋简体"/>
          <w:color w:val="auto"/>
          <w:kern w:val="0"/>
          <w:sz w:val="36"/>
          <w:szCs w:val="36"/>
        </w:rPr>
        <w:t>(</w:t>
      </w:r>
      <w:r>
        <w:rPr>
          <w:rFonts w:hint="eastAsia" w:ascii="方正小标宋简体" w:hAnsi="方正小标宋简体" w:eastAsia="方正小标宋简体" w:cs="方正小标宋简体"/>
          <w:color w:val="auto"/>
          <w:sz w:val="36"/>
          <w:szCs w:val="36"/>
        </w:rPr>
        <w:t>Ⅱ类)</w:t>
      </w:r>
    </w:p>
    <w:p>
      <w:pPr>
        <w:widowControl/>
        <w:spacing w:line="480" w:lineRule="auto"/>
        <w:ind w:left="721"/>
        <w:rPr>
          <w:rFonts w:ascii="黑体" w:hAnsi="黑体" w:eastAsia="黑体" w:cs="仿宋"/>
          <w:color w:val="auto"/>
          <w:szCs w:val="21"/>
        </w:rPr>
      </w:pPr>
    </w:p>
    <w:tbl>
      <w:tblPr>
        <w:tblStyle w:val="6"/>
        <w:tblW w:w="9398" w:type="dxa"/>
        <w:jc w:val="center"/>
        <w:tblLayout w:type="fixed"/>
        <w:tblCellMar>
          <w:top w:w="15" w:type="dxa"/>
          <w:left w:w="15" w:type="dxa"/>
          <w:bottom w:w="15" w:type="dxa"/>
          <w:right w:w="15" w:type="dxa"/>
        </w:tblCellMar>
      </w:tblPr>
      <w:tblGrid>
        <w:gridCol w:w="614"/>
        <w:gridCol w:w="1984"/>
        <w:gridCol w:w="1134"/>
        <w:gridCol w:w="567"/>
        <w:gridCol w:w="992"/>
        <w:gridCol w:w="1134"/>
        <w:gridCol w:w="851"/>
        <w:gridCol w:w="1134"/>
        <w:gridCol w:w="988"/>
      </w:tblGrid>
      <w:tr>
        <w:tblPrEx>
          <w:tblCellMar>
            <w:top w:w="15" w:type="dxa"/>
            <w:left w:w="15" w:type="dxa"/>
            <w:bottom w:w="15" w:type="dxa"/>
            <w:right w:w="15" w:type="dxa"/>
          </w:tblCellMar>
        </w:tblPrEx>
        <w:trPr>
          <w:trHeight w:val="369" w:hRule="atLeast"/>
          <w:jc w:val="center"/>
        </w:trPr>
        <w:tc>
          <w:tcPr>
            <w:tcW w:w="614" w:type="dxa"/>
            <w:vMerge w:val="restart"/>
            <w:tcBorders>
              <w:top w:val="single" w:color="000000" w:sz="4" w:space="0"/>
              <w:left w:val="single" w:color="000000" w:sz="4" w:space="0"/>
              <w:right w:val="single" w:color="000000" w:sz="4" w:space="0"/>
            </w:tcBorders>
            <w:vAlign w:val="center"/>
          </w:tcPr>
          <w:p>
            <w:pPr>
              <w:jc w:val="center"/>
              <w:textAlignment w:val="center"/>
              <w:rPr>
                <w:rFonts w:ascii="仿宋" w:hAnsi="仿宋" w:eastAsia="仿宋" w:cs="仿宋"/>
                <w:color w:val="auto"/>
                <w:kern w:val="0"/>
                <w:szCs w:val="21"/>
              </w:rPr>
            </w:pPr>
            <w:r>
              <w:rPr>
                <w:rFonts w:hint="eastAsia" w:ascii="仿宋" w:hAnsi="仿宋" w:eastAsia="仿宋" w:cs="仿宋"/>
                <w:color w:val="auto"/>
                <w:kern w:val="0"/>
                <w:szCs w:val="21"/>
              </w:rPr>
              <w:t>序号</w:t>
            </w:r>
          </w:p>
        </w:tc>
        <w:tc>
          <w:tcPr>
            <w:tcW w:w="1984" w:type="dxa"/>
            <w:vMerge w:val="restart"/>
            <w:tcBorders>
              <w:top w:val="single" w:color="000000" w:sz="4" w:space="0"/>
              <w:left w:val="single" w:color="000000" w:sz="4" w:space="0"/>
              <w:right w:val="single" w:color="auto" w:sz="4" w:space="0"/>
            </w:tcBorders>
            <w:vAlign w:val="center"/>
          </w:tcPr>
          <w:p>
            <w:pPr>
              <w:jc w:val="center"/>
              <w:textAlignment w:val="center"/>
              <w:rPr>
                <w:rFonts w:ascii="宋体" w:hAnsi="宋体" w:cs="宋体"/>
                <w:color w:val="auto"/>
                <w:kern w:val="0"/>
                <w:szCs w:val="21"/>
              </w:rPr>
            </w:pPr>
            <w:r>
              <w:rPr>
                <w:rFonts w:hint="eastAsia" w:ascii="宋体" w:hAnsi="宋体" w:cs="宋体"/>
                <w:color w:val="auto"/>
                <w:kern w:val="0"/>
                <w:szCs w:val="21"/>
              </w:rPr>
              <w:t>门诊特殊病名称    (</w:t>
            </w:r>
            <w:r>
              <w:rPr>
                <w:rFonts w:hint="eastAsia" w:ascii="仿宋_GB2312" w:hAnsi="仿宋_GB2312" w:eastAsia="仿宋_GB2312" w:cs="仿宋_GB2312"/>
                <w:color w:val="auto"/>
                <w:szCs w:val="21"/>
              </w:rPr>
              <w:t>Ⅱ</w:t>
            </w:r>
            <w:r>
              <w:rPr>
                <w:rFonts w:hint="eastAsia" w:ascii="仿宋_GB2312" w:hAnsi="仿宋_GB2312" w:eastAsia="仿宋_GB2312" w:cs="仿宋_GB2312"/>
                <w:color w:val="auto"/>
                <w:sz w:val="24"/>
                <w:szCs w:val="24"/>
              </w:rPr>
              <w:t>类)</w:t>
            </w:r>
          </w:p>
        </w:tc>
        <w:tc>
          <w:tcPr>
            <w:tcW w:w="1134" w:type="dxa"/>
            <w:vMerge w:val="restart"/>
            <w:tcBorders>
              <w:top w:val="single" w:color="000000" w:sz="4" w:space="0"/>
              <w:left w:val="single" w:color="auto" w:sz="4" w:space="0"/>
              <w:right w:val="single" w:color="auto" w:sz="4" w:space="0"/>
            </w:tcBorders>
            <w:vAlign w:val="center"/>
          </w:tcPr>
          <w:p>
            <w:pPr>
              <w:jc w:val="center"/>
              <w:textAlignment w:val="center"/>
              <w:rPr>
                <w:rFonts w:ascii="仿宋" w:hAnsi="仿宋" w:eastAsia="仿宋" w:cs="仿宋"/>
                <w:color w:val="auto"/>
                <w:kern w:val="0"/>
                <w:sz w:val="24"/>
                <w:szCs w:val="24"/>
              </w:rPr>
            </w:pPr>
            <w:r>
              <w:rPr>
                <w:rFonts w:hint="eastAsia" w:ascii="仿宋" w:hAnsi="仿宋" w:eastAsia="仿宋" w:cs="仿宋"/>
                <w:color w:val="auto"/>
                <w:kern w:val="0"/>
                <w:sz w:val="24"/>
                <w:szCs w:val="24"/>
              </w:rPr>
              <w:t>病种代码</w:t>
            </w:r>
          </w:p>
        </w:tc>
        <w:tc>
          <w:tcPr>
            <w:tcW w:w="4678" w:type="dxa"/>
            <w:gridSpan w:val="5"/>
            <w:tcBorders>
              <w:top w:val="single" w:color="000000" w:sz="4" w:space="0"/>
              <w:left w:val="single" w:color="auto" w:sz="4" w:space="0"/>
              <w:right w:val="single" w:color="000000" w:sz="4" w:space="0"/>
            </w:tcBorders>
            <w:vAlign w:val="center"/>
          </w:tcPr>
          <w:p>
            <w:pPr>
              <w:widowControl/>
              <w:jc w:val="center"/>
              <w:textAlignment w:val="center"/>
              <w:rPr>
                <w:rFonts w:ascii="宋体" w:hAnsi="宋体" w:cs="宋体"/>
                <w:color w:val="auto"/>
                <w:kern w:val="0"/>
                <w:szCs w:val="21"/>
              </w:rPr>
            </w:pPr>
            <w:r>
              <w:rPr>
                <w:rFonts w:hint="eastAsia" w:ascii="宋体" w:hAnsi="宋体" w:cs="宋体"/>
                <w:color w:val="auto"/>
                <w:kern w:val="0"/>
                <w:szCs w:val="21"/>
              </w:rPr>
              <w:t>支付标准（元）</w:t>
            </w:r>
          </w:p>
        </w:tc>
        <w:tc>
          <w:tcPr>
            <w:tcW w:w="988" w:type="dxa"/>
            <w:vMerge w:val="restart"/>
            <w:tcBorders>
              <w:top w:val="single" w:color="000000" w:sz="4" w:space="0"/>
              <w:left w:val="single" w:color="000000" w:sz="4" w:space="0"/>
              <w:right w:val="single" w:color="000000" w:sz="4" w:space="0"/>
            </w:tcBorders>
            <w:vAlign w:val="center"/>
          </w:tcPr>
          <w:p>
            <w:pPr>
              <w:jc w:val="center"/>
              <w:textAlignment w:val="center"/>
              <w:rPr>
                <w:rFonts w:ascii="宋体" w:hAnsi="宋体" w:cs="宋体"/>
                <w:color w:val="auto"/>
                <w:kern w:val="0"/>
                <w:szCs w:val="21"/>
              </w:rPr>
            </w:pPr>
            <w:r>
              <w:rPr>
                <w:rFonts w:hint="eastAsia" w:ascii="宋体" w:hAnsi="宋体" w:cs="宋体"/>
                <w:color w:val="auto"/>
                <w:kern w:val="0"/>
                <w:szCs w:val="21"/>
              </w:rPr>
              <w:t>有效期</w:t>
            </w:r>
          </w:p>
        </w:tc>
      </w:tr>
      <w:tr>
        <w:tblPrEx>
          <w:tblCellMar>
            <w:top w:w="15" w:type="dxa"/>
            <w:left w:w="15" w:type="dxa"/>
            <w:bottom w:w="15" w:type="dxa"/>
            <w:right w:w="15" w:type="dxa"/>
          </w:tblCellMar>
        </w:tblPrEx>
        <w:trPr>
          <w:trHeight w:val="369" w:hRule="atLeast"/>
          <w:jc w:val="center"/>
        </w:trPr>
        <w:tc>
          <w:tcPr>
            <w:tcW w:w="614" w:type="dxa"/>
            <w:vMerge w:val="continue"/>
            <w:tcBorders>
              <w:left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c>
          <w:tcPr>
            <w:tcW w:w="1984" w:type="dxa"/>
            <w:vMerge w:val="continue"/>
            <w:tcBorders>
              <w:left w:val="single" w:color="000000" w:sz="4" w:space="0"/>
              <w:right w:val="single" w:color="auto" w:sz="4" w:space="0"/>
            </w:tcBorders>
            <w:vAlign w:val="center"/>
          </w:tcPr>
          <w:p>
            <w:pPr>
              <w:widowControl/>
              <w:jc w:val="center"/>
              <w:textAlignment w:val="center"/>
              <w:rPr>
                <w:rFonts w:ascii="仿宋" w:hAnsi="仿宋" w:eastAsia="仿宋" w:cs="仿宋"/>
                <w:color w:val="auto"/>
                <w:kern w:val="0"/>
                <w:szCs w:val="21"/>
              </w:rPr>
            </w:pPr>
          </w:p>
        </w:tc>
        <w:tc>
          <w:tcPr>
            <w:tcW w:w="1134" w:type="dxa"/>
            <w:vMerge w:val="continue"/>
            <w:tcBorders>
              <w:left w:val="single" w:color="auto" w:sz="4" w:space="0"/>
              <w:right w:val="single" w:color="auto" w:sz="4" w:space="0"/>
            </w:tcBorders>
            <w:vAlign w:val="center"/>
          </w:tcPr>
          <w:p>
            <w:pPr>
              <w:widowControl/>
              <w:jc w:val="center"/>
              <w:textAlignment w:val="center"/>
              <w:rPr>
                <w:rFonts w:ascii="仿宋" w:hAnsi="仿宋" w:eastAsia="仿宋" w:cs="仿宋"/>
                <w:color w:val="auto"/>
                <w:kern w:val="0"/>
                <w:sz w:val="24"/>
                <w:szCs w:val="24"/>
              </w:rPr>
            </w:pPr>
          </w:p>
        </w:tc>
        <w:tc>
          <w:tcPr>
            <w:tcW w:w="567" w:type="dxa"/>
            <w:vMerge w:val="restart"/>
            <w:tcBorders>
              <w:top w:val="single" w:color="000000" w:sz="4" w:space="0"/>
              <w:left w:val="single" w:color="auto" w:sz="4" w:space="0"/>
              <w:right w:val="single" w:color="000000" w:sz="4" w:space="0"/>
            </w:tcBorders>
            <w:vAlign w:val="center"/>
          </w:tcPr>
          <w:p>
            <w:pPr>
              <w:widowControl/>
              <w:jc w:val="center"/>
              <w:textAlignment w:val="center"/>
              <w:rPr>
                <w:rFonts w:ascii="宋体" w:hAnsi="宋体" w:cs="宋体"/>
                <w:color w:val="auto"/>
                <w:kern w:val="0"/>
                <w:szCs w:val="21"/>
              </w:rPr>
            </w:pPr>
            <w:r>
              <w:rPr>
                <w:rFonts w:hint="eastAsia" w:ascii="宋体" w:hAnsi="宋体" w:cs="宋体"/>
                <w:color w:val="auto"/>
                <w:kern w:val="0"/>
                <w:szCs w:val="21"/>
              </w:rPr>
              <w:t>起付  标准</w:t>
            </w:r>
          </w:p>
        </w:tc>
        <w:tc>
          <w:tcPr>
            <w:tcW w:w="2126" w:type="dxa"/>
            <w:gridSpan w:val="2"/>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eastAsia="宋体" w:cs="宋体"/>
                <w:color w:val="auto"/>
                <w:szCs w:val="21"/>
                <w:lang w:eastAsia="zh-CN"/>
              </w:rPr>
            </w:pPr>
            <w:r>
              <w:rPr>
                <w:rFonts w:hint="eastAsia" w:ascii="宋体" w:hAnsi="宋体" w:cs="宋体"/>
                <w:color w:val="auto"/>
                <w:szCs w:val="21"/>
                <w:lang w:val="en-US" w:eastAsia="zh-CN"/>
              </w:rPr>
              <w:t>居民</w:t>
            </w:r>
          </w:p>
        </w:tc>
        <w:tc>
          <w:tcPr>
            <w:tcW w:w="1985" w:type="dxa"/>
            <w:gridSpan w:val="2"/>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szCs w:val="21"/>
                <w:lang w:eastAsia="zh-CN"/>
              </w:rPr>
            </w:pPr>
            <w:r>
              <w:rPr>
                <w:rFonts w:hint="eastAsia" w:ascii="宋体" w:hAnsi="宋体" w:cs="宋体"/>
                <w:color w:val="auto"/>
                <w:szCs w:val="21"/>
                <w:lang w:val="en-US" w:eastAsia="zh-CN"/>
              </w:rPr>
              <w:t>职工</w:t>
            </w:r>
          </w:p>
        </w:tc>
        <w:tc>
          <w:tcPr>
            <w:tcW w:w="988" w:type="dxa"/>
            <w:vMerge w:val="continue"/>
            <w:tcBorders>
              <w:left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r>
      <w:tr>
        <w:tblPrEx>
          <w:tblCellMar>
            <w:top w:w="15" w:type="dxa"/>
            <w:left w:w="15" w:type="dxa"/>
            <w:bottom w:w="15" w:type="dxa"/>
            <w:right w:w="15" w:type="dxa"/>
          </w:tblCellMar>
        </w:tblPrEx>
        <w:trPr>
          <w:trHeight w:val="369" w:hRule="atLeast"/>
          <w:jc w:val="center"/>
        </w:trPr>
        <w:tc>
          <w:tcPr>
            <w:tcW w:w="614" w:type="dxa"/>
            <w:vMerge w:val="continue"/>
            <w:tcBorders>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c>
          <w:tcPr>
            <w:tcW w:w="1984" w:type="dxa"/>
            <w:vMerge w:val="continue"/>
            <w:tcBorders>
              <w:left w:val="single" w:color="000000" w:sz="4" w:space="0"/>
              <w:bottom w:val="single" w:color="000000" w:sz="4" w:space="0"/>
              <w:right w:val="single" w:color="auto" w:sz="4" w:space="0"/>
            </w:tcBorders>
            <w:vAlign w:val="center"/>
          </w:tcPr>
          <w:p>
            <w:pPr>
              <w:widowControl/>
              <w:jc w:val="center"/>
              <w:textAlignment w:val="center"/>
              <w:rPr>
                <w:rFonts w:ascii="仿宋" w:hAnsi="仿宋" w:eastAsia="仿宋" w:cs="仿宋"/>
                <w:color w:val="auto"/>
                <w:kern w:val="0"/>
                <w:szCs w:val="21"/>
              </w:rPr>
            </w:pPr>
          </w:p>
        </w:tc>
        <w:tc>
          <w:tcPr>
            <w:tcW w:w="1134" w:type="dxa"/>
            <w:vMerge w:val="continue"/>
            <w:tcBorders>
              <w:left w:val="single" w:color="auto" w:sz="4" w:space="0"/>
              <w:bottom w:val="single" w:color="000000" w:sz="4" w:space="0"/>
              <w:right w:val="single" w:color="auto" w:sz="4" w:space="0"/>
            </w:tcBorders>
            <w:vAlign w:val="center"/>
          </w:tcPr>
          <w:p>
            <w:pPr>
              <w:widowControl/>
              <w:jc w:val="center"/>
              <w:textAlignment w:val="center"/>
              <w:rPr>
                <w:rFonts w:ascii="仿宋" w:hAnsi="仿宋" w:eastAsia="仿宋" w:cs="仿宋"/>
                <w:color w:val="auto"/>
                <w:kern w:val="0"/>
                <w:szCs w:val="21"/>
              </w:rPr>
            </w:pPr>
          </w:p>
        </w:tc>
        <w:tc>
          <w:tcPr>
            <w:tcW w:w="567" w:type="dxa"/>
            <w:vMerge w:val="continue"/>
            <w:tcBorders>
              <w:left w:val="single" w:color="auto" w:sz="4" w:space="0"/>
              <w:bottom w:val="single" w:color="000000" w:sz="4" w:space="0"/>
              <w:right w:val="single" w:color="000000" w:sz="4" w:space="0"/>
            </w:tcBorders>
            <w:vAlign w:val="center"/>
          </w:tcPr>
          <w:p>
            <w:pPr>
              <w:widowControl/>
              <w:jc w:val="center"/>
              <w:textAlignment w:val="center"/>
              <w:rPr>
                <w:rFonts w:ascii="宋体" w:hAnsi="宋体" w:cs="宋体"/>
                <w:color w:val="auto"/>
                <w:kern w:val="0"/>
                <w:szCs w:val="21"/>
              </w:rPr>
            </w:pPr>
          </w:p>
        </w:tc>
        <w:tc>
          <w:tcPr>
            <w:tcW w:w="992"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kern w:val="0"/>
                <w:szCs w:val="21"/>
              </w:rPr>
              <w:t>支付比例    （%）</w:t>
            </w:r>
          </w:p>
        </w:tc>
        <w:tc>
          <w:tcPr>
            <w:tcW w:w="113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szCs w:val="21"/>
              </w:rPr>
              <w:t>年度支付限额</w:t>
            </w:r>
          </w:p>
        </w:tc>
        <w:tc>
          <w:tcPr>
            <w:tcW w:w="851" w:type="dxa"/>
            <w:tcBorders>
              <w:top w:val="single" w:color="000000" w:sz="4" w:space="0"/>
              <w:left w:val="single" w:color="auto" w:sz="4" w:space="0"/>
              <w:bottom w:val="single" w:color="000000" w:sz="4" w:space="0"/>
              <w:right w:val="single" w:color="auto"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kern w:val="0"/>
                <w:szCs w:val="21"/>
              </w:rPr>
              <w:t>支付比例（%）</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szCs w:val="21"/>
              </w:rPr>
              <w:t>年度支付限额</w:t>
            </w:r>
          </w:p>
        </w:tc>
        <w:tc>
          <w:tcPr>
            <w:tcW w:w="988" w:type="dxa"/>
            <w:vMerge w:val="continue"/>
            <w:tcBorders>
              <w:left w:val="single" w:color="000000"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kern w:val="0"/>
                <w:szCs w:val="21"/>
              </w:rPr>
            </w:pPr>
          </w:p>
        </w:tc>
      </w:tr>
      <w:tr>
        <w:tblPrEx>
          <w:tblCellMar>
            <w:top w:w="15" w:type="dxa"/>
            <w:left w:w="15" w:type="dxa"/>
            <w:bottom w:w="15" w:type="dxa"/>
            <w:right w:w="15" w:type="dxa"/>
          </w:tblCellMar>
        </w:tblPrEx>
        <w:trPr>
          <w:trHeight w:val="369" w:hRule="atLeast"/>
          <w:jc w:val="center"/>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szCs w:val="21"/>
                <w:lang w:val="en-US" w:eastAsia="zh-CN"/>
              </w:rPr>
            </w:pPr>
            <w:r>
              <w:rPr>
                <w:rFonts w:hint="eastAsia" w:ascii="仿宋" w:hAnsi="仿宋" w:eastAsia="仿宋" w:cs="仿宋"/>
                <w:color w:val="auto"/>
                <w:szCs w:val="21"/>
                <w:lang w:val="en-US" w:eastAsia="zh-CN"/>
              </w:rPr>
              <w:t>52</w:t>
            </w:r>
          </w:p>
        </w:tc>
        <w:tc>
          <w:tcPr>
            <w:tcW w:w="1984"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ascii="仿宋" w:hAnsi="仿宋" w:eastAsia="仿宋" w:cs="仿宋"/>
                <w:color w:val="auto"/>
                <w:szCs w:val="21"/>
              </w:rPr>
            </w:pPr>
            <w:r>
              <w:rPr>
                <w:rFonts w:hint="eastAsia" w:ascii="仿宋" w:hAnsi="仿宋" w:eastAsia="仿宋" w:cs="仿宋"/>
                <w:color w:val="auto"/>
                <w:kern w:val="0"/>
                <w:szCs w:val="21"/>
              </w:rPr>
              <w:t>阿尔茨海默病</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仿宋" w:hAnsi="仿宋" w:eastAsia="仿宋" w:cs="仿宋"/>
                <w:color w:val="auto"/>
                <w:szCs w:val="21"/>
              </w:rPr>
            </w:pPr>
            <w:r>
              <w:rPr>
                <w:rFonts w:hint="eastAsia" w:ascii="仿宋" w:hAnsi="仿宋" w:eastAsia="仿宋" w:cs="仿宋"/>
                <w:color w:val="auto"/>
                <w:szCs w:val="21"/>
              </w:rPr>
              <w:t>M0</w:t>
            </w:r>
            <w:r>
              <w:rPr>
                <w:rFonts w:hint="eastAsia" w:ascii="仿宋" w:hAnsi="仿宋" w:eastAsia="仿宋" w:cs="仿宋"/>
                <w:color w:val="auto"/>
                <w:szCs w:val="21"/>
                <w:lang w:val="en-US" w:eastAsia="zh-CN"/>
              </w:rPr>
              <w:t>24</w:t>
            </w:r>
            <w:r>
              <w:rPr>
                <w:rFonts w:hint="eastAsia" w:ascii="仿宋" w:hAnsi="仿宋" w:eastAsia="仿宋" w:cs="仿宋"/>
                <w:color w:val="auto"/>
                <w:szCs w:val="21"/>
              </w:rPr>
              <w:t>00</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kern w:val="0"/>
                <w:szCs w:val="21"/>
              </w:rPr>
              <w:t>360</w:t>
            </w:r>
          </w:p>
        </w:tc>
        <w:tc>
          <w:tcPr>
            <w:tcW w:w="992"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宋体" w:hAnsi="宋体" w:eastAsia="宋体" w:cs="宋体"/>
                <w:color w:val="auto"/>
                <w:szCs w:val="21"/>
                <w:lang w:val="en-US" w:eastAsia="zh-CN"/>
              </w:rPr>
            </w:pPr>
            <w:r>
              <w:rPr>
                <w:rFonts w:hint="eastAsia" w:ascii="宋体" w:hAnsi="宋体" w:cs="宋体"/>
                <w:color w:val="auto"/>
                <w:szCs w:val="21"/>
                <w:lang w:val="en-US" w:eastAsia="zh-CN"/>
              </w:rPr>
              <w:t>70</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szCs w:val="21"/>
              </w:rPr>
              <w:t>8232</w:t>
            </w:r>
          </w:p>
        </w:tc>
        <w:tc>
          <w:tcPr>
            <w:tcW w:w="85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宋体" w:hAnsi="宋体" w:eastAsia="宋体" w:cs="宋体"/>
                <w:color w:val="auto"/>
                <w:szCs w:val="21"/>
                <w:lang w:val="en-US" w:eastAsia="zh-CN"/>
              </w:rPr>
            </w:pPr>
            <w:r>
              <w:rPr>
                <w:rFonts w:hint="eastAsia" w:ascii="宋体" w:hAnsi="宋体" w:cs="宋体"/>
                <w:color w:val="auto"/>
                <w:szCs w:val="21"/>
                <w:lang w:val="en-US" w:eastAsia="zh-CN"/>
              </w:rPr>
              <w:t>85</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ascii="宋体" w:hAnsi="宋体" w:cs="宋体"/>
                <w:color w:val="auto"/>
                <w:szCs w:val="21"/>
              </w:rPr>
            </w:pPr>
            <w:r>
              <w:rPr>
                <w:rFonts w:hint="eastAsia" w:ascii="宋体" w:hAnsi="宋体" w:cs="宋体"/>
                <w:color w:val="auto"/>
                <w:szCs w:val="21"/>
              </w:rPr>
              <w:t>8232</w:t>
            </w:r>
          </w:p>
        </w:tc>
        <w:tc>
          <w:tcPr>
            <w:tcW w:w="9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仿宋"/>
                <w:color w:val="auto"/>
                <w:kern w:val="0"/>
                <w:szCs w:val="21"/>
                <w:lang w:eastAsia="zh-CN"/>
              </w:rPr>
            </w:pPr>
            <w:r>
              <w:rPr>
                <w:rFonts w:hint="eastAsia" w:ascii="仿宋" w:hAnsi="仿宋" w:eastAsia="仿宋" w:cs="仿宋"/>
                <w:color w:val="auto"/>
                <w:kern w:val="0"/>
                <w:szCs w:val="21"/>
                <w:lang w:val="en-US" w:eastAsia="zh-CN"/>
              </w:rPr>
              <w:t>长期</w:t>
            </w:r>
          </w:p>
        </w:tc>
      </w:tr>
      <w:tr>
        <w:tblPrEx>
          <w:tblCellMar>
            <w:top w:w="15" w:type="dxa"/>
            <w:left w:w="15" w:type="dxa"/>
            <w:bottom w:w="15" w:type="dxa"/>
            <w:right w:w="15" w:type="dxa"/>
          </w:tblCellMar>
        </w:tblPrEx>
        <w:trPr>
          <w:trHeight w:val="369" w:hRule="atLeast"/>
          <w:jc w:val="center"/>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53</w:t>
            </w:r>
          </w:p>
        </w:tc>
        <w:tc>
          <w:tcPr>
            <w:tcW w:w="1984" w:type="dxa"/>
            <w:tcBorders>
              <w:top w:val="single" w:color="000000" w:sz="4" w:space="0"/>
              <w:left w:val="single" w:color="000000" w:sz="4" w:space="0"/>
              <w:bottom w:val="single" w:color="000000" w:sz="4" w:space="0"/>
              <w:right w:val="single" w:color="auto" w:sz="4" w:space="0"/>
            </w:tcBorders>
            <w:vAlign w:val="center"/>
          </w:tcPr>
          <w:p>
            <w:pPr>
              <w:keepNext w:val="0"/>
              <w:keepLines w:val="0"/>
              <w:widowControl/>
              <w:suppressLineNumbers w:val="0"/>
              <w:jc w:val="center"/>
              <w:textAlignment w:val="center"/>
              <w:rPr>
                <w:rFonts w:hint="eastAsia" w:ascii="仿宋" w:hAnsi="仿宋" w:eastAsia="仿宋" w:cs="仿宋"/>
                <w:color w:val="auto"/>
                <w:kern w:val="0"/>
                <w:szCs w:val="21"/>
              </w:rPr>
            </w:pPr>
            <w:r>
              <w:rPr>
                <w:rFonts w:hint="eastAsia" w:ascii="方正仿宋_GBK" w:hAnsi="方正仿宋_GBK" w:eastAsia="方正仿宋_GBK" w:cs="方正仿宋_GBK"/>
                <w:b w:val="0"/>
                <w:bCs/>
                <w:i w:val="0"/>
                <w:color w:val="auto"/>
                <w:kern w:val="0"/>
                <w:sz w:val="21"/>
                <w:szCs w:val="21"/>
                <w:u w:val="none"/>
                <w:lang w:val="en-US" w:eastAsia="zh-CN" w:bidi="ar"/>
              </w:rPr>
              <w:t>偏瘫</w:t>
            </w:r>
          </w:p>
        </w:tc>
        <w:tc>
          <w:tcPr>
            <w:tcW w:w="1134" w:type="dxa"/>
            <w:tcBorders>
              <w:top w:val="single" w:color="000000" w:sz="4" w:space="0"/>
              <w:left w:val="single" w:color="auto"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仿宋" w:hAnsi="仿宋" w:eastAsia="仿宋" w:cs="仿宋"/>
                <w:color w:val="auto"/>
                <w:szCs w:val="21"/>
              </w:rPr>
            </w:pPr>
            <w:r>
              <w:rPr>
                <w:rFonts w:hint="default" w:ascii="仿宋" w:hAnsi="仿宋" w:eastAsia="仿宋" w:cs="仿宋"/>
                <w:i w:val="0"/>
                <w:color w:val="000000"/>
                <w:kern w:val="0"/>
                <w:sz w:val="21"/>
                <w:szCs w:val="21"/>
                <w:u w:val="none"/>
                <w:lang w:val="en-US" w:eastAsia="zh-CN" w:bidi="ar"/>
              </w:rPr>
              <w:t>M02600</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cs="宋体"/>
                <w:color w:val="auto"/>
                <w:kern w:val="0"/>
                <w:szCs w:val="21"/>
              </w:rPr>
            </w:pPr>
            <w:r>
              <w:rPr>
                <w:rFonts w:hint="eastAsia" w:ascii="宋体" w:hAnsi="宋体" w:cs="宋体"/>
                <w:color w:val="auto"/>
                <w:kern w:val="0"/>
                <w:szCs w:val="21"/>
                <w:lang w:val="en-US" w:eastAsia="zh-CN"/>
              </w:rPr>
              <w:t>0</w:t>
            </w:r>
          </w:p>
        </w:tc>
        <w:tc>
          <w:tcPr>
            <w:tcW w:w="992"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eastAsia" w:ascii="宋体" w:hAnsi="宋体" w:cs="宋体"/>
                <w:color w:val="auto"/>
                <w:szCs w:val="21"/>
                <w:lang w:val="en-US" w:eastAsia="zh-CN"/>
              </w:rPr>
            </w:pPr>
            <w:r>
              <w:rPr>
                <w:rFonts w:hint="eastAsia" w:ascii="宋体" w:hAnsi="宋体" w:cs="宋体"/>
                <w:color w:val="auto"/>
                <w:szCs w:val="21"/>
                <w:lang w:val="en-US" w:eastAsia="zh-CN"/>
              </w:rPr>
              <w:t>70</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cs="宋体"/>
                <w:color w:val="auto"/>
                <w:szCs w:val="21"/>
                <w:lang w:val="en-US"/>
              </w:rPr>
            </w:pPr>
            <w:r>
              <w:rPr>
                <w:rFonts w:hint="eastAsia" w:ascii="仿宋" w:hAnsi="仿宋" w:eastAsia="仿宋" w:cs="宋体"/>
                <w:color w:val="auto"/>
                <w:szCs w:val="21"/>
                <w:lang w:val="en-US" w:eastAsia="zh-CN"/>
              </w:rPr>
              <w:t>6450</w:t>
            </w:r>
          </w:p>
        </w:tc>
        <w:tc>
          <w:tcPr>
            <w:tcW w:w="85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宋体" w:hAnsi="宋体" w:cs="宋体"/>
                <w:color w:val="auto"/>
                <w:szCs w:val="21"/>
                <w:lang w:val="en-US" w:eastAsia="zh-CN"/>
              </w:rPr>
            </w:pPr>
            <w:r>
              <w:rPr>
                <w:rFonts w:hint="eastAsia" w:ascii="宋体" w:hAnsi="宋体" w:cs="宋体"/>
                <w:color w:val="auto"/>
                <w:szCs w:val="21"/>
                <w:lang w:val="en-US" w:eastAsia="zh-CN"/>
              </w:rPr>
              <w:t>90</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default" w:ascii="宋体" w:hAnsi="宋体" w:cs="宋体"/>
                <w:color w:val="auto"/>
                <w:szCs w:val="21"/>
                <w:lang w:val="en-US"/>
              </w:rPr>
            </w:pPr>
            <w:r>
              <w:rPr>
                <w:rFonts w:hint="eastAsia" w:ascii="仿宋" w:hAnsi="仿宋" w:eastAsia="仿宋" w:cs="宋体"/>
                <w:color w:val="auto"/>
                <w:szCs w:val="21"/>
                <w:lang w:val="en-US" w:eastAsia="zh-CN"/>
              </w:rPr>
              <w:t>6450</w:t>
            </w:r>
          </w:p>
        </w:tc>
        <w:tc>
          <w:tcPr>
            <w:tcW w:w="9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1年</w:t>
            </w:r>
          </w:p>
        </w:tc>
      </w:tr>
      <w:tr>
        <w:tblPrEx>
          <w:tblCellMar>
            <w:top w:w="15" w:type="dxa"/>
            <w:left w:w="15" w:type="dxa"/>
            <w:bottom w:w="15" w:type="dxa"/>
            <w:right w:w="15" w:type="dxa"/>
          </w:tblCellMar>
        </w:tblPrEx>
        <w:trPr>
          <w:trHeight w:val="369" w:hRule="atLeast"/>
          <w:jc w:val="center"/>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54</w:t>
            </w:r>
          </w:p>
        </w:tc>
        <w:tc>
          <w:tcPr>
            <w:tcW w:w="1984" w:type="dxa"/>
            <w:tcBorders>
              <w:top w:val="single" w:color="000000" w:sz="4" w:space="0"/>
              <w:left w:val="single" w:color="000000" w:sz="4" w:space="0"/>
              <w:bottom w:val="single" w:color="000000" w:sz="4" w:space="0"/>
              <w:right w:val="single" w:color="auto" w:sz="4" w:space="0"/>
            </w:tcBorders>
            <w:vAlign w:val="center"/>
          </w:tcPr>
          <w:p>
            <w:pPr>
              <w:keepNext w:val="0"/>
              <w:keepLines w:val="0"/>
              <w:widowControl/>
              <w:suppressLineNumbers w:val="0"/>
              <w:jc w:val="center"/>
              <w:textAlignment w:val="center"/>
              <w:rPr>
                <w:rFonts w:hint="eastAsia" w:ascii="方正仿宋_GBK" w:hAnsi="方正仿宋_GBK" w:eastAsia="方正仿宋_GBK" w:cs="方正仿宋_GBK"/>
                <w:b w:val="0"/>
                <w:bCs/>
                <w:color w:val="auto"/>
                <w:kern w:val="0"/>
                <w:sz w:val="21"/>
                <w:szCs w:val="21"/>
              </w:rPr>
            </w:pPr>
            <w:r>
              <w:rPr>
                <w:rFonts w:hint="eastAsia" w:ascii="方正仿宋_GBK" w:hAnsi="方正仿宋_GBK" w:eastAsia="方正仿宋_GBK" w:cs="方正仿宋_GBK"/>
                <w:b w:val="0"/>
                <w:bCs/>
                <w:i w:val="0"/>
                <w:color w:val="auto"/>
                <w:kern w:val="0"/>
                <w:sz w:val="21"/>
                <w:szCs w:val="21"/>
                <w:u w:val="none"/>
                <w:lang w:val="en-US" w:eastAsia="zh-CN" w:bidi="ar"/>
              </w:rPr>
              <w:t>骨髓异常增生综合症</w:t>
            </w:r>
          </w:p>
        </w:tc>
        <w:tc>
          <w:tcPr>
            <w:tcW w:w="1134" w:type="dxa"/>
            <w:tcBorders>
              <w:top w:val="single" w:color="000000" w:sz="4" w:space="0"/>
              <w:left w:val="single" w:color="auto"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仿宋" w:hAnsi="仿宋" w:eastAsia="仿宋" w:cs="仿宋"/>
                <w:color w:val="auto"/>
                <w:szCs w:val="21"/>
              </w:rPr>
            </w:pPr>
            <w:r>
              <w:rPr>
                <w:rFonts w:hint="default" w:ascii="仿宋" w:hAnsi="仿宋" w:eastAsia="仿宋" w:cs="仿宋"/>
                <w:i w:val="0"/>
                <w:color w:val="000000"/>
                <w:kern w:val="0"/>
                <w:sz w:val="21"/>
                <w:szCs w:val="21"/>
                <w:u w:val="none"/>
                <w:lang w:val="en-US" w:eastAsia="zh-CN" w:bidi="ar"/>
              </w:rPr>
              <w:t>M00902</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0"/>
                <w:szCs w:val="21"/>
                <w:lang w:val="en-US" w:eastAsia="zh-CN"/>
              </w:rPr>
            </w:pPr>
            <w:r>
              <w:rPr>
                <w:rFonts w:hint="eastAsia" w:ascii="宋体" w:hAnsi="宋体" w:cs="宋体"/>
                <w:color w:val="auto"/>
                <w:kern w:val="0"/>
                <w:szCs w:val="21"/>
                <w:lang w:val="en-US" w:eastAsia="zh-CN"/>
              </w:rPr>
              <w:t>0</w:t>
            </w:r>
          </w:p>
        </w:tc>
        <w:tc>
          <w:tcPr>
            <w:tcW w:w="992"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宋体" w:hAnsi="宋体" w:cs="宋体"/>
                <w:color w:val="auto"/>
                <w:szCs w:val="21"/>
                <w:lang w:val="en-US" w:eastAsia="zh-CN"/>
              </w:rPr>
            </w:pPr>
            <w:r>
              <w:rPr>
                <w:rFonts w:hint="eastAsia" w:ascii="宋体" w:hAnsi="宋体" w:cs="宋体"/>
                <w:color w:val="auto"/>
                <w:szCs w:val="21"/>
                <w:lang w:val="en-US" w:eastAsia="zh-CN"/>
              </w:rPr>
              <w:t>70</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cs="宋体"/>
                <w:color w:val="auto"/>
                <w:szCs w:val="21"/>
              </w:rPr>
            </w:pPr>
            <w:r>
              <w:rPr>
                <w:rFonts w:hint="eastAsia" w:ascii="仿宋" w:hAnsi="仿宋" w:eastAsia="仿宋" w:cs="宋体"/>
                <w:color w:val="auto"/>
                <w:szCs w:val="21"/>
              </w:rPr>
              <w:t>无上限</w:t>
            </w:r>
          </w:p>
        </w:tc>
        <w:tc>
          <w:tcPr>
            <w:tcW w:w="85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宋体" w:hAnsi="宋体" w:cs="宋体"/>
                <w:color w:val="auto"/>
                <w:szCs w:val="21"/>
                <w:lang w:val="en-US" w:eastAsia="zh-CN"/>
              </w:rPr>
            </w:pPr>
            <w:r>
              <w:rPr>
                <w:rFonts w:hint="eastAsia" w:ascii="宋体" w:hAnsi="宋体" w:cs="宋体"/>
                <w:color w:val="auto"/>
                <w:szCs w:val="21"/>
                <w:lang w:val="en-US" w:eastAsia="zh-CN"/>
              </w:rPr>
              <w:t>90</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cs="宋体"/>
                <w:color w:val="auto"/>
                <w:szCs w:val="21"/>
              </w:rPr>
            </w:pPr>
            <w:r>
              <w:rPr>
                <w:rFonts w:hint="eastAsia" w:ascii="仿宋" w:hAnsi="仿宋" w:eastAsia="仿宋" w:cs="宋体"/>
                <w:color w:val="auto"/>
                <w:szCs w:val="21"/>
              </w:rPr>
              <w:t>无上限</w:t>
            </w:r>
          </w:p>
        </w:tc>
        <w:tc>
          <w:tcPr>
            <w:tcW w:w="9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长期</w:t>
            </w:r>
          </w:p>
        </w:tc>
      </w:tr>
      <w:tr>
        <w:tblPrEx>
          <w:tblCellMar>
            <w:top w:w="15" w:type="dxa"/>
            <w:left w:w="15" w:type="dxa"/>
            <w:bottom w:w="15" w:type="dxa"/>
            <w:right w:w="15" w:type="dxa"/>
          </w:tblCellMar>
        </w:tblPrEx>
        <w:trPr>
          <w:trHeight w:val="369" w:hRule="atLeast"/>
          <w:jc w:val="center"/>
        </w:trPr>
        <w:tc>
          <w:tcPr>
            <w:tcW w:w="614"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default"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55</w:t>
            </w:r>
          </w:p>
        </w:tc>
        <w:tc>
          <w:tcPr>
            <w:tcW w:w="1984" w:type="dxa"/>
            <w:tcBorders>
              <w:top w:val="single" w:color="000000" w:sz="4" w:space="0"/>
              <w:left w:val="single" w:color="000000" w:sz="4" w:space="0"/>
              <w:bottom w:val="single" w:color="000000" w:sz="4" w:space="0"/>
              <w:right w:val="single" w:color="auto" w:sz="4" w:space="0"/>
            </w:tcBorders>
            <w:vAlign w:val="center"/>
          </w:tcPr>
          <w:p>
            <w:pPr>
              <w:keepNext w:val="0"/>
              <w:keepLines w:val="0"/>
              <w:widowControl/>
              <w:suppressLineNumbers w:val="0"/>
              <w:jc w:val="center"/>
              <w:textAlignment w:val="center"/>
              <w:rPr>
                <w:rFonts w:hint="eastAsia" w:ascii="方正仿宋_GBK" w:hAnsi="方正仿宋_GBK" w:eastAsia="方正仿宋_GBK" w:cs="方正仿宋_GBK"/>
                <w:b w:val="0"/>
                <w:bCs/>
                <w:color w:val="auto"/>
                <w:kern w:val="0"/>
                <w:sz w:val="21"/>
                <w:szCs w:val="21"/>
                <w:lang w:val="en-US" w:eastAsia="zh-CN"/>
              </w:rPr>
            </w:pPr>
            <w:r>
              <w:rPr>
                <w:rFonts w:hint="eastAsia" w:ascii="方正仿宋_GBK" w:hAnsi="方正仿宋_GBK" w:eastAsia="方正仿宋_GBK" w:cs="方正仿宋_GBK"/>
                <w:b w:val="0"/>
                <w:bCs/>
                <w:i w:val="0"/>
                <w:color w:val="auto"/>
                <w:kern w:val="0"/>
                <w:sz w:val="21"/>
                <w:szCs w:val="21"/>
                <w:u w:val="none"/>
                <w:lang w:val="en-US" w:eastAsia="zh-CN" w:bidi="ar"/>
              </w:rPr>
              <w:t>硬皮病</w:t>
            </w:r>
          </w:p>
        </w:tc>
        <w:tc>
          <w:tcPr>
            <w:tcW w:w="1134" w:type="dxa"/>
            <w:tcBorders>
              <w:top w:val="single" w:color="000000" w:sz="4" w:space="0"/>
              <w:left w:val="single" w:color="auto" w:sz="4" w:space="0"/>
              <w:bottom w:val="single" w:color="000000" w:sz="4" w:space="0"/>
              <w:right w:val="single" w:color="000000" w:sz="4" w:space="0"/>
            </w:tcBorders>
            <w:vAlign w:val="center"/>
          </w:tcPr>
          <w:p>
            <w:pPr>
              <w:keepNext w:val="0"/>
              <w:keepLines w:val="0"/>
              <w:widowControl/>
              <w:suppressLineNumbers w:val="0"/>
              <w:jc w:val="center"/>
              <w:textAlignment w:val="center"/>
              <w:rPr>
                <w:rFonts w:hint="eastAsia" w:ascii="仿宋" w:hAnsi="仿宋" w:eastAsia="仿宋" w:cs="仿宋"/>
                <w:color w:val="auto"/>
                <w:szCs w:val="21"/>
              </w:rPr>
            </w:pPr>
            <w:r>
              <w:rPr>
                <w:rFonts w:hint="default" w:ascii="仿宋" w:hAnsi="仿宋" w:eastAsia="仿宋" w:cs="仿宋"/>
                <w:i w:val="0"/>
                <w:color w:val="000000"/>
                <w:kern w:val="0"/>
                <w:sz w:val="21"/>
                <w:szCs w:val="21"/>
                <w:u w:val="none"/>
                <w:lang w:val="en-US" w:eastAsia="zh-CN" w:bidi="ar"/>
              </w:rPr>
              <w:t>M06800</w:t>
            </w:r>
          </w:p>
        </w:tc>
        <w:tc>
          <w:tcPr>
            <w:tcW w:w="56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宋体" w:hAnsi="宋体" w:eastAsia="宋体" w:cs="宋体"/>
                <w:color w:val="auto"/>
                <w:kern w:val="0"/>
                <w:szCs w:val="21"/>
                <w:lang w:val="en-US" w:eastAsia="zh-CN"/>
              </w:rPr>
            </w:pPr>
            <w:r>
              <w:rPr>
                <w:rFonts w:hint="eastAsia" w:ascii="宋体" w:hAnsi="宋体" w:cs="宋体"/>
                <w:color w:val="auto"/>
                <w:kern w:val="0"/>
                <w:szCs w:val="21"/>
                <w:lang w:val="en-US" w:eastAsia="zh-CN"/>
              </w:rPr>
              <w:t>0</w:t>
            </w:r>
          </w:p>
        </w:tc>
        <w:tc>
          <w:tcPr>
            <w:tcW w:w="992"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宋体" w:hAnsi="宋体" w:cs="宋体"/>
                <w:color w:val="auto"/>
                <w:szCs w:val="21"/>
                <w:lang w:val="en-US" w:eastAsia="zh-CN"/>
              </w:rPr>
            </w:pPr>
            <w:r>
              <w:rPr>
                <w:rFonts w:hint="eastAsia" w:ascii="宋体" w:hAnsi="宋体" w:cs="宋体"/>
                <w:color w:val="auto"/>
                <w:szCs w:val="21"/>
                <w:lang w:val="en-US" w:eastAsia="zh-CN"/>
              </w:rPr>
              <w:t>70</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cs="宋体"/>
                <w:color w:val="auto"/>
                <w:szCs w:val="21"/>
              </w:rPr>
            </w:pPr>
            <w:r>
              <w:rPr>
                <w:rFonts w:hint="eastAsia" w:ascii="仿宋" w:hAnsi="仿宋" w:eastAsia="仿宋" w:cs="宋体"/>
                <w:color w:val="auto"/>
                <w:szCs w:val="21"/>
              </w:rPr>
              <w:t>无上限</w:t>
            </w:r>
          </w:p>
        </w:tc>
        <w:tc>
          <w:tcPr>
            <w:tcW w:w="851" w:type="dxa"/>
            <w:tcBorders>
              <w:top w:val="single" w:color="000000" w:sz="4" w:space="0"/>
              <w:left w:val="single" w:color="000000" w:sz="4" w:space="0"/>
              <w:bottom w:val="single" w:color="000000" w:sz="4" w:space="0"/>
              <w:right w:val="single" w:color="auto" w:sz="4" w:space="0"/>
            </w:tcBorders>
            <w:vAlign w:val="center"/>
          </w:tcPr>
          <w:p>
            <w:pPr>
              <w:widowControl/>
              <w:jc w:val="center"/>
              <w:textAlignment w:val="center"/>
              <w:rPr>
                <w:rFonts w:hint="default" w:ascii="宋体" w:hAnsi="宋体" w:cs="宋体"/>
                <w:color w:val="auto"/>
                <w:szCs w:val="21"/>
                <w:lang w:val="en-US" w:eastAsia="zh-CN"/>
              </w:rPr>
            </w:pPr>
            <w:r>
              <w:rPr>
                <w:rFonts w:hint="eastAsia" w:ascii="宋体" w:hAnsi="宋体" w:cs="宋体"/>
                <w:color w:val="auto"/>
                <w:szCs w:val="21"/>
                <w:lang w:val="en-US" w:eastAsia="zh-CN"/>
              </w:rPr>
              <w:t>90</w:t>
            </w:r>
          </w:p>
        </w:tc>
        <w:tc>
          <w:tcPr>
            <w:tcW w:w="1134" w:type="dxa"/>
            <w:tcBorders>
              <w:top w:val="single" w:color="000000" w:sz="4" w:space="0"/>
              <w:left w:val="single" w:color="auto" w:sz="4" w:space="0"/>
              <w:bottom w:val="single" w:color="000000" w:sz="4" w:space="0"/>
              <w:right w:val="single" w:color="000000" w:sz="4" w:space="0"/>
            </w:tcBorders>
            <w:vAlign w:val="center"/>
          </w:tcPr>
          <w:p>
            <w:pPr>
              <w:widowControl/>
              <w:jc w:val="center"/>
              <w:textAlignment w:val="center"/>
              <w:rPr>
                <w:rFonts w:hint="eastAsia" w:ascii="宋体" w:hAnsi="宋体" w:cs="宋体"/>
                <w:color w:val="auto"/>
                <w:szCs w:val="21"/>
              </w:rPr>
            </w:pPr>
            <w:r>
              <w:rPr>
                <w:rFonts w:hint="eastAsia" w:ascii="仿宋" w:hAnsi="仿宋" w:eastAsia="仿宋" w:cs="宋体"/>
                <w:color w:val="auto"/>
                <w:szCs w:val="21"/>
              </w:rPr>
              <w:t>无上限</w:t>
            </w:r>
          </w:p>
        </w:tc>
        <w:tc>
          <w:tcPr>
            <w:tcW w:w="98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仿宋"/>
                <w:color w:val="auto"/>
                <w:kern w:val="0"/>
                <w:szCs w:val="21"/>
                <w:lang w:val="en-US" w:eastAsia="zh-CN"/>
              </w:rPr>
            </w:pPr>
            <w:r>
              <w:rPr>
                <w:rFonts w:hint="eastAsia" w:ascii="仿宋" w:hAnsi="仿宋" w:eastAsia="仿宋" w:cs="仿宋"/>
                <w:color w:val="auto"/>
                <w:kern w:val="0"/>
                <w:szCs w:val="21"/>
                <w:lang w:val="en-US" w:eastAsia="zh-CN"/>
              </w:rPr>
              <w:t>长期</w:t>
            </w:r>
          </w:p>
        </w:tc>
      </w:tr>
    </w:tbl>
    <w:p>
      <w:pPr>
        <w:spacing w:line="360" w:lineRule="auto"/>
        <w:rPr>
          <w:rFonts w:ascii="仿宋_GB2312" w:hAnsi="仿宋_GB2312" w:eastAsia="仿宋_GB2312" w:cs="仿宋_GB2312"/>
          <w:bCs/>
          <w:color w:val="auto"/>
          <w:sz w:val="32"/>
          <w:szCs w:val="32"/>
        </w:rPr>
      </w:pPr>
    </w:p>
    <w:sectPr>
      <w:footerReference r:id="rId3" w:type="default"/>
      <w:footerReference r:id="rId4" w:type="even"/>
      <w:pgSz w:w="11906" w:h="16838"/>
      <w:pgMar w:top="1701" w:right="1587" w:bottom="1587" w:left="1701" w:header="851" w:footer="907" w:gutter="0"/>
      <w:pgBorders>
        <w:top w:val="none" w:sz="0" w:space="0"/>
        <w:left w:val="none" w:sz="0" w:space="0"/>
        <w:bottom w:val="none" w:sz="0" w:space="0"/>
        <w:right w:val="none" w:sz="0" w:space="0"/>
      </w:pgBorders>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仿宋_GBK">
    <w:altName w:val="Arial Unicode MS"/>
    <w:panose1 w:val="02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pict>
        <v:shape id="_x0000_s4098" o:spid="_x0000_s4098" o:spt="202" type="#_x0000_t202" style="position:absolute;left:0pt;margin-top:0pt;height:144pt;width:144pt;mso-position-horizontal:outside;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2785105"/>
                  <w:docPartObj>
                    <w:docPartGallery w:val="autotext"/>
                  </w:docPartObj>
                </w:sdtPr>
                <w:sdtContent>
                  <w:p>
                    <w:pPr>
                      <w:pStyle w:val="3"/>
                      <w:jc w:val="cente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44</w:t>
                    </w:r>
                    <w:r>
                      <w:rPr>
                        <w:rFonts w:hint="eastAsia" w:asciiTheme="minorEastAsia" w:hAnsiTheme="minorEastAsia" w:eastAsiaTheme="minorEastAsia" w:cstheme="minorEastAsia"/>
                        <w:sz w:val="28"/>
                        <w:szCs w:val="28"/>
                        <w:lang w:val="zh-CN"/>
                      </w:rPr>
                      <w:fldChar w:fldCharType="end"/>
                    </w:r>
                  </w:p>
                </w:sdtContent>
              </w:sdt>
              <w:p>
                <w:pPr>
                  <w:pStyle w:val="2"/>
                </w:pPr>
              </w:p>
            </w:txbxContent>
          </v:textbox>
        </v:shape>
      </w:pict>
    </w:r>
  </w:p>
  <w:p>
    <w:pPr>
      <w:pStyle w:val="3"/>
      <w:ind w:left="420" w:leftChars="200" w:right="420" w:rightChars="200" w:firstLine="360"/>
      <w:rPr>
        <w:rFonts w:ascii="宋体" w:hAns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9"/>
      </w:rPr>
    </w:pPr>
    <w:r>
      <w:rPr>
        <w:rStyle w:val="9"/>
      </w:rPr>
      <w:fldChar w:fldCharType="begin"/>
    </w:r>
    <w:r>
      <w:rPr>
        <w:rStyle w:val="9"/>
      </w:rPr>
      <w:instrText xml:space="preserve">PAGE  </w:instrText>
    </w:r>
    <w:r>
      <w:rPr>
        <w:rStyle w:val="9"/>
      </w:rPr>
      <w:fldChar w:fldCharType="separate"/>
    </w:r>
    <w:r>
      <w:rPr>
        <w:rStyle w:val="9"/>
      </w:rPr>
      <w:t>- 4 -</w:t>
    </w:r>
    <w:r>
      <w:rPr>
        <w:rStyle w:val="9"/>
      </w:rPr>
      <w:fldChar w:fldCharType="end"/>
    </w:r>
  </w:p>
  <w:p>
    <w:pPr>
      <w:pStyle w:val="3"/>
      <w:ind w:right="360" w:firstLine="360"/>
    </w:pPr>
    <w:r>
      <w:pict>
        <v:shape id="文本框 1026" o:spid="_x0000_s4097"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KZxZQTLAQAAnAMAAA4AAAAAAAAAAQAgAAAAHgEAAGRycy9lMm9E&#10;b2MueG1sUEsFBgAAAAAGAAYAWQEAAFsFAAAAAA==&#10;">
          <v:path/>
          <v:fill on="f" focussize="0,0"/>
          <v:stroke on="f" joinstyle="miter"/>
          <v:imagedata o:title=""/>
          <o:lock v:ext="edit"/>
          <v:textbox inset="0mm,0mm,0mm,0mm" style="mso-fit-shape-to-text:t;">
            <w:txbxContent>
              <w:p>
                <w:pPr>
                  <w:pStyle w:val="3"/>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233E3"/>
    <w:rsid w:val="00004DF4"/>
    <w:rsid w:val="00006450"/>
    <w:rsid w:val="00006A50"/>
    <w:rsid w:val="00014EBE"/>
    <w:rsid w:val="00026B01"/>
    <w:rsid w:val="00036EFE"/>
    <w:rsid w:val="00037DCE"/>
    <w:rsid w:val="000470BE"/>
    <w:rsid w:val="00051811"/>
    <w:rsid w:val="00054123"/>
    <w:rsid w:val="00055E0A"/>
    <w:rsid w:val="00067738"/>
    <w:rsid w:val="00072428"/>
    <w:rsid w:val="00085073"/>
    <w:rsid w:val="0009356B"/>
    <w:rsid w:val="000938EA"/>
    <w:rsid w:val="00096458"/>
    <w:rsid w:val="0009765E"/>
    <w:rsid w:val="000A31D2"/>
    <w:rsid w:val="000A4B71"/>
    <w:rsid w:val="000B3AC5"/>
    <w:rsid w:val="000B6566"/>
    <w:rsid w:val="000B6EF4"/>
    <w:rsid w:val="000C17FF"/>
    <w:rsid w:val="000D0089"/>
    <w:rsid w:val="000D7C5E"/>
    <w:rsid w:val="000E0F34"/>
    <w:rsid w:val="000E46A3"/>
    <w:rsid w:val="000F236C"/>
    <w:rsid w:val="000F5DE3"/>
    <w:rsid w:val="000F6C3D"/>
    <w:rsid w:val="000F78FB"/>
    <w:rsid w:val="00102360"/>
    <w:rsid w:val="00105022"/>
    <w:rsid w:val="00110843"/>
    <w:rsid w:val="00110E64"/>
    <w:rsid w:val="00122B03"/>
    <w:rsid w:val="0012674F"/>
    <w:rsid w:val="001316AC"/>
    <w:rsid w:val="00147726"/>
    <w:rsid w:val="00147AF0"/>
    <w:rsid w:val="00151359"/>
    <w:rsid w:val="00157A3D"/>
    <w:rsid w:val="00161297"/>
    <w:rsid w:val="00162EF2"/>
    <w:rsid w:val="001657B4"/>
    <w:rsid w:val="00165869"/>
    <w:rsid w:val="001715C8"/>
    <w:rsid w:val="00172178"/>
    <w:rsid w:val="00176884"/>
    <w:rsid w:val="00177A19"/>
    <w:rsid w:val="001810D0"/>
    <w:rsid w:val="001837FE"/>
    <w:rsid w:val="001878A4"/>
    <w:rsid w:val="00195A9C"/>
    <w:rsid w:val="001A791E"/>
    <w:rsid w:val="001B4DD0"/>
    <w:rsid w:val="001D1895"/>
    <w:rsid w:val="001D43E0"/>
    <w:rsid w:val="001E314C"/>
    <w:rsid w:val="001E6002"/>
    <w:rsid w:val="001F4025"/>
    <w:rsid w:val="002008F2"/>
    <w:rsid w:val="002032A1"/>
    <w:rsid w:val="002200B6"/>
    <w:rsid w:val="0022335D"/>
    <w:rsid w:val="00233B5E"/>
    <w:rsid w:val="00234247"/>
    <w:rsid w:val="0023734D"/>
    <w:rsid w:val="002452AE"/>
    <w:rsid w:val="0025028F"/>
    <w:rsid w:val="002561BA"/>
    <w:rsid w:val="0026107F"/>
    <w:rsid w:val="00263713"/>
    <w:rsid w:val="00264F42"/>
    <w:rsid w:val="002707B1"/>
    <w:rsid w:val="00274928"/>
    <w:rsid w:val="00275474"/>
    <w:rsid w:val="00275DBF"/>
    <w:rsid w:val="00277D97"/>
    <w:rsid w:val="002862E1"/>
    <w:rsid w:val="00290242"/>
    <w:rsid w:val="002938E9"/>
    <w:rsid w:val="002966B0"/>
    <w:rsid w:val="002A1108"/>
    <w:rsid w:val="002A3AEA"/>
    <w:rsid w:val="002A713F"/>
    <w:rsid w:val="002B2C89"/>
    <w:rsid w:val="002C15CF"/>
    <w:rsid w:val="002C276A"/>
    <w:rsid w:val="002D018D"/>
    <w:rsid w:val="002D635F"/>
    <w:rsid w:val="002E25D6"/>
    <w:rsid w:val="002E530B"/>
    <w:rsid w:val="002F6CBD"/>
    <w:rsid w:val="00301E2D"/>
    <w:rsid w:val="0030477A"/>
    <w:rsid w:val="003150B3"/>
    <w:rsid w:val="00326696"/>
    <w:rsid w:val="00326F7C"/>
    <w:rsid w:val="003304A5"/>
    <w:rsid w:val="00337351"/>
    <w:rsid w:val="00350D0B"/>
    <w:rsid w:val="00352E85"/>
    <w:rsid w:val="00363FAA"/>
    <w:rsid w:val="00371EE5"/>
    <w:rsid w:val="0037418C"/>
    <w:rsid w:val="00376E1C"/>
    <w:rsid w:val="003851C7"/>
    <w:rsid w:val="003935B4"/>
    <w:rsid w:val="0039704F"/>
    <w:rsid w:val="003A5D09"/>
    <w:rsid w:val="003B36ED"/>
    <w:rsid w:val="003B503F"/>
    <w:rsid w:val="003B6AAF"/>
    <w:rsid w:val="003D0A16"/>
    <w:rsid w:val="003D15FD"/>
    <w:rsid w:val="003E5757"/>
    <w:rsid w:val="003E69D5"/>
    <w:rsid w:val="003E7CB0"/>
    <w:rsid w:val="004067D2"/>
    <w:rsid w:val="0040736B"/>
    <w:rsid w:val="0041142C"/>
    <w:rsid w:val="00413E1D"/>
    <w:rsid w:val="00426C30"/>
    <w:rsid w:val="00437084"/>
    <w:rsid w:val="00442DE5"/>
    <w:rsid w:val="00456A40"/>
    <w:rsid w:val="004663AE"/>
    <w:rsid w:val="004674A1"/>
    <w:rsid w:val="004773D1"/>
    <w:rsid w:val="0048481E"/>
    <w:rsid w:val="004B1F08"/>
    <w:rsid w:val="004B2F59"/>
    <w:rsid w:val="004C4B69"/>
    <w:rsid w:val="004D2920"/>
    <w:rsid w:val="004D5FED"/>
    <w:rsid w:val="004D721E"/>
    <w:rsid w:val="004E4853"/>
    <w:rsid w:val="004E7691"/>
    <w:rsid w:val="004F1BB3"/>
    <w:rsid w:val="004F20C4"/>
    <w:rsid w:val="004F2FD5"/>
    <w:rsid w:val="004F5842"/>
    <w:rsid w:val="00520BF2"/>
    <w:rsid w:val="00530A17"/>
    <w:rsid w:val="00546C48"/>
    <w:rsid w:val="00551E1B"/>
    <w:rsid w:val="00570BFE"/>
    <w:rsid w:val="00571ED8"/>
    <w:rsid w:val="00575444"/>
    <w:rsid w:val="00576A77"/>
    <w:rsid w:val="00592117"/>
    <w:rsid w:val="005972F1"/>
    <w:rsid w:val="005A7652"/>
    <w:rsid w:val="005B0F7B"/>
    <w:rsid w:val="005B652C"/>
    <w:rsid w:val="005B7239"/>
    <w:rsid w:val="005C29A8"/>
    <w:rsid w:val="005C4E06"/>
    <w:rsid w:val="005D055A"/>
    <w:rsid w:val="005E3B19"/>
    <w:rsid w:val="005E6CE3"/>
    <w:rsid w:val="005F130F"/>
    <w:rsid w:val="005F7341"/>
    <w:rsid w:val="00600F2E"/>
    <w:rsid w:val="0060218F"/>
    <w:rsid w:val="0060762B"/>
    <w:rsid w:val="006144A9"/>
    <w:rsid w:val="006162A0"/>
    <w:rsid w:val="00647613"/>
    <w:rsid w:val="00667F87"/>
    <w:rsid w:val="006773DE"/>
    <w:rsid w:val="00691BEB"/>
    <w:rsid w:val="0069366D"/>
    <w:rsid w:val="00696280"/>
    <w:rsid w:val="006A163C"/>
    <w:rsid w:val="006A3955"/>
    <w:rsid w:val="006A52FA"/>
    <w:rsid w:val="006A5C68"/>
    <w:rsid w:val="006A66D7"/>
    <w:rsid w:val="006A6AD8"/>
    <w:rsid w:val="006B491F"/>
    <w:rsid w:val="006B6105"/>
    <w:rsid w:val="006B6ED0"/>
    <w:rsid w:val="006B7677"/>
    <w:rsid w:val="006D128A"/>
    <w:rsid w:val="006D42A9"/>
    <w:rsid w:val="006E1E95"/>
    <w:rsid w:val="006E29AA"/>
    <w:rsid w:val="006F7D52"/>
    <w:rsid w:val="00703FA5"/>
    <w:rsid w:val="00710A58"/>
    <w:rsid w:val="00715DA3"/>
    <w:rsid w:val="007218E8"/>
    <w:rsid w:val="00725770"/>
    <w:rsid w:val="00730843"/>
    <w:rsid w:val="007449B3"/>
    <w:rsid w:val="00751749"/>
    <w:rsid w:val="00752DA9"/>
    <w:rsid w:val="00782C57"/>
    <w:rsid w:val="00785C1B"/>
    <w:rsid w:val="007A2578"/>
    <w:rsid w:val="007A2FE9"/>
    <w:rsid w:val="007A453E"/>
    <w:rsid w:val="007A4E68"/>
    <w:rsid w:val="007C4AB7"/>
    <w:rsid w:val="007C7EEB"/>
    <w:rsid w:val="007D0F9F"/>
    <w:rsid w:val="007D7806"/>
    <w:rsid w:val="007E2749"/>
    <w:rsid w:val="007E60B0"/>
    <w:rsid w:val="00803710"/>
    <w:rsid w:val="00804857"/>
    <w:rsid w:val="00813585"/>
    <w:rsid w:val="00837F39"/>
    <w:rsid w:val="00845BF5"/>
    <w:rsid w:val="00855C30"/>
    <w:rsid w:val="0086568D"/>
    <w:rsid w:val="00884AC0"/>
    <w:rsid w:val="00885BC5"/>
    <w:rsid w:val="008A1A5D"/>
    <w:rsid w:val="008A1C77"/>
    <w:rsid w:val="008A2C24"/>
    <w:rsid w:val="008A3E4A"/>
    <w:rsid w:val="008B1A17"/>
    <w:rsid w:val="008B6879"/>
    <w:rsid w:val="008C5A73"/>
    <w:rsid w:val="008D1B91"/>
    <w:rsid w:val="008D6375"/>
    <w:rsid w:val="008D787F"/>
    <w:rsid w:val="008E257A"/>
    <w:rsid w:val="008F20E7"/>
    <w:rsid w:val="008F2AC2"/>
    <w:rsid w:val="008F3060"/>
    <w:rsid w:val="008F741D"/>
    <w:rsid w:val="00901327"/>
    <w:rsid w:val="0091130F"/>
    <w:rsid w:val="0091603B"/>
    <w:rsid w:val="00916F6E"/>
    <w:rsid w:val="00917149"/>
    <w:rsid w:val="009233E3"/>
    <w:rsid w:val="00923F25"/>
    <w:rsid w:val="0092473A"/>
    <w:rsid w:val="00925C20"/>
    <w:rsid w:val="00930E68"/>
    <w:rsid w:val="00936C93"/>
    <w:rsid w:val="0094068B"/>
    <w:rsid w:val="00941832"/>
    <w:rsid w:val="00950FCD"/>
    <w:rsid w:val="00971242"/>
    <w:rsid w:val="00975849"/>
    <w:rsid w:val="0097712A"/>
    <w:rsid w:val="009931A9"/>
    <w:rsid w:val="009A0A34"/>
    <w:rsid w:val="009A60F2"/>
    <w:rsid w:val="009A6958"/>
    <w:rsid w:val="009B2E04"/>
    <w:rsid w:val="009B4F5A"/>
    <w:rsid w:val="009B6CF6"/>
    <w:rsid w:val="009C1B27"/>
    <w:rsid w:val="009C7F16"/>
    <w:rsid w:val="009F0756"/>
    <w:rsid w:val="009F0BC7"/>
    <w:rsid w:val="009F727A"/>
    <w:rsid w:val="00A04E76"/>
    <w:rsid w:val="00A053EA"/>
    <w:rsid w:val="00A07B84"/>
    <w:rsid w:val="00A27C5F"/>
    <w:rsid w:val="00A36E08"/>
    <w:rsid w:val="00A424D7"/>
    <w:rsid w:val="00A45CD1"/>
    <w:rsid w:val="00A56640"/>
    <w:rsid w:val="00A622E0"/>
    <w:rsid w:val="00A65C15"/>
    <w:rsid w:val="00A70867"/>
    <w:rsid w:val="00A80403"/>
    <w:rsid w:val="00A81CE1"/>
    <w:rsid w:val="00A86D83"/>
    <w:rsid w:val="00AA117C"/>
    <w:rsid w:val="00AA1E5E"/>
    <w:rsid w:val="00AA23E3"/>
    <w:rsid w:val="00AA4444"/>
    <w:rsid w:val="00AA59D2"/>
    <w:rsid w:val="00AB1B93"/>
    <w:rsid w:val="00AC7D84"/>
    <w:rsid w:val="00AD0059"/>
    <w:rsid w:val="00AE1410"/>
    <w:rsid w:val="00AE5A12"/>
    <w:rsid w:val="00B00C05"/>
    <w:rsid w:val="00B04607"/>
    <w:rsid w:val="00B04C9E"/>
    <w:rsid w:val="00B0713D"/>
    <w:rsid w:val="00B1020F"/>
    <w:rsid w:val="00B139A9"/>
    <w:rsid w:val="00B20BD9"/>
    <w:rsid w:val="00B35D67"/>
    <w:rsid w:val="00B42E2F"/>
    <w:rsid w:val="00B46108"/>
    <w:rsid w:val="00B61527"/>
    <w:rsid w:val="00B665DB"/>
    <w:rsid w:val="00B70420"/>
    <w:rsid w:val="00B70C56"/>
    <w:rsid w:val="00B94252"/>
    <w:rsid w:val="00BA365A"/>
    <w:rsid w:val="00BA4A63"/>
    <w:rsid w:val="00BA77F8"/>
    <w:rsid w:val="00BB200C"/>
    <w:rsid w:val="00BB6382"/>
    <w:rsid w:val="00BC1501"/>
    <w:rsid w:val="00BD1FFB"/>
    <w:rsid w:val="00BD34CE"/>
    <w:rsid w:val="00BD58D8"/>
    <w:rsid w:val="00BE2C9F"/>
    <w:rsid w:val="00BE6426"/>
    <w:rsid w:val="00BF0E30"/>
    <w:rsid w:val="00BF101A"/>
    <w:rsid w:val="00C03E30"/>
    <w:rsid w:val="00C06D66"/>
    <w:rsid w:val="00C27C03"/>
    <w:rsid w:val="00C34B0E"/>
    <w:rsid w:val="00C60706"/>
    <w:rsid w:val="00C65CB7"/>
    <w:rsid w:val="00C74B7A"/>
    <w:rsid w:val="00C74FDF"/>
    <w:rsid w:val="00C76E6A"/>
    <w:rsid w:val="00C80157"/>
    <w:rsid w:val="00C80B57"/>
    <w:rsid w:val="00C86AE5"/>
    <w:rsid w:val="00C8794C"/>
    <w:rsid w:val="00C92CE9"/>
    <w:rsid w:val="00CA02DA"/>
    <w:rsid w:val="00CA0AD3"/>
    <w:rsid w:val="00CB512B"/>
    <w:rsid w:val="00CB64E9"/>
    <w:rsid w:val="00CC1265"/>
    <w:rsid w:val="00CC44D0"/>
    <w:rsid w:val="00CC6EAC"/>
    <w:rsid w:val="00CE570F"/>
    <w:rsid w:val="00CF704D"/>
    <w:rsid w:val="00D03672"/>
    <w:rsid w:val="00D04550"/>
    <w:rsid w:val="00D22748"/>
    <w:rsid w:val="00D33D6E"/>
    <w:rsid w:val="00D42794"/>
    <w:rsid w:val="00D46310"/>
    <w:rsid w:val="00D4644D"/>
    <w:rsid w:val="00D46833"/>
    <w:rsid w:val="00D71CA7"/>
    <w:rsid w:val="00D72EA4"/>
    <w:rsid w:val="00D81667"/>
    <w:rsid w:val="00D8275B"/>
    <w:rsid w:val="00D8358E"/>
    <w:rsid w:val="00D84968"/>
    <w:rsid w:val="00D871E6"/>
    <w:rsid w:val="00DA3DEA"/>
    <w:rsid w:val="00DA4056"/>
    <w:rsid w:val="00DB66EB"/>
    <w:rsid w:val="00DC38E6"/>
    <w:rsid w:val="00DC48F7"/>
    <w:rsid w:val="00DD0C10"/>
    <w:rsid w:val="00DD1B9B"/>
    <w:rsid w:val="00DD50A8"/>
    <w:rsid w:val="00DE214A"/>
    <w:rsid w:val="00DE7ACC"/>
    <w:rsid w:val="00E01D57"/>
    <w:rsid w:val="00E057EE"/>
    <w:rsid w:val="00E17A74"/>
    <w:rsid w:val="00E32A6E"/>
    <w:rsid w:val="00E358E0"/>
    <w:rsid w:val="00E43B66"/>
    <w:rsid w:val="00E452C0"/>
    <w:rsid w:val="00E66F38"/>
    <w:rsid w:val="00E74A14"/>
    <w:rsid w:val="00E75E66"/>
    <w:rsid w:val="00E82834"/>
    <w:rsid w:val="00E96048"/>
    <w:rsid w:val="00EA0A4C"/>
    <w:rsid w:val="00EB315A"/>
    <w:rsid w:val="00EB3A54"/>
    <w:rsid w:val="00EC051A"/>
    <w:rsid w:val="00EF196B"/>
    <w:rsid w:val="00EF3CF0"/>
    <w:rsid w:val="00EF7EF9"/>
    <w:rsid w:val="00F054A6"/>
    <w:rsid w:val="00F13C12"/>
    <w:rsid w:val="00F150F6"/>
    <w:rsid w:val="00F15561"/>
    <w:rsid w:val="00F17D1E"/>
    <w:rsid w:val="00F25BA3"/>
    <w:rsid w:val="00F328A1"/>
    <w:rsid w:val="00F60A6F"/>
    <w:rsid w:val="00F666CB"/>
    <w:rsid w:val="00F7558C"/>
    <w:rsid w:val="00F91755"/>
    <w:rsid w:val="00F97607"/>
    <w:rsid w:val="00FB3309"/>
    <w:rsid w:val="00FC6C35"/>
    <w:rsid w:val="00FD0997"/>
    <w:rsid w:val="00FD1A8E"/>
    <w:rsid w:val="00FE0404"/>
    <w:rsid w:val="00FE0A78"/>
    <w:rsid w:val="00FE19BB"/>
    <w:rsid w:val="00FE4D7E"/>
    <w:rsid w:val="00FF2AE1"/>
    <w:rsid w:val="00FF39E4"/>
    <w:rsid w:val="00FF5079"/>
    <w:rsid w:val="012C14DA"/>
    <w:rsid w:val="05A2201F"/>
    <w:rsid w:val="070A1D10"/>
    <w:rsid w:val="0FBF08D9"/>
    <w:rsid w:val="11A123CC"/>
    <w:rsid w:val="1A5F27DB"/>
    <w:rsid w:val="1DBD3F57"/>
    <w:rsid w:val="1FEB4A4E"/>
    <w:rsid w:val="20CA7304"/>
    <w:rsid w:val="211A7553"/>
    <w:rsid w:val="23C35CC0"/>
    <w:rsid w:val="26425EC8"/>
    <w:rsid w:val="29D04706"/>
    <w:rsid w:val="2BF66877"/>
    <w:rsid w:val="316562FF"/>
    <w:rsid w:val="32DD59F3"/>
    <w:rsid w:val="340A5AE0"/>
    <w:rsid w:val="37D37B04"/>
    <w:rsid w:val="384B683B"/>
    <w:rsid w:val="38BBA254"/>
    <w:rsid w:val="390D5E30"/>
    <w:rsid w:val="3C1862B4"/>
    <w:rsid w:val="3FEF6441"/>
    <w:rsid w:val="41251738"/>
    <w:rsid w:val="42C85283"/>
    <w:rsid w:val="437F0B68"/>
    <w:rsid w:val="46180F46"/>
    <w:rsid w:val="480701A6"/>
    <w:rsid w:val="4A6A2495"/>
    <w:rsid w:val="4CE237A1"/>
    <w:rsid w:val="4EC25954"/>
    <w:rsid w:val="50856E02"/>
    <w:rsid w:val="51DD08DC"/>
    <w:rsid w:val="53A731C6"/>
    <w:rsid w:val="597E1DC6"/>
    <w:rsid w:val="5B1FF213"/>
    <w:rsid w:val="5ECB7F99"/>
    <w:rsid w:val="5FDE9E77"/>
    <w:rsid w:val="5FFBFDBB"/>
    <w:rsid w:val="62761E0E"/>
    <w:rsid w:val="66BC62DA"/>
    <w:rsid w:val="69DA52F4"/>
    <w:rsid w:val="727F0AD3"/>
    <w:rsid w:val="74D974D5"/>
    <w:rsid w:val="757CF8E0"/>
    <w:rsid w:val="76883AB9"/>
    <w:rsid w:val="768E271E"/>
    <w:rsid w:val="7728378D"/>
    <w:rsid w:val="7AC60C14"/>
    <w:rsid w:val="7D326938"/>
    <w:rsid w:val="7D366279"/>
    <w:rsid w:val="7DB216C8"/>
    <w:rsid w:val="7DF378A2"/>
    <w:rsid w:val="7DF42AB1"/>
    <w:rsid w:val="7EFDE308"/>
    <w:rsid w:val="9FFBC7CF"/>
    <w:rsid w:val="AD96FD73"/>
    <w:rsid w:val="B8E79B1F"/>
    <w:rsid w:val="BBBAC022"/>
    <w:rsid w:val="BDBE04C5"/>
    <w:rsid w:val="BEEBDA2F"/>
    <w:rsid w:val="D7B79599"/>
    <w:rsid w:val="D9EF0CE9"/>
    <w:rsid w:val="E3F6D619"/>
    <w:rsid w:val="E47F4216"/>
    <w:rsid w:val="F2A345E3"/>
    <w:rsid w:val="F6E3CEEE"/>
    <w:rsid w:val="F7E46ADB"/>
    <w:rsid w:val="FBDA4321"/>
    <w:rsid w:val="FDD17B29"/>
    <w:rsid w:val="FF7F6316"/>
    <w:rsid w:val="FFEB8B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line="560" w:lineRule="exact"/>
    </w:pPr>
    <w:rPr>
      <w:rFonts w:eastAsia="仿宋_GB2312"/>
      <w:sz w:val="32"/>
    </w:rPr>
  </w:style>
  <w:style w:type="paragraph" w:styleId="3">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qFormat/>
    <w:uiPriority w:val="0"/>
    <w:pPr>
      <w:spacing w:before="100" w:beforeAutospacing="1" w:after="100" w:afterAutospacing="1"/>
      <w:jc w:val="left"/>
    </w:pPr>
    <w:rPr>
      <w:kern w:val="0"/>
      <w:sz w:val="24"/>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page number"/>
    <w:basedOn w:val="8"/>
    <w:qFormat/>
    <w:uiPriority w:val="0"/>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46</Pages>
  <Words>2717</Words>
  <Characters>15493</Characters>
  <Lines>129</Lines>
  <Paragraphs>36</Paragraphs>
  <TotalTime>10</TotalTime>
  <ScaleCrop>false</ScaleCrop>
  <LinksUpToDate>false</LinksUpToDate>
  <CharactersWithSpaces>18174</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2022-12-12T01:48:00Z</dcterms:created>
  <dc:creator>Microsoft</dc:creator>
  <cp:lastModifiedBy>Administrator</cp:lastModifiedBy>
  <cp:lastPrinted>2023-02-09T17:37:00Z</cp:lastPrinted>
  <dcterms:modified xsi:type="dcterms:W3CDTF">2023-02-27T02:24:57Z</dcterms:modified>
  <cp:revision>464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