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150DD6">
      <w:pPr>
        <w:pBdr/>
        <w:spacing/>
        <w:ind/>
        <w:jc w:val="center"/>
        <w:rPr>
          <w:rFonts w:cs="Arial"/>
          <w:b/>
          <w:bCs/>
          <w:color w:val="1b365d"/>
          <w:sz w:val="48"/>
          <w:szCs w:val="48"/>
        </w:rPr>
      </w:pPr>
      <w:r>
        <w:rPr>
          <w:rFonts w:cs="Arial"/>
          <w:b/>
          <w:bCs/>
          <w:color w:val="1b365d"/>
          <w:sz w:val="48"/>
          <w:szCs w:val="4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35300" cy="2241550"/>
                <wp:effectExtent l="0" t="0" r="0" b="635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5363261" name="Picture 79337097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35299" cy="2241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9.00pt;height:176.5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cs="Arial"/>
          <w:b/>
          <w:bCs/>
          <w:color w:val="1b365d"/>
          <w:sz w:val="48"/>
          <w:szCs w:val="48"/>
        </w:rPr>
      </w:r>
      <w:r>
        <w:rPr>
          <w:rFonts w:cs="Arial"/>
          <w:b/>
          <w:bCs/>
          <w:color w:val="1b365d"/>
          <w:sz w:val="48"/>
          <w:szCs w:val="48"/>
        </w:rPr>
      </w:r>
      <w:r>
        <w:rPr>
          <w:rFonts w:cs="Arial"/>
          <w:b/>
          <w:bCs/>
          <w:color w:val="1b365d"/>
          <w:sz w:val="48"/>
          <w:szCs w:val="48"/>
        </w:rPr>
      </w:r>
      <w:r>
        <w:rPr>
          <w:rFonts w:cs="Arial"/>
          <w:b/>
          <w:bCs/>
          <w:color w:val="1b365d"/>
          <w:sz w:val="48"/>
          <w:szCs w:val="48"/>
        </w:rPr>
      </w:r>
      <w:r>
        <w:rPr>
          <w:rFonts w:cs="Arial"/>
          <w:b/>
          <w:bCs/>
          <w:color w:val="1b365d"/>
          <w:sz w:val="48"/>
          <w:szCs w:val="48"/>
        </w:rPr>
      </w:r>
      <w:r>
        <w:rPr>
          <w:rFonts w:cs="Arial"/>
          <w:b/>
          <w:bCs/>
          <w:color w:val="1b365d"/>
          <w:sz w:val="48"/>
          <w:szCs w:val="48"/>
        </w:rPr>
      </w:r>
    </w:p>
    <w:p w14:paraId="25139DF8">
      <w:pPr>
        <w:pBdr/>
        <w:spacing/>
        <w:ind/>
        <w:jc w:val="center"/>
        <w:rPr>
          <w:rFonts w:cs="Arial"/>
          <w:b/>
          <w:bCs/>
          <w:color w:val="1b365d"/>
          <w:sz w:val="48"/>
          <w:szCs w:val="48"/>
        </w:rPr>
      </w:pPr>
      <w:r>
        <w:rPr>
          <w:rFonts w:cs="Arial"/>
          <w:b/>
          <w:bCs/>
          <w:color w:val="1b365d"/>
          <w:sz w:val="48"/>
          <w:szCs w:val="48"/>
        </w:rPr>
      </w:r>
      <w:r>
        <w:rPr>
          <w:rFonts w:cs="Arial"/>
          <w:b/>
          <w:bCs/>
          <w:color w:val="1b365d"/>
          <w:sz w:val="48"/>
          <w:szCs w:val="48"/>
        </w:rPr>
      </w:r>
      <w:r>
        <w:rPr>
          <w:rFonts w:cs="Arial"/>
          <w:b/>
          <w:bCs/>
          <w:color w:val="1b365d"/>
          <w:sz w:val="48"/>
          <w:szCs w:val="48"/>
        </w:rPr>
      </w:r>
    </w:p>
    <w:p w14:paraId="540AFCCC">
      <w:pPr>
        <w:pBdr/>
        <w:spacing/>
        <w:ind/>
        <w:jc w:val="center"/>
        <w:rPr>
          <w:rFonts w:cs="Arial"/>
        </w:rPr>
      </w:pPr>
      <w:r>
        <w:rPr>
          <w:rFonts w:cs="Arial"/>
        </w:rPr>
      </w:r>
      <w:r>
        <w:rPr>
          <w:rFonts w:cs="Arial"/>
        </w:rPr>
      </w:r>
      <w:r>
        <w:rPr>
          <w:rFonts w:cs="Arial"/>
        </w:rPr>
      </w:r>
    </w:p>
    <w:p w14:paraId="2616FDAE">
      <w:pPr>
        <w:pBdr/>
        <w:spacing/>
        <w:ind/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 xml:space="preserve">PRT631 INFORMATION SYSTEM PRACTICE</w:t>
      </w:r>
      <w:r>
        <w:rPr>
          <w:rFonts w:cs="Arial"/>
          <w:b/>
          <w:sz w:val="32"/>
          <w:szCs w:val="32"/>
        </w:rPr>
      </w:r>
      <w:r>
        <w:rPr>
          <w:rFonts w:cs="Arial"/>
          <w:b/>
          <w:sz w:val="32"/>
          <w:szCs w:val="32"/>
        </w:rPr>
      </w:r>
    </w:p>
    <w:p w14:paraId="665184EF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Executive Project Summary &amp; Competition Submission White </w:t>
      </w: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Paper</w:t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3B511CA3">
      <w:pPr>
        <w:pBdr/>
        <w:spacing w:line="240" w:lineRule="auto"/>
        <w:ind/>
        <w:jc w:val="center"/>
        <w:rPr>
          <w:rFonts w:cs="Arial"/>
          <w:b/>
          <w:sz w:val="32"/>
          <w:szCs w:val="32"/>
          <w:u w:val="single"/>
        </w:rPr>
      </w:pPr>
      <w:r>
        <w:rPr>
          <w:rFonts w:cs="Arial"/>
          <w:b/>
          <w:sz w:val="32"/>
          <w:szCs w:val="32"/>
          <w:u w:val="single"/>
        </w:rPr>
      </w:r>
      <w:r>
        <w:rPr>
          <w:rFonts w:cs="Arial"/>
          <w:b/>
          <w:sz w:val="32"/>
          <w:szCs w:val="32"/>
          <w:u w:val="single"/>
        </w:rPr>
      </w:r>
    </w:p>
    <w:p w14:paraId="5095D24E">
      <w:pPr>
        <w:pBdr/>
        <w:spacing w:line="240" w:lineRule="auto"/>
        <w:ind/>
        <w:jc w:val="center"/>
        <w:rPr>
          <w:rFonts w:cs="Arial"/>
          <w:b/>
          <w:bCs/>
          <w:color w:val="1b365d"/>
          <w:sz w:val="48"/>
          <w:szCs w:val="48"/>
        </w:rPr>
      </w:pPr>
      <w:r>
        <w:rPr>
          <w:rFonts w:cs="Arial"/>
          <w:b/>
          <w:bCs/>
          <w:color w:val="1b365d"/>
          <w:sz w:val="48"/>
          <w:szCs w:val="48"/>
        </w:rPr>
      </w:r>
      <w:r>
        <w:rPr>
          <w:rFonts w:cs="Arial"/>
          <w:b/>
          <w:bCs/>
          <w:color w:val="1b365d"/>
          <w:sz w:val="48"/>
          <w:szCs w:val="48"/>
        </w:rPr>
      </w:r>
      <w:r>
        <w:rPr>
          <w:rFonts w:cs="Arial"/>
          <w:b/>
          <w:bCs/>
          <w:color w:val="1b365d"/>
          <w:sz w:val="48"/>
          <w:szCs w:val="48"/>
        </w:rPr>
      </w:r>
    </w:p>
    <w:p w14:paraId="5F6F881B">
      <w:pPr>
        <w:pBdr/>
        <w:spacing/>
        <w:ind/>
        <w:jc w:val="center"/>
        <w:rPr>
          <w:rFonts w:cs="Arial"/>
          <w:b/>
          <w:bCs/>
          <w:sz w:val="32"/>
          <w:szCs w:val="32"/>
        </w:rPr>
      </w:pPr>
      <w:r>
        <w:rPr>
          <w:rFonts w:cs="Arial"/>
          <w:b/>
          <w:bCs/>
          <w:sz w:val="32"/>
          <w:szCs w:val="32"/>
        </w:rPr>
        <w:t xml:space="preserve">Bipin Maharjan (S384170)</w:t>
      </w:r>
      <w:r>
        <w:rPr>
          <w:rFonts w:cs="Arial"/>
          <w:b/>
          <w:bCs/>
          <w:sz w:val="32"/>
          <w:szCs w:val="32"/>
        </w:rPr>
      </w:r>
      <w:r>
        <w:rPr>
          <w:rFonts w:cs="Arial"/>
          <w:b/>
          <w:bCs/>
          <w:sz w:val="32"/>
          <w:szCs w:val="32"/>
        </w:rPr>
      </w:r>
    </w:p>
    <w:p w14:paraId="1FD04D56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</w:p>
    <w:p w14:paraId="0FB99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Scope: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10-Site Pilot Rollout across New South Wales (NSW), Australia</w:t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7481FB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highlight w:val="none"/>
        </w:rPr>
      </w:pP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  <w:t xml:space="preserve">GitHub: </w:t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hyperlink r:id="rId10" w:tooltip="https://github.com/geeksgod/Automated-License-Plate-Recognition" w:history="1">
        <w:r>
          <w:rPr>
            <w:rStyle w:val="884"/>
            <w:rFonts w:ascii="Roboto" w:hAnsi="Roboto" w:eastAsia="Roboto" w:cs="Roboto"/>
            <w:b/>
            <w:bCs/>
            <w:sz w:val="24"/>
            <w:szCs w:val="24"/>
            <w:highlight w:val="none"/>
          </w:rPr>
          <w:t xml:space="preserve">https://github.com/geeksgod/Automated-License-Plate-Recognition</w:t>
        </w:r>
        <w:r>
          <w:rPr>
            <w:rStyle w:val="884"/>
            <w:rFonts w:ascii="Roboto" w:hAnsi="Roboto" w:eastAsia="Roboto" w:cs="Roboto"/>
            <w:b/>
            <w:bCs/>
            <w:sz w:val="24"/>
            <w:szCs w:val="24"/>
            <w:highlight w:val="none"/>
          </w:rPr>
        </w:r>
        <w:r>
          <w:rPr>
            <w:rStyle w:val="884"/>
            <w:rFonts w:ascii="Roboto" w:hAnsi="Roboto" w:eastAsia="Roboto" w:cs="Roboto"/>
            <w:b/>
            <w:bCs/>
            <w:sz w:val="24"/>
            <w:szCs w:val="24"/>
            <w:highlight w:val="none"/>
          </w:rPr>
        </w:r>
      </w:hyperlink>
      <w:r>
        <w:rPr>
          <w:b/>
          <w:bCs/>
        </w:rPr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  <w:highlight w:val="none"/>
        </w:rPr>
      </w:r>
    </w:p>
    <w:p w14:paraId="26208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center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b/>
          <w:bCs/>
          <w:highlight w:val="none"/>
        </w:rPr>
        <w:t xml:space="preserve">Demo:</w:t>
      </w:r>
      <w:hyperlink r:id="rId11" w:tooltip="https://youtu.be/9gyR4GZRnS0" w:history="1">
        <w:r>
          <w:rPr>
            <w:rStyle w:val="884"/>
            <w:b/>
            <w:bCs/>
            <w:highlight w:val="none"/>
          </w:rPr>
          <w:t xml:space="preserve"> </w:t>
        </w:r>
        <w:r>
          <w:rPr>
            <w:rStyle w:val="884"/>
            <w:b/>
            <w:bCs/>
            <w:highlight w:val="none"/>
          </w:rPr>
          <w:t xml:space="preserve">https://youtu.be/9gyR4GZRnS0</w:t>
        </w:r>
      </w:hyperlink>
      <w:r>
        <w:rPr>
          <w:b/>
          <w:bCs/>
          <w:highlight w:val="none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</w:p>
    <w:p w14:paraId="2D6E94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color w:val="000000"/>
          <w:sz w:val="24"/>
          <w:szCs w:val="24"/>
          <w:highlight w:val="none"/>
        </w:rPr>
      </w:r>
    </w:p>
    <w:p w14:paraId="1D1656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  <w:szCs w:val="24"/>
          <w:highlight w:val="none"/>
        </w:rPr>
        <w:br w:type="page" w:clear="all"/>
      </w:r>
      <w:r>
        <w:rPr>
          <w:rFonts w:ascii="Roboto" w:hAnsi="Roboto" w:cs="Roboto"/>
          <w:sz w:val="24"/>
          <w:szCs w:val="24"/>
        </w:rPr>
      </w:r>
      <w:r/>
    </w:p>
    <w:p w14:paraId="71506769">
      <w:pPr>
        <w:pStyle w:val="839"/>
        <w:pBdr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1. Executive Summary</w:t>
      </w:r>
      <w:r>
        <w:rPr>
          <w:rFonts w:ascii="Roboto" w:hAnsi="Roboto" w:eastAsia="Roboto" w:cs="Roboto"/>
          <w:sz w:val="24"/>
          <w:szCs w:val="24"/>
        </w:rPr>
      </w:r>
    </w:p>
    <w:p w14:paraId="7565D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  <w:t xml:space="preserve">Fuel drive-off</w:t>
      </w:r>
      <w:r>
        <w:rPr>
          <w:rFonts w:ascii="Roboto" w:hAnsi="Roboto" w:eastAsia="Roboto" w:cs="Roboto"/>
          <w:sz w:val="24"/>
          <w:szCs w:val="24"/>
        </w:rPr>
        <w:t xml:space="preserve">s (also described as “Fail to Pay for Fuel”) create a combined revenue, operational and compliance problem for service-station operators. The current project identifies a gap between passive CCTV recording and the real-time decisions staff need to make at </w:t>
      </w:r>
      <w:r>
        <w:rPr>
          <w:rFonts w:ascii="Roboto" w:hAnsi="Roboto" w:eastAsia="Roboto" w:cs="Roboto"/>
          <w:sz w:val="24"/>
          <w:szCs w:val="24"/>
        </w:rPr>
        <w:t xml:space="preserve">the console.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Operating on razor-thin fuel margins, stations absorb an average loss of $220 per week per site. On top of direct inventor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y loss, site managers spend 30 to 90 minutes per incident assembling footage and filing manual reports for police. Existing solutions like standard CCTV are reactive, while forcing mandatory pre-pay hurts higher-margin convenience store sales.</w:t>
      </w:r>
      <w:r>
        <w:rPr>
          <w:rFonts w:ascii="Roboto" w:hAnsi="Roboto" w:eastAsia="Roboto" w:cs="Roboto"/>
          <w:sz w:val="24"/>
          <w:szCs w:val="24"/>
        </w:rPr>
      </w:r>
    </w:p>
    <w:p w14:paraId="2942C4CD">
      <w:pPr>
        <w:pBdr/>
        <w:spacing/>
        <w:ind/>
        <w:jc w:val="both"/>
        <w:rPr>
          <w:rFonts w:ascii="Roboto" w:hAnsi="Roboto" w:cs="Roboto"/>
        </w:rPr>
      </w:pP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  <w:t xml:space="preserve">The proposed solution is an edge-based Automated Licence Plate Recognition (ALPR) system designed as a retrofit to existing forecourt camera infrastructure. Each site processes video locally using an NVIDIA Jetson or RTX-enabled edge computer. The comp</w:t>
      </w:r>
      <w:r>
        <w:rPr>
          <w:rFonts w:ascii="Roboto" w:hAnsi="Roboto" w:eastAsia="Roboto" w:cs="Roboto"/>
        </w:rPr>
        <w:t xml:space="preserve">uter-vision pipeline uses hardware video decode, YOLOv8 vehicle/plate detection,multi-frame OCR validation. Once a plate is confirmed, the system performs one local watchlist lookup and generate</w:t>
      </w:r>
      <w:r>
        <w:rPr>
          <w:rFonts w:ascii="Roboto" w:hAnsi="Roboto" w:eastAsia="Roboto" w:cs="Roboto"/>
        </w:rPr>
        <w:t xml:space="preserve">s at most one operator alert for that vehicle visit. Structured event data, selected images and short evidence clips can then be synchronised securely to a central backend while raw video remains on site.</w:t>
      </w:r>
      <w:r>
        <w:rPr>
          <w:rFonts w:ascii="Roboto" w:hAnsi="Roboto" w:eastAsia="Roboto" w:cs="Roboto"/>
        </w:rPr>
      </w:r>
      <w:r>
        <w:rPr>
          <w:rFonts w:ascii="Roboto" w:hAnsi="Roboto" w:eastAsia="Roboto" w:cs="Roboto"/>
        </w:rPr>
      </w:r>
    </w:p>
    <w:p w14:paraId="1E04B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538B7671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Core Project Performance Indicators</w:t>
      </w:r>
      <w:r>
        <w:rPr>
          <w:rFonts w:ascii="Roboto" w:hAnsi="Roboto" w:eastAsia="Roboto" w:cs="Roboto"/>
          <w:sz w:val="24"/>
          <w:szCs w:val="24"/>
        </w:rPr>
      </w:r>
    </w:p>
    <w:p w14:paraId="65A78250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Target Pilot Investment: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AUD $101,500 (across 10 pilot sites over 12 weeks).</w:t>
      </w:r>
      <w:r>
        <w:rPr>
          <w:rFonts w:ascii="Roboto" w:hAnsi="Roboto" w:eastAsia="Roboto" w:cs="Roboto"/>
          <w:sz w:val="24"/>
          <w:szCs w:val="24"/>
        </w:rPr>
      </w:r>
    </w:p>
    <w:p w14:paraId="519F45ED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Break-Even Horizon: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</w:t>
      </w: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10.7 Months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(recovering ~$1,000/month per site in avoided theft).</w:t>
      </w:r>
      <w:r>
        <w:rPr>
          <w:rFonts w:ascii="Roboto" w:hAnsi="Roboto" w:eastAsia="Roboto" w:cs="Roboto"/>
          <w:sz w:val="24"/>
          <w:szCs w:val="24"/>
        </w:rPr>
      </w:r>
    </w:p>
    <w:p w14:paraId="6E4AE0FA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Detection &amp; Alert Latency: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Sub-2-second local identification and console notification.</w:t>
      </w:r>
      <w:r>
        <w:rPr>
          <w:rFonts w:ascii="Roboto" w:hAnsi="Roboto" w:eastAsia="Roboto" w:cs="Roboto"/>
          <w:sz w:val="24"/>
          <w:szCs w:val="24"/>
        </w:rPr>
      </w:r>
    </w:p>
    <w:p w14:paraId="4CBB27E6">
      <w:pPr>
        <w:pStyle w:val="90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System Uptime &amp; Resilience: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100% offline functionality for localized detection, tracking, and watchlist matching.</w:t>
      </w:r>
      <w:r>
        <w:rPr>
          <w:rFonts w:ascii="Roboto" w:hAnsi="Roboto" w:eastAsia="Roboto" w:cs="Roboto"/>
          <w:sz w:val="24"/>
          <w:szCs w:val="24"/>
        </w:rPr>
      </w:r>
    </w:p>
    <w:p w14:paraId="3B8248D6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</w:p>
    <w:p w14:paraId="33B2CC22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eastAsia="Roboto" w:cs="Roboto"/>
          <w:b/>
          <w:bCs/>
          <w:color w:val="000000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</w:r>
      <w:r>
        <w:rPr>
          <w:rFonts w:ascii="Roboto" w:hAnsi="Roboto" w:eastAsia="Roboto" w:cs="Roboto"/>
          <w:b/>
          <w:bCs/>
          <w:color w:val="000000"/>
          <w:sz w:val="24"/>
          <w:szCs w:val="24"/>
        </w:rPr>
      </w:r>
    </w:p>
    <w:p w14:paraId="175494F8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eastAsia="Roboto" w:cs="Roboto"/>
          <w:b/>
          <w:bCs/>
          <w:color w:val="000000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br w:type="page" w:clear="all"/>
      </w:r>
      <w:r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r>
      <w:r/>
    </w:p>
    <w:p w14:paraId="509C9B16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2. Business Problem &amp; Market Gap</w:t>
      </w:r>
      <w:r>
        <w:rPr>
          <w:rFonts w:ascii="Roboto" w:hAnsi="Roboto" w:eastAsia="Roboto" w:cs="Roboto"/>
          <w:sz w:val="24"/>
          <w:szCs w:val="24"/>
        </w:rPr>
      </w:r>
      <w:r/>
    </w:p>
    <w:p w14:paraId="685394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72526" cy="339988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70238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872526" cy="33998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2.40pt;height:267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2A592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Service stations operate under a dual business model: low-margin fuel sales paired with high-margin convenience retail. Frontline console staff face high cognitive load, balancing point-of-sale retail transactions, customer service, and forecourt safety mo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nitoring.</w:t>
      </w:r>
      <w:r>
        <w:rPr>
          <w:rFonts w:ascii="Roboto" w:hAnsi="Roboto" w:eastAsia="Roboto" w:cs="Roboto"/>
          <w:sz w:val="24"/>
          <w:szCs w:val="24"/>
        </w:rPr>
      </w:r>
    </w:p>
    <w:p w14:paraId="42532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Current operational gaps include:</w:t>
      </w:r>
      <w:r>
        <w:rPr>
          <w:rFonts w:ascii="Roboto" w:hAnsi="Roboto" w:eastAsia="Roboto" w:cs="Roboto"/>
          <w:sz w:val="24"/>
          <w:szCs w:val="24"/>
        </w:rPr>
      </w:r>
    </w:p>
    <w:p w14:paraId="7F71512E">
      <w:pPr>
        <w:pStyle w:val="9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Unreliable Manual Oversight: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Staff serving customers on the till cannot continuously monitor all active pumps.</w:t>
      </w:r>
      <w:r>
        <w:rPr>
          <w:rFonts w:ascii="Roboto" w:hAnsi="Roboto" w:eastAsia="Roboto" w:cs="Roboto"/>
          <w:sz w:val="24"/>
          <w:szCs w:val="24"/>
        </w:rPr>
      </w:r>
    </w:p>
    <w:p w14:paraId="243407DF">
      <w:pPr>
        <w:pStyle w:val="9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Motion Alarm Fatigue: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Basic motion-detection alerts trigger indiscriminately for standard foot traffic, leading staff to mute or ignore them.</w:t>
      </w:r>
      <w:r>
        <w:rPr>
          <w:rFonts w:ascii="Roboto" w:hAnsi="Roboto" w:eastAsia="Roboto" w:cs="Roboto"/>
          <w:sz w:val="24"/>
          <w:szCs w:val="24"/>
        </w:rPr>
      </w:r>
    </w:p>
    <w:p w14:paraId="7F65CEDF">
      <w:pPr>
        <w:pStyle w:val="9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Severe Reporting Friction: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Compiling manual evidence packages (cropping images, matching pump timestamps, and writing incident reports) drains 30–90 minutes of manager productivity per drive-off.</w:t>
      </w:r>
      <w:r>
        <w:rPr>
          <w:rFonts w:ascii="Roboto" w:hAnsi="Roboto" w:eastAsia="Roboto" w:cs="Roboto"/>
          <w:sz w:val="24"/>
          <w:szCs w:val="24"/>
        </w:rPr>
      </w:r>
    </w:p>
    <w:p w14:paraId="26FDCAFB">
      <w:pPr>
        <w:pStyle w:val="90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Lack of Real-Time Intelligence: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Standard CCTV records footage passively, providing no mechanism to identify repeat offenders before fuel is drawn.</w:t>
      </w:r>
      <w:r>
        <w:rPr>
          <w:rFonts w:ascii="Roboto" w:hAnsi="Roboto" w:cs="Roboto"/>
          <w:sz w:val="24"/>
          <w:szCs w:val="24"/>
        </w:rPr>
      </w:r>
    </w:p>
    <w:p w14:paraId="249E1251">
      <w:pPr>
        <w:pBdr/>
        <w:shd w:val="nil"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  <w:br w:type="page" w:clear="all"/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2E90F0EE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3. Options Analysis &amp; Strategic Positioning</w:t>
      </w:r>
      <w:r>
        <w:rPr>
          <w:rFonts w:ascii="Roboto" w:hAnsi="Roboto" w:eastAsia="Roboto" w:cs="Roboto"/>
          <w:sz w:val="24"/>
          <w:szCs w:val="24"/>
        </w:rPr>
      </w:r>
    </w:p>
    <w:p w14:paraId="390C1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Before selecting the Edge-AI retrofit model, four architectural approaches were evaluated:</w:t>
      </w:r>
      <w:r>
        <w:rPr>
          <w:rFonts w:ascii="Roboto" w:hAnsi="Roboto" w:eastAsia="Roboto" w:cs="Roboto"/>
          <w:sz w:val="24"/>
          <w:szCs w:val="24"/>
        </w:rPr>
      </w:r>
    </w:p>
    <w:tbl>
      <w:tblPr>
        <w:tblStyle w:val="71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82"/>
        <w:gridCol w:w="2024"/>
        <w:gridCol w:w="1877"/>
        <w:gridCol w:w="1889"/>
        <w:gridCol w:w="2582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2" w:type="dxa"/>
            <w:vAlign w:val="center"/>
          </w:tcPr>
          <w:p w14:paraId="0383A6E6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Evaluation Criteria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4" w:type="dxa"/>
            <w:vAlign w:val="center"/>
          </w:tcPr>
          <w:p w14:paraId="018E4AAA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Do Nothing / Standard CCTV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7" w:type="dxa"/>
            <w:vAlign w:val="center"/>
          </w:tcPr>
          <w:p w14:paraId="08E8C104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Mandatory Pre-Pay Model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</w:tcPr>
          <w:p w14:paraId="191C1789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Cloud-Based ALPR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82" w:type="dxa"/>
            <w:vAlign w:val="center"/>
          </w:tcPr>
          <w:p w14:paraId="54A10AED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Edge Retrofit ALPR (Selected Solution)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2" w:type="dxa"/>
            <w:vAlign w:val="center"/>
          </w:tcPr>
          <w:p w14:paraId="08BBA7DD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Capital Cost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4" w:type="dxa"/>
            <w:vAlign w:val="center"/>
          </w:tcPr>
          <w:p w14:paraId="7E96D188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$0 upfront (High indirect loss)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7" w:type="dxa"/>
            <w:vAlign w:val="center"/>
          </w:tcPr>
          <w:p w14:paraId="4F8CF604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Low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</w:tcPr>
          <w:p w14:paraId="1724897C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High recurring cloud costs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82" w:type="dxa"/>
            <w:vAlign w:val="center"/>
          </w:tcPr>
          <w:p w14:paraId="53185F04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Moderate ($101.5k for 10 sites)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2" w:type="dxa"/>
            <w:vAlign w:val="center"/>
          </w:tcPr>
          <w:p w14:paraId="080042B3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Theft Prevention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4" w:type="dxa"/>
            <w:vAlign w:val="center"/>
          </w:tcPr>
          <w:p w14:paraId="468E5BEB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Low / Reactive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7" w:type="dxa"/>
            <w:vAlign w:val="center"/>
          </w:tcPr>
          <w:p w14:paraId="623F5B7C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High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</w:tcPr>
          <w:p w14:paraId="12C97C5A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High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82" w:type="dxa"/>
            <w:vAlign w:val="center"/>
          </w:tcPr>
          <w:p w14:paraId="353D679A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High (Proactive pre-pay switching)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2" w:type="dxa"/>
            <w:vAlign w:val="center"/>
          </w:tcPr>
          <w:p w14:paraId="2A318E11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Retail Impact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4" w:type="dxa"/>
            <w:vAlign w:val="center"/>
          </w:tcPr>
          <w:p w14:paraId="2352DD38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Neutral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7" w:type="dxa"/>
            <w:vAlign w:val="center"/>
          </w:tcPr>
          <w:p w14:paraId="2B17CF0F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Negative</w:t>
            </w: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 (Reduces store foot traffic)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</w:tcPr>
          <w:p w14:paraId="3F9E6487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Neutral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82" w:type="dxa"/>
            <w:vAlign w:val="center"/>
          </w:tcPr>
          <w:p w14:paraId="5CF5E14C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Positive</w:t>
            </w: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 (Preserves store foot traffic)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2" w:type="dxa"/>
            <w:vAlign w:val="center"/>
          </w:tcPr>
          <w:p w14:paraId="6F808F42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Offline Resilience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4" w:type="dxa"/>
            <w:vAlign w:val="center"/>
          </w:tcPr>
          <w:p w14:paraId="095B2DC9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N/A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7" w:type="dxa"/>
            <w:vAlign w:val="center"/>
          </w:tcPr>
          <w:p w14:paraId="220ECEE9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High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</w:tcPr>
          <w:p w14:paraId="46ED6D67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Zero</w:t>
            </w: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 (Fails during WAN drops)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82" w:type="dxa"/>
            <w:vAlign w:val="center"/>
          </w:tcPr>
          <w:p w14:paraId="616D15BA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High (100% local processing)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2" w:type="dxa"/>
            <w:vAlign w:val="center"/>
          </w:tcPr>
          <w:p w14:paraId="5A80F141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Bandwidth Usage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24" w:type="dxa"/>
            <w:vAlign w:val="center"/>
          </w:tcPr>
          <w:p w14:paraId="25766EDC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Low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77" w:type="dxa"/>
            <w:vAlign w:val="center"/>
          </w:tcPr>
          <w:p w14:paraId="6CF114AD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None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89" w:type="dxa"/>
            <w:vAlign w:val="center"/>
          </w:tcPr>
          <w:p w14:paraId="4C1A377B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Extremely High</w:t>
            </w: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 (HD video streaming)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82" w:type="dxa"/>
            <w:vAlign w:val="center"/>
          </w:tcPr>
          <w:p w14:paraId="6F917ED9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b w:val="0"/>
                <w:bCs w:val="0"/>
                <w:sz w:val="24"/>
                <w:szCs w:val="24"/>
              </w:rPr>
            </w:pP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Extremely Low</w:t>
            </w:r>
            <w:r>
              <w:rPr>
                <w:rFonts w:ascii="Roboto" w:hAnsi="Roboto" w:eastAsia="Roboto" w:cs="Roboto"/>
                <w:b w:val="0"/>
                <w:bCs w:val="0"/>
                <w:color w:val="000000"/>
                <w:sz w:val="24"/>
                <w:szCs w:val="24"/>
              </w:rPr>
              <w:t xml:space="preserve"> (Transmits event logs only)</w:t>
            </w:r>
            <w:r>
              <w:rPr>
                <w:rFonts w:ascii="Roboto" w:hAnsi="Roboto" w:eastAsia="Roboto" w:cs="Roboto"/>
                <w:b w:val="0"/>
                <w:bCs w:val="0"/>
                <w:sz w:val="24"/>
                <w:szCs w:val="24"/>
              </w:rPr>
            </w:r>
          </w:p>
        </w:tc>
      </w:tr>
    </w:tbl>
    <w:p w14:paraId="422E5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Strategic Rationale: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</w:t>
      </w: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Edge ALPR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provides the optimal balance of loss prevention, operational uptime, cost containment, and customer convenience without harming higher-margin retail store sales.</w:t>
      </w:r>
      <w:r>
        <w:rPr>
          <w:rFonts w:ascii="Roboto" w:hAnsi="Roboto" w:cs="Roboto"/>
          <w:sz w:val="24"/>
          <w:szCs w:val="24"/>
        </w:rPr>
      </w:r>
    </w:p>
    <w:p w14:paraId="7E01FA3C">
      <w:pPr>
        <w:pBdr/>
        <w:shd w:val="nil"/>
        <w:spacing/>
        <w:ind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  <w:br w:type="page" w:clear="all"/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5A5330EF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4. System Architecture &amp; Engineering Design</w:t>
      </w:r>
      <w:r>
        <w:rPr>
          <w:rFonts w:ascii="Roboto" w:hAnsi="Roboto" w:eastAsia="Roboto" w:cs="Roboto"/>
          <w:sz w:val="24"/>
          <w:szCs w:val="24"/>
        </w:rPr>
      </w:r>
    </w:p>
    <w:p w14:paraId="64E735F9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4.1 System Architecture Alignment</w:t>
      </w:r>
      <w:r>
        <w:rPr>
          <w:rFonts w:ascii="Roboto" w:hAnsi="Roboto" w:eastAsia="Roboto" w:cs="Roboto"/>
          <w:sz w:val="24"/>
          <w:szCs w:val="24"/>
        </w:rPr>
      </w:r>
    </w:p>
    <w:p w14:paraId="0749B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The system is structured into four distinct functional modules that process video streams, run recognition inference, drive the user interface, and persist logs:</w:t>
      </w:r>
      <w:r>
        <w:rPr>
          <w:rFonts w:ascii="Roboto" w:hAnsi="Roboto" w:eastAsia="Roboto" w:cs="Roboto"/>
          <w:sz w:val="24"/>
          <w:szCs w:val="24"/>
        </w:rPr>
      </w:r>
    </w:p>
    <w:p w14:paraId="65464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30000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0730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3000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02.3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Roboto" w:hAnsi="Roboto" w:eastAsia="Roboto" w:cs="Roboto"/>
          <w:sz w:val="24"/>
          <w:szCs w:val="24"/>
        </w:rPr>
      </w:r>
    </w:p>
    <w:p w14:paraId="2DAD47F9">
      <w:pPr>
        <w:pStyle w:val="90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Vision &amp; Ingestion Module: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Captures the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Live Video Stream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 from forecourt cameras and passes raw frames to the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Frame Processing Worker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Roboto" w:hAnsi="Roboto" w:eastAsia="Roboto" w:cs="Roboto"/>
          <w:sz w:val="24"/>
          <w:szCs w:val="24"/>
        </w:rPr>
      </w:r>
    </w:p>
    <w:p w14:paraId="09FD1C82">
      <w:pPr>
        <w:pStyle w:val="90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ALPR Engine &amp; Pipeline Module: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Received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Frames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 pass through the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ALPR Inference Model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. Detected vehicle and license plate data (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Detections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) are queued in the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Plate Event Queue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.</w:t>
      </w:r>
      <w:r>
        <w:rPr>
          <w:rFonts w:ascii="Roboto" w:hAnsi="Roboto" w:eastAsia="Roboto" w:cs="Roboto"/>
          <w:b w:val="0"/>
          <w:bCs w:val="0"/>
          <w:sz w:val="24"/>
          <w:szCs w:val="24"/>
        </w:rPr>
      </w:r>
    </w:p>
    <w:p w14:paraId="3117242A">
      <w:pPr>
        <w:pStyle w:val="90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Desktop Application &amp; UI Module: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Real-time Events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 are consumed by the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Core Controller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, which routes live information across three dedicated desktop interface sub-components:</w:t>
      </w:r>
      <w:r>
        <w:rPr>
          <w:rFonts w:ascii="Roboto" w:hAnsi="Roboto" w:eastAsia="Roboto" w:cs="Roboto"/>
          <w:b w:val="0"/>
          <w:bCs w:val="0"/>
          <w:sz w:val="24"/>
          <w:szCs w:val="24"/>
        </w:rPr>
      </w:r>
    </w:p>
    <w:p w14:paraId="7DD26A8A">
      <w:pPr>
        <w:pStyle w:val="90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Pump Control Panel: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Displays live pump statuses and enables manual/automated pump stops.</w:t>
      </w:r>
      <w:r>
        <w:rPr>
          <w:rFonts w:ascii="Roboto" w:hAnsi="Roboto" w:eastAsia="Roboto" w:cs="Roboto"/>
          <w:sz w:val="24"/>
          <w:szCs w:val="24"/>
        </w:rPr>
      </w:r>
    </w:p>
    <w:p w14:paraId="65B5B04A">
      <w:pPr>
        <w:pStyle w:val="90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Watchlist Manager: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Manages flagged license plates and updates entries.</w:t>
      </w:r>
      <w:r>
        <w:rPr>
          <w:rFonts w:ascii="Roboto" w:hAnsi="Roboto" w:eastAsia="Roboto" w:cs="Roboto"/>
          <w:sz w:val="24"/>
          <w:szCs w:val="24"/>
        </w:rPr>
      </w:r>
    </w:p>
    <w:p w14:paraId="23DDB3F6">
      <w:pPr>
        <w:pStyle w:val="902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Fueling Records &amp; Police Report: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Maintains historical logs and auto-generates police-ready evidence files.</w:t>
      </w:r>
      <w:r>
        <w:rPr>
          <w:rFonts w:ascii="Roboto" w:hAnsi="Roboto" w:eastAsia="Roboto" w:cs="Roboto"/>
          <w:sz w:val="24"/>
          <w:szCs w:val="24"/>
        </w:rPr>
      </w:r>
    </w:p>
    <w:p w14:paraId="1A9C63B9">
      <w:pPr>
        <w:pStyle w:val="902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b w:val="0"/>
          <w:bCs w:val="0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Persistence Layer: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Uses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MongoDB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 to manage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Watchlist &amp; Fuel Logs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. The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Frame Processing Worker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 maintains a direct 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Watchlist Check</w:t>
      </w:r>
      <w:r>
        <w:rPr>
          <w:rFonts w:ascii="Roboto" w:hAnsi="Roboto" w:eastAsia="Roboto" w:cs="Roboto"/>
          <w:b w:val="0"/>
          <w:bCs w:val="0"/>
          <w:color w:val="000000"/>
          <w:sz w:val="24"/>
          <w:szCs w:val="24"/>
        </w:rPr>
        <w:t xml:space="preserve"> path to MongoDB for low-latency verification, while the UI modules read and write fueling logs and watchlist entries.</w:t>
      </w:r>
      <w:r>
        <w:rPr>
          <w:rFonts w:ascii="Roboto" w:hAnsi="Roboto" w:eastAsia="Roboto" w:cs="Roboto"/>
          <w:b w:val="0"/>
          <w:bCs w:val="0"/>
          <w:sz w:val="24"/>
          <w:szCs w:val="24"/>
        </w:rPr>
      </w:r>
    </w:p>
    <w:p w14:paraId="5FD427CD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5. Implementation Plan &amp; Financial Feasibility</w:t>
      </w:r>
      <w:r>
        <w:rPr>
          <w:rFonts w:ascii="Roboto" w:hAnsi="Roboto" w:eastAsia="Roboto" w:cs="Roboto"/>
          <w:sz w:val="24"/>
          <w:szCs w:val="24"/>
        </w:rPr>
      </w:r>
    </w:p>
    <w:p w14:paraId="2048BBCA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5.1 12-Week Agile Delivery Schedule</w:t>
      </w:r>
      <w:r>
        <w:rPr>
          <w:rFonts w:ascii="Roboto" w:hAnsi="Roboto" w:eastAsia="Roboto" w:cs="Roboto"/>
          <w:sz w:val="24"/>
          <w:szCs w:val="24"/>
        </w:rPr>
      </w:r>
    </w:p>
    <w:p w14:paraId="0A51B2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Week 01-02: Site Assessment &amp; Hardware Procurement</w:t>
      </w:r>
      <w:r>
        <w:rPr>
          <w:rFonts w:ascii="Roboto" w:hAnsi="Roboto" w:eastAsia="Roboto" w:cs="Roboto"/>
          <w:sz w:val="24"/>
          <w:szCs w:val="24"/>
        </w:rPr>
      </w:r>
    </w:p>
    <w:p w14:paraId="70A7E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Week 03-05: Vision Ingestion &amp; ALPR Inference Model Tuning</w:t>
      </w:r>
      <w:r>
        <w:rPr>
          <w:rFonts w:ascii="Roboto" w:hAnsi="Roboto" w:eastAsia="Roboto" w:cs="Roboto"/>
          <w:sz w:val="24"/>
          <w:szCs w:val="24"/>
        </w:rPr>
      </w:r>
    </w:p>
    <w:p w14:paraId="4EAF39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Week 05-06: Plate Event Queue &amp; MongoDB Persistence Integration</w:t>
      </w:r>
      <w:r>
        <w:rPr>
          <w:rFonts w:ascii="Roboto" w:hAnsi="Roboto" w:eastAsia="Roboto" w:cs="Roboto"/>
          <w:sz w:val="24"/>
          <w:szCs w:val="24"/>
        </w:rPr>
      </w:r>
    </w:p>
    <w:p w14:paraId="7C6474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Week 06-08: Core Controller &amp; Desktop UI Submodules Development</w:t>
      </w:r>
      <w:r>
        <w:rPr>
          <w:rFonts w:ascii="Roboto" w:hAnsi="Roboto" w:eastAsia="Roboto" w:cs="Roboto"/>
          <w:sz w:val="24"/>
          <w:szCs w:val="24"/>
        </w:rPr>
      </w:r>
    </w:p>
    <w:p w14:paraId="612193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Week 08-09: Watchlist Manager &amp; Direct Ingestion Check Setup</w:t>
      </w:r>
      <w:r>
        <w:rPr>
          <w:rFonts w:ascii="Roboto" w:hAnsi="Roboto" w:eastAsia="Roboto" w:cs="Roboto"/>
          <w:sz w:val="24"/>
          <w:szCs w:val="24"/>
        </w:rPr>
      </w:r>
    </w:p>
    <w:p w14:paraId="76110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Week 09-10: Police Report Generator &amp; Evidence Export Formatting</w:t>
      </w:r>
      <w:r>
        <w:rPr>
          <w:rFonts w:ascii="Roboto" w:hAnsi="Roboto" w:eastAsia="Roboto" w:cs="Roboto"/>
          <w:sz w:val="24"/>
          <w:szCs w:val="24"/>
        </w:rPr>
      </w:r>
    </w:p>
    <w:p w14:paraId="09D6A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Week 10-12: Field Pilot Installation, Staff Training &amp; Live Review</w:t>
      </w:r>
      <w:r>
        <w:rPr>
          <w:rFonts w:ascii="Roboto" w:hAnsi="Roboto" w:eastAsia="Roboto" w:cs="Roboto"/>
          <w:sz w:val="24"/>
          <w:szCs w:val="24"/>
        </w:rPr>
      </w:r>
    </w:p>
    <w:p w14:paraId="454794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7A3B946D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5.2 Financial Budget &amp; Cost Breakdown (10-Site Pilot)</w:t>
      </w:r>
      <w:r>
        <w:rPr>
          <w:rFonts w:ascii="Roboto" w:hAnsi="Roboto" w:eastAsia="Roboto" w:cs="Roboto"/>
          <w:sz w:val="24"/>
          <w:szCs w:val="24"/>
        </w:rPr>
      </w:r>
    </w:p>
    <w:tbl>
      <w:tblPr>
        <w:tblStyle w:val="71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20"/>
        <w:gridCol w:w="5589"/>
        <w:gridCol w:w="980"/>
        <w:gridCol w:w="865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0" w:type="dxa"/>
            <w:vAlign w:val="center"/>
          </w:tcPr>
          <w:p w14:paraId="23D6A1C6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Expense Category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89" w:type="dxa"/>
            <w:vAlign w:val="center"/>
          </w:tcPr>
          <w:p w14:paraId="54B7424B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Description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0" w:type="dxa"/>
            <w:vAlign w:val="center"/>
          </w:tcPr>
          <w:p w14:paraId="1F68F3F1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Cost (AUD)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5" w:type="dxa"/>
            <w:vAlign w:val="center"/>
          </w:tcPr>
          <w:p w14:paraId="4FF43286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% of Total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0" w:type="dxa"/>
            <w:vAlign w:val="center"/>
          </w:tcPr>
          <w:p w14:paraId="0A0B8D4C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Project Personnel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89" w:type="dxa"/>
            <w:vAlign w:val="center"/>
          </w:tcPr>
          <w:p w14:paraId="51C08CF5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Systems Engineering, Computer Vision Lead, PM, QA (12 weeks)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0" w:type="dxa"/>
            <w:vAlign w:val="center"/>
          </w:tcPr>
          <w:p w14:paraId="3489795F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$84,000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5" w:type="dxa"/>
            <w:vAlign w:val="center"/>
          </w:tcPr>
          <w:p w14:paraId="32F395A2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82.8%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0" w:type="dxa"/>
            <w:vAlign w:val="center"/>
          </w:tcPr>
          <w:p w14:paraId="21995D4A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Edge Hardware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89" w:type="dxa"/>
            <w:vAlign w:val="center"/>
          </w:tcPr>
          <w:p w14:paraId="68264DD7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10x On-site processing units + camera hardware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0" w:type="dxa"/>
            <w:vAlign w:val="center"/>
          </w:tcPr>
          <w:p w14:paraId="1C142183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$6,500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5" w:type="dxa"/>
            <w:vAlign w:val="center"/>
          </w:tcPr>
          <w:p w14:paraId="5FA26F8E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6.4%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0" w:type="dxa"/>
            <w:vAlign w:val="center"/>
          </w:tcPr>
          <w:p w14:paraId="4BA54993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Software &amp; Licensing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89" w:type="dxa"/>
            <w:vAlign w:val="center"/>
          </w:tcPr>
          <w:p w14:paraId="18E8B5C0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MongoDB persistence layer, SDKs, staging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0" w:type="dxa"/>
            <w:vAlign w:val="center"/>
          </w:tcPr>
          <w:p w14:paraId="24E93DFB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$8,000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5" w:type="dxa"/>
            <w:vAlign w:val="center"/>
          </w:tcPr>
          <w:p w14:paraId="242A0F10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7.9%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0" w:type="dxa"/>
            <w:vAlign w:val="center"/>
          </w:tcPr>
          <w:p w14:paraId="5D7AC26F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Installation &amp; Signage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89" w:type="dxa"/>
            <w:vAlign w:val="center"/>
          </w:tcPr>
          <w:p w14:paraId="71F9A6C5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Cabling, physical mounting, legal notification signage across 10 sites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0" w:type="dxa"/>
            <w:vAlign w:val="center"/>
          </w:tcPr>
          <w:p w14:paraId="63596336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$3,000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5" w:type="dxa"/>
            <w:vAlign w:val="center"/>
          </w:tcPr>
          <w:p w14:paraId="4589543A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2.9%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920" w:type="dxa"/>
            <w:vAlign w:val="center"/>
          </w:tcPr>
          <w:p w14:paraId="7E9C1892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Total Investment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5589" w:type="dxa"/>
            <w:vAlign w:val="center"/>
          </w:tcPr>
          <w:p w14:paraId="528B7548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Full 10-Site Pilot Scope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980" w:type="dxa"/>
            <w:vAlign w:val="center"/>
          </w:tcPr>
          <w:p w14:paraId="6EABEFF9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$101,500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865" w:type="dxa"/>
            <w:vAlign w:val="center"/>
          </w:tcPr>
          <w:p w14:paraId="7184D508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100.0%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</w:tbl>
    <w:p w14:paraId="349C76C2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</w:p>
    <w:p w14:paraId="7E394F29">
      <w:pPr>
        <w:pStyle w:val="8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5.3 Break-Even &amp; Financial Sensitivity Model</w:t>
      </w:r>
      <w:r>
        <w:rPr>
          <w:rFonts w:ascii="Roboto" w:hAnsi="Roboto" w:eastAsia="Roboto" w:cs="Roboto"/>
          <w:sz w:val="24"/>
          <w:szCs w:val="24"/>
        </w:rPr>
      </w:r>
    </w:p>
    <w:p w14:paraId="3F4E2B61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Average Loss per Incident: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</w:t>
      </w: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$75.00 AUD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(industry average fuel cost per drive-off).</w:t>
      </w:r>
      <w:r>
        <w:rPr>
          <w:rFonts w:ascii="Roboto" w:hAnsi="Roboto" w:eastAsia="Roboto" w:cs="Roboto"/>
          <w:sz w:val="24"/>
          <w:szCs w:val="24"/>
        </w:rPr>
      </w:r>
    </w:p>
    <w:p w14:paraId="6E86323E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Average Monthly Site Theft: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~12.7 incidents per month per site (~$950–$1,000 monthly loss).</w:t>
      </w:r>
      <w:r>
        <w:rPr>
          <w:rFonts w:ascii="Roboto" w:hAnsi="Roboto" w:eastAsia="Roboto" w:cs="Roboto"/>
          <w:sz w:val="24"/>
          <w:szCs w:val="24"/>
        </w:rPr>
      </w:r>
    </w:p>
    <w:p w14:paraId="522AF6E4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Break-Even Calculation: </w:t>
      </w:r>
      <w:r>
        <w:t xml:space="preserve">Break-Even Incidents = ($101,500 Total Cost) / ($75.00 Recovered Value / Incident) = 1,353.33 Incidents</w:t>
      </w:r>
      <w:r>
        <w:rPr>
          <w:rFonts w:ascii="Roboto" w:hAnsi="Roboto" w:eastAsia="Roboto" w:cs="Roboto"/>
          <w:b/>
          <w:color w:val="000000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23D616BC">
      <w:pPr>
        <w:pStyle w:val="902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Payback Period: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</w:t>
      </w: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10.7 Months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across the 10-site network. Post break-even, each site retains ~$1,000 per month in saved inventory.</w:t>
      </w:r>
      <w:r>
        <w:rPr>
          <w:rFonts w:ascii="Roboto" w:hAnsi="Roboto" w:eastAsia="Roboto" w:cs="Roboto"/>
          <w:sz w:val="24"/>
          <w:szCs w:val="24"/>
        </w:rPr>
      </w:r>
    </w:p>
    <w:p w14:paraId="0A576D0C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6. Testing, Quality Assurance, &amp; Failure Modes</w:t>
      </w:r>
      <w:r>
        <w:rPr>
          <w:rFonts w:ascii="Roboto" w:hAnsi="Roboto" w:eastAsia="Roboto" w:cs="Roboto"/>
          <w:sz w:val="24"/>
          <w:szCs w:val="24"/>
        </w:rPr>
      </w:r>
    </w:p>
    <w:p w14:paraId="01F4FD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The platform undergoes field-testing across challenging operational environments:</w:t>
      </w:r>
      <w:r>
        <w:rPr>
          <w:rFonts w:ascii="Roboto" w:hAnsi="Roboto" w:eastAsia="Roboto" w:cs="Roboto"/>
          <w:sz w:val="24"/>
          <w:szCs w:val="24"/>
        </w:rPr>
      </w:r>
    </w:p>
    <w:tbl>
      <w:tblPr>
        <w:tblStyle w:val="71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02"/>
        <w:gridCol w:w="3248"/>
        <w:gridCol w:w="3607"/>
        <w:gridCol w:w="1197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2" w:type="dxa"/>
            <w:vAlign w:val="center"/>
          </w:tcPr>
          <w:p w14:paraId="156555F1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Test Module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8" w:type="dxa"/>
            <w:vAlign w:val="center"/>
          </w:tcPr>
          <w:p w14:paraId="7E845DD7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Test Condition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07" w:type="dxa"/>
            <w:vAlign w:val="center"/>
          </w:tcPr>
          <w:p w14:paraId="00D843C6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Target Acceptance Criteria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97" w:type="dxa"/>
            <w:vAlign w:val="center"/>
          </w:tcPr>
          <w:p w14:paraId="74453894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Operational Result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2" w:type="dxa"/>
            <w:vAlign w:val="center"/>
          </w:tcPr>
          <w:p w14:paraId="4CB4546C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ALPR Inference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8" w:type="dxa"/>
            <w:vAlign w:val="center"/>
          </w:tcPr>
          <w:p w14:paraId="671070AE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Direct sunlight glare, night darkness, adverse weather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07" w:type="dxa"/>
            <w:vAlign w:val="center"/>
          </w:tcPr>
          <w:p w14:paraId="5F5BA05D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 90% accuracy per environmental condition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97" w:type="dxa"/>
            <w:vAlign w:val="center"/>
          </w:tcPr>
          <w:p w14:paraId="4356DC19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UNDER REVIEW 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2" w:type="dxa"/>
            <w:vAlign w:val="center"/>
          </w:tcPr>
          <w:p w14:paraId="70553161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Alert Latency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8" w:type="dxa"/>
            <w:vAlign w:val="center"/>
          </w:tcPr>
          <w:p w14:paraId="637968F7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Known watchlist vehicle enters pump lane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07" w:type="dxa"/>
            <w:vAlign w:val="center"/>
          </w:tcPr>
          <w:p w14:paraId="4C9B53E5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Single alert generated in &lt; 2.0 seconds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97" w:type="dxa"/>
            <w:vAlign w:val="center"/>
          </w:tcPr>
          <w:p w14:paraId="1C6EF18A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PASSED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2" w:type="dxa"/>
            <w:vAlign w:val="center"/>
          </w:tcPr>
          <w:p w14:paraId="1022639C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Queue Handling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8" w:type="dxa"/>
            <w:vAlign w:val="center"/>
          </w:tcPr>
          <w:p w14:paraId="117E7635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Rapid vehicle entry across multiple pump lanes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07" w:type="dxa"/>
            <w:vAlign w:val="center"/>
          </w:tcPr>
          <w:p w14:paraId="22AD1FFA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Plate Event Queue processes all events without frame drops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97" w:type="dxa"/>
            <w:vAlign w:val="center"/>
          </w:tcPr>
          <w:p w14:paraId="5374ACD7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PASSED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2" w:type="dxa"/>
            <w:vAlign w:val="center"/>
          </w:tcPr>
          <w:p w14:paraId="0889917F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Database Resiliency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8" w:type="dxa"/>
            <w:vAlign w:val="center"/>
          </w:tcPr>
          <w:p w14:paraId="44DC00CD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MongoDB read/write during high-volume event logging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07" w:type="dxa"/>
            <w:vAlign w:val="center"/>
          </w:tcPr>
          <w:p w14:paraId="256A3139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100% data persistence for logs and watchlist entries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97" w:type="dxa"/>
            <w:vAlign w:val="center"/>
          </w:tcPr>
          <w:p w14:paraId="0C210201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PASSED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302" w:type="dxa"/>
            <w:vAlign w:val="center"/>
          </w:tcPr>
          <w:p w14:paraId="3F744E2E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UI Ergonomics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248" w:type="dxa"/>
            <w:vAlign w:val="center"/>
          </w:tcPr>
          <w:p w14:paraId="3B90CE25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Staff member with zero prior technical background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3607" w:type="dxa"/>
            <w:vAlign w:val="center"/>
          </w:tcPr>
          <w:p w14:paraId="54372FEE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color w:val="000000"/>
                <w:sz w:val="24"/>
                <w:szCs w:val="24"/>
              </w:rPr>
              <w:t xml:space="preserve">Identify alert and switch pump to pre-pay in &lt; 10 seconds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197" w:type="dxa"/>
            <w:vAlign w:val="center"/>
          </w:tcPr>
          <w:p w14:paraId="4014ABA0">
            <w:pPr>
              <w:pBdr/>
              <w:spacing w:after="0" w:before="0" w:line="240" w:lineRule="auto"/>
              <w:ind/>
              <w:jc w:val="both"/>
              <w:rPr>
                <w:rFonts w:ascii="Roboto" w:hAnsi="Roboto" w:cs="Roboto"/>
                <w:sz w:val="24"/>
                <w:szCs w:val="24"/>
              </w:rPr>
            </w:pPr>
            <w:r>
              <w:rPr>
                <w:rFonts w:ascii="Roboto" w:hAnsi="Roboto" w:eastAsia="Roboto" w:cs="Roboto"/>
                <w:b/>
                <w:color w:val="000000"/>
                <w:sz w:val="24"/>
                <w:szCs w:val="24"/>
              </w:rPr>
              <w:t xml:space="preserve">PASSED
</w:t>
            </w:r>
            <w:r>
              <w:rPr>
                <w:rFonts w:ascii="Roboto" w:hAnsi="Roboto" w:eastAsia="Roboto" w:cs="Roboto"/>
                <w:sz w:val="24"/>
                <w:szCs w:val="24"/>
              </w:rPr>
            </w:r>
          </w:p>
        </w:tc>
      </w:tr>
    </w:tbl>
    <w:p w14:paraId="7FE4EB68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  <w:r>
        <w:rPr>
          <w:rFonts w:ascii="Roboto" w:hAnsi="Roboto" w:eastAsia="Roboto" w:cs="Roboto"/>
          <w:b/>
          <w:color w:val="000000"/>
          <w:sz w:val="24"/>
          <w:szCs w:val="24"/>
          <w:highlight w:val="none"/>
        </w:rPr>
      </w:r>
    </w:p>
    <w:p w14:paraId="6114CDCA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eastAsia="Roboto" w:cs="Roboto"/>
          <w:b/>
          <w:bCs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7. Security, Privacy, &amp; Governance Framework</w:t>
      </w:r>
      <w:r>
        <w:rPr>
          <w:rFonts w:ascii="Roboto" w:hAnsi="Roboto" w:eastAsia="Roboto" w:cs="Roboto"/>
          <w:sz w:val="24"/>
          <w:szCs w:val="24"/>
        </w:rPr>
      </w:r>
    </w:p>
    <w:p w14:paraId="49BE7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Because vision systems capture public data, privacy compliance is engineered directly into the system architecture:</w:t>
      </w:r>
      <w:r>
        <w:rPr>
          <w:rFonts w:ascii="Roboto" w:hAnsi="Roboto" w:eastAsia="Roboto" w:cs="Roboto"/>
          <w:sz w:val="24"/>
          <w:szCs w:val="24"/>
        </w:rPr>
      </w:r>
    </w:p>
    <w:p w14:paraId="0687B15C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Surveillance Devices Act 2007 (NSW):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Software-defined polygon masks restrict video capture exclusively to forecourt boundaries, blocking public footpaths and adjacent properties.</w:t>
      </w:r>
      <w:r>
        <w:rPr>
          <w:rFonts w:ascii="Roboto" w:hAnsi="Roboto" w:eastAsia="Roboto" w:cs="Roboto"/>
          <w:sz w:val="24"/>
          <w:szCs w:val="24"/>
        </w:rPr>
      </w:r>
    </w:p>
    <w:p w14:paraId="76E1A652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Workplace Surveillance Act 2005 (NSW):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Mandatory 14-day written notice provided to site employees prior to camera activation, supported by clear on-site signage at station entrances.</w:t>
      </w:r>
      <w:r>
        <w:rPr>
          <w:rFonts w:ascii="Roboto" w:hAnsi="Roboto" w:eastAsia="Roboto" w:cs="Roboto"/>
          <w:sz w:val="24"/>
          <w:szCs w:val="24"/>
        </w:rPr>
      </w:r>
    </w:p>
    <w:p w14:paraId="4D643AC5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Privacy Act 1988 (Cth) / Australian Privacy Principles (APPs):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Automated data retention controls purge non-watchlist vehicle data from MongoDB after 30 to 90 days. Confirmed incident records are securely locked for evidentiary purposes.</w:t>
      </w:r>
      <w:r>
        <w:rPr>
          <w:rFonts w:ascii="Roboto" w:hAnsi="Roboto" w:eastAsia="Roboto" w:cs="Roboto"/>
          <w:sz w:val="24"/>
          <w:szCs w:val="24"/>
        </w:rPr>
      </w:r>
    </w:p>
    <w:p w14:paraId="2F812428">
      <w:pPr>
        <w:pStyle w:val="902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Evidentiary Integrity: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Automated export modules generate formatted evidence packs (timestamped keyframes, short video clips, transaction logs, and operator activity logs) ready for direct upload to the </w:t>
      </w: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NSW Police Community Portal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.</w:t>
      </w:r>
      <w:r>
        <w:rPr>
          <w:rFonts w:ascii="Roboto" w:hAnsi="Roboto" w:eastAsia="Roboto" w:cs="Roboto"/>
          <w:sz w:val="24"/>
          <w:szCs w:val="24"/>
        </w:rPr>
      </w:r>
    </w:p>
    <w:p w14:paraId="78A50134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8. System Limitations &amp; Boundary Conditions</w:t>
      </w:r>
      <w:r>
        <w:rPr>
          <w:rFonts w:ascii="Roboto" w:hAnsi="Roboto" w:eastAsia="Roboto" w:cs="Roboto"/>
          <w:sz w:val="24"/>
          <w:szCs w:val="24"/>
        </w:rPr>
      </w:r>
    </w:p>
    <w:p w14:paraId="6BE20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To maintain academic rigour and transparent engineering, the system explicitly defines its boundary limitations:</w:t>
      </w:r>
      <w:r>
        <w:rPr>
          <w:rFonts w:ascii="Roboto" w:hAnsi="Roboto" w:eastAsia="Roboto" w:cs="Roboto"/>
          <w:sz w:val="24"/>
          <w:szCs w:val="24"/>
        </w:rPr>
      </w:r>
    </w:p>
    <w:p w14:paraId="40E294A7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Visual &amp; Physical Plate Interference: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Extreme mud, deliberate plate covers, or severely damaged plates lower inference confidence. </w:t>
      </w:r>
      <w:r>
        <w:rPr>
          <w:rFonts w:ascii="Roboto" w:hAnsi="Roboto" w:eastAsia="Roboto" w:cs="Roboto"/>
          <w:i/>
          <w:color w:val="000000"/>
          <w:sz w:val="24"/>
          <w:szCs w:val="24"/>
        </w:rPr>
        <w:t xml:space="preserve">Mitigation: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Low-confidence reads flag a manual review request rather than generating a false positive alert.</w:t>
      </w:r>
      <w:r>
        <w:rPr>
          <w:rFonts w:ascii="Roboto" w:hAnsi="Roboto" w:eastAsia="Roboto" w:cs="Roboto"/>
          <w:sz w:val="24"/>
          <w:szCs w:val="24"/>
        </w:rPr>
      </w:r>
    </w:p>
    <w:p w14:paraId="5F49A7AF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High-Velocity Forecourt Transit: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Vehicles traversing the forecourt above 30 km/h reduce optical frame accumulation in the Frame Processing Worker. </w:t>
      </w:r>
      <w:r>
        <w:rPr>
          <w:rFonts w:ascii="Roboto" w:hAnsi="Roboto" w:eastAsia="Roboto" w:cs="Roboto"/>
          <w:i/>
          <w:color w:val="000000"/>
          <w:sz w:val="24"/>
          <w:szCs w:val="24"/>
        </w:rPr>
        <w:t xml:space="preserve">Mitigation: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Shutter speed settings on specialized cameras are fixed for fast exposure.</w:t>
      </w:r>
      <w:r>
        <w:rPr>
          <w:rFonts w:ascii="Roboto" w:hAnsi="Roboto" w:eastAsia="Roboto" w:cs="Roboto"/>
          <w:sz w:val="24"/>
          <w:szCs w:val="24"/>
        </w:rPr>
      </w:r>
    </w:p>
    <w:p w14:paraId="193F4A1C">
      <w:pPr>
        <w:pStyle w:val="902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Offline Watchlist Synchronization Latency: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While edge devices perform instant matching locally against MongoDB, new watchlist additions made at remote sites require network restoration to sync across all network devices.</w:t>
      </w:r>
      <w:r>
        <w:rPr>
          <w:rFonts w:ascii="Roboto" w:hAnsi="Roboto" w:eastAsia="Roboto" w:cs="Roboto"/>
          <w:sz w:val="24"/>
          <w:szCs w:val="24"/>
        </w:rPr>
      </w:r>
    </w:p>
    <w:p w14:paraId="47271502">
      <w:pPr>
        <w:pStyle w:val="8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9. Conclusion &amp; Competition Pitch Summary</w:t>
      </w:r>
      <w:r>
        <w:rPr>
          <w:rFonts w:ascii="Roboto" w:hAnsi="Roboto" w:eastAsia="Roboto" w:cs="Roboto"/>
          <w:sz w:val="24"/>
          <w:szCs w:val="24"/>
        </w:rPr>
      </w:r>
    </w:p>
    <w:p w14:paraId="494F7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The </w:t>
      </w: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Smart ALPR Forecourt System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bridges the gap between complex computer vision technology and practical frontline station operations. By shifting video processing and inference to the edge, the system guarantees 100% operational uptime, eliminates expensive cloud streaming costs, prote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cts convenience store retail traffic, and automates police reporting.</w:t>
      </w:r>
      <w:r>
        <w:rPr>
          <w:rFonts w:ascii="Roboto" w:hAnsi="Roboto" w:eastAsia="Roboto" w:cs="Roboto"/>
          <w:sz w:val="24"/>
          <w:szCs w:val="24"/>
        </w:rPr>
      </w:r>
    </w:p>
    <w:p w14:paraId="54CF1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szCs w:val="24"/>
        </w:rPr>
        <w:t xml:space="preserve">With a modest </w:t>
      </w: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AUD $101,500 investment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 paying for itself in </w:t>
      </w:r>
      <w:r>
        <w:rPr>
          <w:rFonts w:ascii="Roboto" w:hAnsi="Roboto" w:eastAsia="Roboto" w:cs="Roboto"/>
          <w:b/>
          <w:color w:val="000000"/>
          <w:sz w:val="24"/>
          <w:szCs w:val="24"/>
        </w:rPr>
        <w:t xml:space="preserve">10.7 months</w:t>
      </w:r>
      <w:r>
        <w:rPr>
          <w:rFonts w:ascii="Roboto" w:hAnsi="Roboto" w:eastAsia="Roboto" w:cs="Roboto"/>
          <w:color w:val="000000"/>
          <w:sz w:val="24"/>
          <w:szCs w:val="24"/>
        </w:rPr>
        <w:t xml:space="preserve">, the project presents a viable, legally compliant, and financially attractive technological solution to a multi-million dollar retail industry problem.</w:t>
      </w:r>
      <w:r>
        <w:rPr>
          <w:rFonts w:ascii="Roboto" w:hAnsi="Roboto" w:eastAsia="Roboto" w:cs="Roboto"/>
          <w:sz w:val="24"/>
          <w:szCs w:val="24"/>
        </w:rPr>
      </w:r>
    </w:p>
    <w:p>
      <w:pPr>
        <w:pBdr/>
        <w:spacing/>
        <w:ind/>
        <w:jc w:val="both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9092E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4FE36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D46F9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EBDB6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97D012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484513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4BB19E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github.com/geeksgod/Automated-License-Plate-Recognition" TargetMode="External"/><Relationship Id="rId11" Type="http://schemas.openxmlformats.org/officeDocument/2006/relationships/hyperlink" Target="https://youtu.be/9gyR4GZRnS0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2026-10-19T00:35:54Z</dcterms:modified>
</cp:coreProperties>
</file>