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97" w:beforeLines="30" w:after="65" w:afterLines="20" w:line="560" w:lineRule="exact"/>
        <w:ind w:right="190" w:rightChars="79"/>
        <w:rPr>
          <w:rFonts w:hint="eastAsia" w:ascii="仿宋_GB2312" w:hAnsi="仿宋_GB2312" w:eastAsia="仿宋_GB2312" w:cs="仿宋_GB2312"/>
          <w:b/>
          <w:sz w:val="32"/>
          <w:szCs w:val="32"/>
          <w:lang w:val="en-US" w:eastAsia="zh-CN"/>
        </w:rPr>
      </w:pPr>
      <w:bookmarkStart w:id="0" w:name="_GoBack"/>
      <w:r>
        <w:rPr>
          <w:rFonts w:hint="eastAsia" w:ascii="仿宋_GB2312" w:hAnsi="仿宋_GB2312" w:eastAsia="仿宋_GB2312" w:cs="仿宋_GB2312"/>
          <w:b/>
          <w:sz w:val="32"/>
          <w:szCs w:val="32"/>
          <w:lang w:val="en-US" w:eastAsia="zh-CN"/>
        </w:rPr>
        <w:t>第三节：资助工作的落实之二：精细管理</w:t>
      </w:r>
      <w:bookmarkEnd w:id="0"/>
    </w:p>
    <w:p>
      <w:pPr>
        <w:adjustRightInd w:val="0"/>
        <w:snapToGrid w:val="0"/>
        <w:spacing w:before="97" w:beforeLines="30" w:after="65" w:afterLines="20" w:line="560" w:lineRule="exact"/>
        <w:ind w:right="190" w:rightChars="79" w:firstLine="660"/>
        <w:rPr>
          <w:rFonts w:ascii="仿宋_GB2312" w:hAnsi="仿宋_GB2312" w:eastAsia="仿宋_GB2312" w:cs="仿宋_GB2312"/>
          <w:b/>
          <w:sz w:val="32"/>
          <w:szCs w:val="32"/>
        </w:rPr>
      </w:pPr>
      <w:r>
        <w:rPr>
          <w:rFonts w:hint="eastAsia" w:ascii="仿宋_GB2312" w:hAnsi="仿宋_GB2312" w:eastAsia="仿宋_GB2312" w:cs="仿宋_GB2312"/>
          <w:b/>
          <w:sz w:val="32"/>
          <w:szCs w:val="32"/>
        </w:rPr>
        <w:t>基础保障能力发展情况</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1.资助经费保障</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（1）建立健全资金管理办法。</w:t>
      </w:r>
      <w:r>
        <w:rPr>
          <w:rFonts w:hint="eastAsia" w:ascii="仿宋_GB2312" w:hAnsi="仿宋_GB2312" w:eastAsia="仿宋_GB2312" w:cs="仿宋_GB2312"/>
          <w:sz w:val="32"/>
          <w:szCs w:val="32"/>
        </w:rPr>
        <w:t>制定并实施省、市、县三级分担机制以及制定专项资金管理办法。制定国家助学贷款中央奖补专项资金管理办法、国开行助学贷款管理手续费管理办法、中职学生资助管理工作经费管理办法，保障工作经费。</w:t>
      </w:r>
    </w:p>
    <w:p>
      <w:pPr>
        <w:spacing w:line="560" w:lineRule="exact"/>
        <w:ind w:right="190" w:rightChars="79"/>
        <w:rPr>
          <w:rFonts w:ascii="仿宋_GB2312" w:hAnsi="仿宋_GB2312" w:eastAsia="仿宋_GB2312" w:cs="仿宋_GB2312"/>
          <w:color w:val="548235" w:themeColor="accent6" w:themeShade="BF"/>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（2）鼓励社会力量多元参与。</w:t>
      </w:r>
      <w:r>
        <w:rPr>
          <w:rFonts w:hint="eastAsia" w:ascii="仿宋_GB2312" w:hAnsi="仿宋_GB2312" w:eastAsia="仿宋_GB2312" w:cs="仿宋_GB2312"/>
          <w:sz w:val="32"/>
          <w:szCs w:val="32"/>
        </w:rPr>
        <w:t>我省各高校积极与社会各界联系，广开门路，发动社会力量，多方筹集资金，关心与支持高校家庭经济困难学生资助工作。</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（3）调整完善资金拨付程序。</w:t>
      </w:r>
      <w:r>
        <w:rPr>
          <w:rFonts w:hint="eastAsia" w:ascii="仿宋_GB2312" w:hAnsi="仿宋_GB2312" w:eastAsia="仿宋_GB2312" w:cs="仿宋_GB2312"/>
          <w:sz w:val="32"/>
          <w:szCs w:val="32"/>
        </w:rPr>
        <w:t>为推行公共财政，提高财政资金使用效益，加快资金拨付进度，学生资助经费将纳入部门预算。从资金的申请、分配、预算、拨付、使用、信息公开、绩效评价、审计等方面做出明确要求。</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（4）加强国家助学贷款风险防范机制。</w:t>
      </w:r>
      <w:r>
        <w:rPr>
          <w:rFonts w:hint="eastAsia" w:ascii="仿宋_GB2312" w:hAnsi="仿宋_GB2312" w:eastAsia="仿宋_GB2312" w:cs="仿宋_GB2312"/>
          <w:sz w:val="32"/>
          <w:szCs w:val="32"/>
        </w:rPr>
        <w:t>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2.机构建设</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我省按照2007年国务院《关于建立健全普通本科高校、高等职业学校和中等职业学校家庭经济困难学生资助政策体系的意见》的要求</w:t>
      </w:r>
      <w:r>
        <w:rPr>
          <w:rFonts w:hint="eastAsia" w:ascii="仿宋_GB2312" w:hAnsi="仿宋_GB2312" w:eastAsia="仿宋_GB2312" w:cs="仿宋_GB2312"/>
          <w:b/>
          <w:bCs/>
          <w:sz w:val="32"/>
          <w:szCs w:val="32"/>
        </w:rPr>
        <w:t>，</w:t>
      </w:r>
      <w:r>
        <w:rPr>
          <w:rFonts w:hint="eastAsia" w:ascii="仿宋_GB2312" w:hAnsi="仿宋_GB2312" w:eastAsia="仿宋_GB2312" w:cs="仿宋_GB2312"/>
          <w:sz w:val="32"/>
          <w:szCs w:val="32"/>
        </w:rPr>
        <w:t>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3.队伍建设</w:t>
      </w:r>
    </w:p>
    <w:p>
      <w:pPr>
        <w:spacing w:line="560" w:lineRule="exact"/>
        <w:ind w:right="190" w:rightChars="79" w:firstLine="660"/>
        <w:rPr>
          <w:rFonts w:ascii="仿宋_GB2312" w:hAnsi="仿宋_GB2312" w:eastAsia="仿宋_GB2312" w:cs="仿宋_GB2312"/>
          <w:sz w:val="32"/>
          <w:szCs w:val="32"/>
        </w:rPr>
      </w:pPr>
      <w:r>
        <w:rPr>
          <w:rFonts w:hint="eastAsia" w:ascii="仿宋_GB2312" w:hAnsi="仿宋_GB2312" w:eastAsia="仿宋_GB2312" w:cs="仿宋_GB2312"/>
          <w:b/>
          <w:bCs/>
          <w:sz w:val="32"/>
          <w:szCs w:val="32"/>
        </w:rPr>
        <w:t>（1）建立省、市、县、校四级管理队伍。</w:t>
      </w:r>
      <w:r>
        <w:rPr>
          <w:rFonts w:hint="eastAsia" w:ascii="仿宋_GB2312" w:hAnsi="仿宋_GB2312" w:eastAsia="仿宋_GB2312" w:cs="仿宋_GB2312"/>
          <w:sz w:val="32"/>
          <w:szCs w:val="32"/>
        </w:rPr>
        <w:t>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pPr>
        <w:spacing w:line="560" w:lineRule="exact"/>
        <w:ind w:right="190" w:rightChars="79" w:firstLine="640"/>
        <w:rPr>
          <w:rFonts w:ascii="仿宋_GB2312" w:hAnsi="仿宋_GB2312" w:eastAsia="仿宋_GB2312" w:cs="仿宋_GB2312"/>
          <w:sz w:val="32"/>
          <w:szCs w:val="32"/>
        </w:rPr>
      </w:pPr>
      <w:r>
        <w:rPr>
          <w:rFonts w:hint="eastAsia" w:ascii="仿宋_GB2312" w:hAnsi="仿宋_GB2312" w:eastAsia="仿宋_GB2312" w:cs="仿宋_GB2312"/>
          <w:b/>
          <w:bCs/>
          <w:sz w:val="32"/>
          <w:szCs w:val="32"/>
        </w:rPr>
        <w:t>（2）定期开展学生资助管理人员业务能力培训。</w:t>
      </w:r>
      <w:r>
        <w:rPr>
          <w:rFonts w:hint="eastAsia" w:ascii="仿宋_GB2312" w:hAnsi="仿宋_GB2312" w:eastAsia="仿宋_GB2312" w:cs="仿宋_GB2312"/>
          <w:sz w:val="32"/>
          <w:szCs w:val="32"/>
        </w:rPr>
        <w:t>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4.宣传宣讲</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（1）发挥政府和学校宣传主导作用。</w:t>
      </w:r>
      <w:r>
        <w:rPr>
          <w:rFonts w:hint="eastAsia" w:ascii="仿宋_GB2312" w:hAnsi="仿宋_GB2312" w:eastAsia="仿宋_GB2312" w:cs="仿宋_GB2312"/>
          <w:sz w:val="32"/>
          <w:szCs w:val="32"/>
        </w:rPr>
        <w:t>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pPr>
        <w:spacing w:line="560" w:lineRule="exact"/>
        <w:ind w:right="190" w:rightChars="79" w:firstLine="48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（2）学生资助政策公益宣传。</w:t>
      </w:r>
      <w:r>
        <w:rPr>
          <w:rFonts w:hint="eastAsia" w:ascii="仿宋_GB2312" w:hAnsi="仿宋_GB2312" w:eastAsia="仿宋_GB2312" w:cs="仿宋_GB2312"/>
          <w:sz w:val="32"/>
          <w:szCs w:val="32"/>
        </w:rPr>
        <w:t>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政策公益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w:t>
      </w:r>
      <w:r>
        <w:rPr>
          <w:rFonts w:hint="eastAsia" w:ascii="仿宋_GB2312" w:hAnsi="仿宋_GB2312" w:eastAsia="仿宋_GB2312" w:cs="仿宋_GB2312"/>
          <w:color w:val="000000" w:themeColor="text1"/>
          <w:sz w:val="32"/>
          <w:szCs w:val="32"/>
          <w14:textFill>
            <w14:solidFill>
              <w14:schemeClr w14:val="tx1"/>
            </w14:solidFill>
          </w14:textFill>
        </w:rPr>
        <w:t>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（3）励志成长优秀学生典型宣传评选活动。</w:t>
      </w:r>
      <w:r>
        <w:rPr>
          <w:rFonts w:hint="eastAsia" w:ascii="仿宋_GB2312" w:hAnsi="仿宋_GB2312" w:eastAsia="仿宋_GB2312" w:cs="仿宋_GB2312"/>
          <w:sz w:val="32"/>
          <w:szCs w:val="32"/>
        </w:rPr>
        <w:t>从2013年全国学生资助管理中心举办的首届全国学生“国家资助 助我成长”主题征文活动开始，积极参加教育部组织的主题征文和优秀典型评选活动。</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（4）“助学政策下乡行”活动。</w:t>
      </w:r>
      <w:r>
        <w:rPr>
          <w:rFonts w:hint="eastAsia" w:ascii="仿宋_GB2312" w:hAnsi="仿宋_GB2312" w:eastAsia="仿宋_GB2312" w:cs="仿宋_GB2312"/>
          <w:sz w:val="32"/>
          <w:szCs w:val="32"/>
        </w:rPr>
        <w:t>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pPr>
        <w:spacing w:line="560" w:lineRule="exact"/>
        <w:ind w:right="190" w:rightChars="79" w:firstLine="480"/>
        <w:rPr>
          <w:rFonts w:ascii="仿宋_GB2312" w:hAnsi="仿宋_GB2312" w:eastAsia="仿宋_GB2312" w:cs="仿宋_GB2312"/>
          <w:sz w:val="32"/>
          <w:szCs w:val="32"/>
        </w:rPr>
      </w:pPr>
      <w:r>
        <w:rPr>
          <w:rFonts w:hint="eastAsia" w:ascii="仿宋_GB2312" w:hAnsi="仿宋_GB2312" w:eastAsia="仿宋_GB2312" w:cs="仿宋_GB2312"/>
          <w:b/>
          <w:bCs/>
          <w:sz w:val="32"/>
          <w:szCs w:val="32"/>
        </w:rPr>
        <w:t>（5）高校毕业生公益专场招聘活动。</w:t>
      </w:r>
      <w:r>
        <w:rPr>
          <w:rFonts w:hint="eastAsia" w:ascii="仿宋_GB2312" w:hAnsi="仿宋_GB2312" w:eastAsia="仿宋_GB2312" w:cs="仿宋_GB2312"/>
          <w:sz w:val="32"/>
          <w:szCs w:val="32"/>
        </w:rPr>
        <w:t>联合国开行省分行举办广东省“助力成才”高校毕业生公益专场招聘活动，建立“双困生”就业帮扶机制。通过促进就业增强高校毕业生尤其家庭困难学生的自我造血能力，通过就业改善生活水平。</w:t>
      </w:r>
    </w:p>
    <w:p>
      <w:pPr>
        <w:spacing w:line="560" w:lineRule="exact"/>
        <w:ind w:right="190" w:rightChars="79" w:firstLine="64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5.监督检查</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（1）制度规范。</w:t>
      </w:r>
      <w:r>
        <w:rPr>
          <w:rFonts w:hint="eastAsia" w:ascii="仿宋_GB2312" w:hAnsi="仿宋_GB2312" w:eastAsia="仿宋_GB2312" w:cs="仿宋_GB2312"/>
          <w:sz w:val="32"/>
          <w:szCs w:val="32"/>
        </w:rPr>
        <w:t>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（2）多级监督。</w:t>
      </w:r>
      <w:r>
        <w:rPr>
          <w:rFonts w:hint="eastAsia" w:ascii="仿宋_GB2312" w:hAnsi="仿宋_GB2312" w:eastAsia="仿宋_GB2312" w:cs="仿宋_GB2312"/>
          <w:sz w:val="32"/>
          <w:szCs w:val="32"/>
        </w:rPr>
        <w:t>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（3）多方审查。</w:t>
      </w:r>
      <w:r>
        <w:rPr>
          <w:rFonts w:hint="eastAsia" w:ascii="仿宋_GB2312" w:hAnsi="仿宋_GB2312" w:eastAsia="仿宋_GB2312" w:cs="仿宋_GB2312"/>
          <w:sz w:val="32"/>
          <w:szCs w:val="32"/>
        </w:rPr>
        <w:t>联和省财政和教育多个业务主管部门联和对助学资助工作进行监督审查。如2009年，联合厅高教处、基财处完成对关于群众来信反映广远职校“骗取国家助学金”的调查处理。</w:t>
      </w:r>
    </w:p>
    <w:p>
      <w:pPr>
        <w:spacing w:line="560" w:lineRule="exact"/>
        <w:ind w:right="190" w:rightChars="79"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6.协调联动</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（1）政府部门联动。</w:t>
      </w:r>
      <w:r>
        <w:rPr>
          <w:rFonts w:hint="eastAsia" w:ascii="仿宋_GB2312" w:hAnsi="仿宋_GB2312" w:eastAsia="仿宋_GB2312" w:cs="仿宋_GB2312"/>
          <w:sz w:val="32"/>
          <w:szCs w:val="32"/>
        </w:rPr>
        <w:t>针对助学资助管理和监督工作，省助学中心联合省财政厅、监察厅、人力资源和社会保障厅以及高教处、基财处、思政处等多方业务主管单位对助学工作进行管理和监督。例如2009年，高教处、思政处和广东省学生助学工作管理中心同志到广州、肇庆等地高校进行新学年开学检查，深入高校检查学校新年开学情况，落实国家对家庭经济困难学生的资助政策。</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（2）社会组织联动。</w:t>
      </w:r>
      <w:r>
        <w:rPr>
          <w:rFonts w:hint="eastAsia" w:ascii="仿宋_GB2312" w:hAnsi="仿宋_GB2312" w:eastAsia="仿宋_GB2312" w:cs="仿宋_GB2312"/>
          <w:sz w:val="32"/>
          <w:szCs w:val="32"/>
        </w:rPr>
        <w:t>助学中心联动广东省易方达教育基金会、华南理工大学政府绩效评价中心、广州市中大社工服务中心、广东省电化教育馆等多次对省助学资助工作进行研究和探讨，提升助学资助工作的水平。</w:t>
      </w:r>
    </w:p>
    <w:p>
      <w:pPr>
        <w:spacing w:line="560" w:lineRule="exact"/>
        <w:ind w:right="190" w:rightChars="79"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7.智库建设</w:t>
      </w:r>
    </w:p>
    <w:p>
      <w:pPr>
        <w:spacing w:line="560" w:lineRule="exact"/>
        <w:ind w:right="190" w:rightChars="79"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（1）研究工作。</w:t>
      </w:r>
      <w:r>
        <w:rPr>
          <w:rFonts w:hint="eastAsia" w:ascii="仿宋_GB2312" w:hAnsi="仿宋_GB2312" w:eastAsia="仿宋_GB2312" w:cs="仿宋_GB2312"/>
          <w:sz w:val="32"/>
          <w:szCs w:val="32"/>
        </w:rPr>
        <w:t>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对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（2）考评工作。</w:t>
      </w:r>
      <w:r>
        <w:rPr>
          <w:rFonts w:hint="eastAsia" w:ascii="仿宋_GB2312" w:hAnsi="仿宋_GB2312" w:eastAsia="仿宋_GB2312" w:cs="仿宋_GB2312"/>
          <w:sz w:val="32"/>
          <w:szCs w:val="32"/>
        </w:rPr>
        <w:t>2011年开始联动第三方（华南理工大学政府绩效评价中心）对财政资金的使用效益进行评价，并提出改善建议。2015年开始联动第三方（广州市中大社工服务中心）对各地市的助学工作做绩效考评，并提出改善建议。</w:t>
      </w:r>
    </w:p>
    <w:p>
      <w:pPr>
        <w:spacing w:line="560" w:lineRule="exact"/>
        <w:ind w:right="190" w:rightChars="79"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8.信息化建设</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（1）信息化系统应用。</w:t>
      </w:r>
      <w:r>
        <w:rPr>
          <w:rFonts w:hint="eastAsia" w:ascii="仿宋_GB2312" w:hAnsi="仿宋_GB2312" w:eastAsia="仿宋_GB2312" w:cs="仿宋_GB2312"/>
          <w:sz w:val="32"/>
          <w:szCs w:val="32"/>
        </w:rPr>
        <w:t>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（2）信息化人才培育。</w:t>
      </w:r>
      <w:r>
        <w:rPr>
          <w:rFonts w:hint="eastAsia" w:ascii="仿宋_GB2312" w:hAnsi="仿宋_GB2312" w:eastAsia="仿宋_GB2312" w:cs="仿宋_GB2312"/>
          <w:sz w:val="32"/>
          <w:szCs w:val="32"/>
        </w:rPr>
        <w:t>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9.绩效考评</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为促进地、市教育局、普通高校以及省属中职学校对助学资助工作落实，实现以评促建、以评促进，我省建立了学生资助绩效考评机制，每年定期对所有市县和学校进行学生资助考核，明确考评指标和评分标准，并对各单位和学校提出改善建议。从2011年开始引入第三方社会机构参与学生资助绩效考评工作和资金使用效率考评工作，为助学工作的发展提出专业考评意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iti SC Light">
    <w:altName w:val="Arial Unicode MS"/>
    <w:panose1 w:val="00000000000000000000"/>
    <w:charset w:val="50"/>
    <w:family w:val="auto"/>
    <w:pitch w:val="default"/>
    <w:sig w:usb0="00000000" w:usb1="00000000" w:usb2="00000010" w:usb3="00000000" w:csb0="003E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C3E25"/>
    <w:rsid w:val="751C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2017-09-06T12:52:00Z</dcterms:created>
  <dc:creator>rabbit</dc:creator>
  <cp:lastModifiedBy>rabbit</cp:lastModifiedBy>
  <dcterms:modified xsi:type="dcterms:W3CDTF">2017-09-06T14:27:28Z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