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699B" w14:textId="76EE2AA0" w:rsidR="00924126" w:rsidRPr="0082556D" w:rsidRDefault="0082556D" w:rsidP="0082556D">
      <w:pPr>
        <w:autoSpaceDE w:val="0"/>
        <w:autoSpaceDN w:val="0"/>
        <w:adjustRightInd w:val="0"/>
        <w:ind w:left="720"/>
        <w:rPr>
          <w:rFonts w:ascii="Calibri" w:hAnsi="Calibri" w:cs="Calibri"/>
          <w:b/>
          <w:bCs/>
          <w:color w:val="000000"/>
          <w:sz w:val="28"/>
          <w:szCs w:val="28"/>
        </w:rPr>
      </w:pPr>
      <w:r>
        <w:rPr>
          <w:rFonts w:ascii="Calibri" w:hAnsi="Calibri" w:cs="Calibri"/>
          <w:b/>
          <w:bCs/>
          <w:color w:val="000000"/>
          <w:sz w:val="28"/>
          <w:szCs w:val="28"/>
        </w:rPr>
        <w:t xml:space="preserve">        </w:t>
      </w:r>
      <w:r w:rsidR="00924126" w:rsidRPr="0082556D">
        <w:rPr>
          <w:rFonts w:ascii="Calibri" w:hAnsi="Calibri" w:cs="Calibri"/>
          <w:b/>
          <w:bCs/>
          <w:color w:val="000000"/>
          <w:sz w:val="28"/>
          <w:szCs w:val="28"/>
        </w:rPr>
        <w:t>Fundamentals of Information Assurance and Security</w:t>
      </w:r>
    </w:p>
    <w:p w14:paraId="46292F86" w14:textId="295E36D7" w:rsidR="004E1D59" w:rsidRPr="004B76DF" w:rsidRDefault="00924126" w:rsidP="004B76DF">
      <w:pPr>
        <w:autoSpaceDE w:val="0"/>
        <w:autoSpaceDN w:val="0"/>
        <w:adjustRightInd w:val="0"/>
        <w:ind w:firstLine="720"/>
        <w:jc w:val="both"/>
        <w:rPr>
          <w:rFonts w:ascii="Times New Roman" w:hAnsi="Times New Roman" w:cs="Times New Roman"/>
          <w:b/>
          <w:bCs/>
          <w:color w:val="000000"/>
          <w:sz w:val="22"/>
          <w:szCs w:val="22"/>
        </w:rPr>
      </w:pPr>
      <w:r w:rsidRPr="003A5713">
        <w:rPr>
          <w:rFonts w:ascii="Times New Roman" w:hAnsi="Times New Roman" w:cs="Times New Roman"/>
          <w:b/>
          <w:bCs/>
          <w:noProof/>
          <w:color w:val="000000"/>
          <w:sz w:val="22"/>
          <w:szCs w:val="22"/>
        </w:rPr>
        <mc:AlternateContent>
          <mc:Choice Requires="wps">
            <w:drawing>
              <wp:anchor distT="0" distB="0" distL="114300" distR="114300" simplePos="0" relativeHeight="251669504" behindDoc="0" locked="0" layoutInCell="1" allowOverlap="1" wp14:anchorId="4A7CD848" wp14:editId="328219C0">
                <wp:simplePos x="0" y="0"/>
                <wp:positionH relativeFrom="column">
                  <wp:posOffset>0</wp:posOffset>
                </wp:positionH>
                <wp:positionV relativeFrom="paragraph">
                  <wp:posOffset>68580</wp:posOffset>
                </wp:positionV>
                <wp:extent cx="5894070" cy="0"/>
                <wp:effectExtent l="9525" t="12065" r="11430" b="1651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407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7503D"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4pt" to="464.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QNp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" strokeweight="1.5pt"/>
            </w:pict>
          </mc:Fallback>
        </mc:AlternateContent>
      </w:r>
    </w:p>
    <w:p w14:paraId="4A95CC3F" w14:textId="77777777" w:rsidR="004B76DF" w:rsidRPr="00E1408D" w:rsidRDefault="004B76DF" w:rsidP="004B76DF">
      <w:pPr>
        <w:jc w:val="center"/>
        <w:rPr>
          <w:rFonts w:ascii="Calibri" w:hAnsi="Calibri" w:cs="Calibri"/>
          <w:b/>
        </w:rPr>
      </w:pPr>
    </w:p>
    <w:p w14:paraId="6FC963BA" w14:textId="1A527FAF" w:rsidR="004B76DF" w:rsidRPr="00E1408D" w:rsidRDefault="004B76DF" w:rsidP="004B76DF">
      <w:pPr>
        <w:rPr>
          <w:rFonts w:ascii="Calibri" w:hAnsi="Calibri" w:cs="Calibri"/>
        </w:rPr>
      </w:pPr>
      <w:r w:rsidRPr="00E1408D">
        <w:rPr>
          <w:rFonts w:ascii="Calibri" w:hAnsi="Calibri" w:cs="Calibri"/>
          <w:b/>
        </w:rPr>
        <w:t xml:space="preserve">Objective: </w:t>
      </w:r>
      <w:r>
        <w:rPr>
          <w:rFonts w:ascii="Calibri" w:hAnsi="Calibri" w:cs="Calibri"/>
        </w:rPr>
        <w:t xml:space="preserve">Get familiar with risk analysis, </w:t>
      </w:r>
      <w:r w:rsidR="00946A2D">
        <w:rPr>
          <w:rFonts w:ascii="Calibri" w:hAnsi="Calibri" w:cs="Calibri"/>
        </w:rPr>
        <w:t>security policies, and cybersecurity framework</w:t>
      </w:r>
      <w:r w:rsidR="00C612D0">
        <w:rPr>
          <w:rFonts w:ascii="Calibri" w:hAnsi="Calibri" w:cs="Calibri"/>
        </w:rPr>
        <w:t>s</w:t>
      </w:r>
      <w:r w:rsidRPr="00E1408D">
        <w:rPr>
          <w:rFonts w:ascii="Calibri" w:hAnsi="Calibri" w:cs="Calibri"/>
        </w:rPr>
        <w:t>.</w:t>
      </w:r>
    </w:p>
    <w:p w14:paraId="71388BA3" w14:textId="77777777" w:rsidR="00984AD8" w:rsidRPr="00157E1E" w:rsidRDefault="00984AD8" w:rsidP="00855287">
      <w:pPr>
        <w:jc w:val="both"/>
        <w:rPr>
          <w:rFonts w:ascii="Calibri" w:hAnsi="Calibri" w:cs="Calibri"/>
        </w:rPr>
      </w:pPr>
    </w:p>
    <w:p w14:paraId="12F82861" w14:textId="7B0DC326" w:rsidR="00157E1E" w:rsidRDefault="00157E1E" w:rsidP="00036E8D">
      <w:pPr>
        <w:pStyle w:val="ListParagraph"/>
        <w:numPr>
          <w:ilvl w:val="0"/>
          <w:numId w:val="4"/>
        </w:numPr>
        <w:jc w:val="both"/>
        <w:rPr>
          <w:rFonts w:ascii="Calibri" w:hAnsi="Calibri" w:cs="Calibri"/>
        </w:rPr>
      </w:pPr>
      <w:r w:rsidRPr="00157E1E">
        <w:rPr>
          <w:rFonts w:ascii="Calibri" w:hAnsi="Calibri" w:cs="Calibri"/>
        </w:rPr>
        <w:t>A</w:t>
      </w:r>
      <w:r>
        <w:rPr>
          <w:rFonts w:ascii="Calibri" w:hAnsi="Calibri" w:cs="Calibri"/>
        </w:rPr>
        <w:t>n</w:t>
      </w:r>
      <w:r w:rsidRPr="00157E1E">
        <w:rPr>
          <w:rFonts w:ascii="Calibri" w:hAnsi="Calibri" w:cs="Calibri"/>
        </w:rPr>
        <w:t> asset has</w:t>
      </w:r>
      <w:r w:rsidR="00036E8D">
        <w:rPr>
          <w:rFonts w:ascii="Calibri" w:hAnsi="Calibri" w:cs="Calibri"/>
        </w:rPr>
        <w:t xml:space="preserve"> </w:t>
      </w:r>
      <w:r w:rsidRPr="00157E1E">
        <w:rPr>
          <w:rFonts w:ascii="Calibri" w:hAnsi="Calibri" w:cs="Calibri"/>
        </w:rPr>
        <w:t>a value of $1,000,000. In</w:t>
      </w:r>
      <w:r w:rsidR="00065BD8">
        <w:rPr>
          <w:rFonts w:ascii="Calibri" w:hAnsi="Calibri" w:cs="Calibri"/>
        </w:rPr>
        <w:t xml:space="preserve"> </w:t>
      </w:r>
      <w:r w:rsidRPr="00157E1E">
        <w:rPr>
          <w:rFonts w:ascii="Calibri" w:hAnsi="Calibri" w:cs="Calibri"/>
        </w:rPr>
        <w:t>an attack it is expected to lose </w:t>
      </w:r>
      <w:r w:rsidR="00A0189F">
        <w:rPr>
          <w:rFonts w:ascii="Calibri" w:hAnsi="Calibri" w:cs="Calibri"/>
        </w:rPr>
        <w:t>5</w:t>
      </w:r>
      <w:r w:rsidRPr="00157E1E">
        <w:rPr>
          <w:rFonts w:ascii="Calibri" w:hAnsi="Calibri" w:cs="Calibri"/>
        </w:rPr>
        <w:t>0% of its value.</w:t>
      </w:r>
      <w:r>
        <w:rPr>
          <w:rFonts w:ascii="Calibri" w:hAnsi="Calibri" w:cs="Calibri"/>
        </w:rPr>
        <w:t xml:space="preserve"> </w:t>
      </w:r>
      <w:r w:rsidRPr="00157E1E">
        <w:rPr>
          <w:rFonts w:ascii="Calibri" w:hAnsi="Calibri" w:cs="Calibri"/>
        </w:rPr>
        <w:t>Countermeasure X will </w:t>
      </w:r>
      <w:r w:rsidR="00E93090">
        <w:rPr>
          <w:rFonts w:ascii="Calibri" w:hAnsi="Calibri" w:cs="Calibri"/>
        </w:rPr>
        <w:t>reduce</w:t>
      </w:r>
      <w:r w:rsidR="00F95F91">
        <w:rPr>
          <w:rFonts w:ascii="Calibri" w:hAnsi="Calibri" w:cs="Calibri"/>
        </w:rPr>
        <w:t xml:space="preserve"> </w:t>
      </w:r>
      <w:r w:rsidRPr="00157E1E">
        <w:rPr>
          <w:rFonts w:ascii="Calibri" w:hAnsi="Calibri" w:cs="Calibri"/>
        </w:rPr>
        <w:t>the exposure factor </w:t>
      </w:r>
      <w:r w:rsidR="000B3F1B">
        <w:rPr>
          <w:rFonts w:ascii="Calibri" w:hAnsi="Calibri" w:cs="Calibri"/>
        </w:rPr>
        <w:t>to 40%</w:t>
      </w:r>
      <w:r w:rsidRPr="00157E1E">
        <w:rPr>
          <w:rFonts w:ascii="Calibri" w:hAnsi="Calibri" w:cs="Calibri"/>
        </w:rPr>
        <w:t>. Countermeasure Y will cut the exposure factor </w:t>
      </w:r>
      <w:r w:rsidR="000B3F1B">
        <w:rPr>
          <w:rFonts w:ascii="Calibri" w:hAnsi="Calibri" w:cs="Calibri"/>
        </w:rPr>
        <w:t>to 35%</w:t>
      </w:r>
      <w:r w:rsidRPr="00157E1E">
        <w:rPr>
          <w:rFonts w:ascii="Calibri" w:hAnsi="Calibri" w:cs="Calibri"/>
        </w:rPr>
        <w:t>.</w:t>
      </w:r>
      <w:r>
        <w:rPr>
          <w:rFonts w:ascii="Calibri" w:hAnsi="Calibri" w:cs="Calibri"/>
        </w:rPr>
        <w:t xml:space="preserve"> </w:t>
      </w:r>
      <w:r w:rsidRPr="00157E1E">
        <w:rPr>
          <w:rFonts w:ascii="Calibri" w:hAnsi="Calibri" w:cs="Calibri"/>
        </w:rPr>
        <w:t>Countermeasures X and Y will cost $</w:t>
      </w:r>
      <w:r w:rsidR="00A0189F">
        <w:rPr>
          <w:rFonts w:ascii="Calibri" w:hAnsi="Calibri" w:cs="Calibri"/>
        </w:rPr>
        <w:t>1</w:t>
      </w:r>
      <w:r w:rsidRPr="00157E1E">
        <w:rPr>
          <w:rFonts w:ascii="Calibri" w:hAnsi="Calibri" w:cs="Calibri"/>
        </w:rPr>
        <w:t>0,000 and $</w:t>
      </w:r>
      <w:r w:rsidR="00A0189F">
        <w:rPr>
          <w:rFonts w:ascii="Calibri" w:hAnsi="Calibri" w:cs="Calibri"/>
        </w:rPr>
        <w:t>15</w:t>
      </w:r>
      <w:r w:rsidRPr="00157E1E">
        <w:rPr>
          <w:rFonts w:ascii="Calibri" w:hAnsi="Calibri" w:cs="Calibri"/>
        </w:rPr>
        <w:t>,000 per year respectively.</w:t>
      </w:r>
      <w:r w:rsidR="001128F4">
        <w:rPr>
          <w:rFonts w:ascii="Calibri" w:hAnsi="Calibri" w:cs="Calibri"/>
        </w:rPr>
        <w:t xml:space="preserve"> </w:t>
      </w:r>
      <w:r w:rsidRPr="001128F4">
        <w:rPr>
          <w:rFonts w:ascii="Calibri" w:hAnsi="Calibri" w:cs="Calibri"/>
        </w:rPr>
        <w:t>An attack is likely to be successful once in </w:t>
      </w:r>
      <w:r w:rsidR="0046573C">
        <w:rPr>
          <w:rFonts w:ascii="Calibri" w:hAnsi="Calibri" w:cs="Calibri"/>
        </w:rPr>
        <w:t>5</w:t>
      </w:r>
      <w:r w:rsidRPr="001128F4">
        <w:rPr>
          <w:rFonts w:ascii="Calibri" w:hAnsi="Calibri" w:cs="Calibri"/>
        </w:rPr>
        <w:t> years.</w:t>
      </w:r>
      <w:r w:rsidR="00036E8D">
        <w:rPr>
          <w:rFonts w:ascii="Calibri" w:hAnsi="Calibri" w:cs="Calibri"/>
        </w:rPr>
        <w:t xml:space="preserve"> </w:t>
      </w:r>
      <w:r w:rsidRPr="001128F4">
        <w:rPr>
          <w:rFonts w:ascii="Calibri" w:hAnsi="Calibri" w:cs="Calibri"/>
        </w:rPr>
        <w:t>Both countermeasures can cut the occurrence rate in half.</w:t>
      </w:r>
      <w:r w:rsidR="00652DE5">
        <w:rPr>
          <w:rFonts w:ascii="Calibri" w:hAnsi="Calibri" w:cs="Calibri"/>
        </w:rPr>
        <w:t xml:space="preserve"> </w:t>
      </w:r>
      <w:r w:rsidRPr="00652DE5">
        <w:rPr>
          <w:rFonts w:ascii="Calibri" w:hAnsi="Calibri" w:cs="Calibri"/>
        </w:rPr>
        <w:t xml:space="preserve">Complete the </w:t>
      </w:r>
      <w:r w:rsidR="002F7D98">
        <w:rPr>
          <w:rFonts w:ascii="Calibri" w:hAnsi="Calibri" w:cs="Calibri"/>
        </w:rPr>
        <w:t xml:space="preserve">classical </w:t>
      </w:r>
      <w:r w:rsidRPr="00652DE5">
        <w:rPr>
          <w:rFonts w:ascii="Calibri" w:hAnsi="Calibri" w:cs="Calibri"/>
        </w:rPr>
        <w:t xml:space="preserve">risk analysis table </w:t>
      </w:r>
      <w:r w:rsidR="00036E8D">
        <w:rPr>
          <w:rFonts w:ascii="Calibri" w:hAnsi="Calibri" w:cs="Calibri"/>
        </w:rPr>
        <w:t>below</w:t>
      </w:r>
      <w:r w:rsidR="00F07BDF">
        <w:rPr>
          <w:rFonts w:ascii="Calibri" w:hAnsi="Calibri" w:cs="Calibri"/>
        </w:rPr>
        <w:t xml:space="preserve">. </w:t>
      </w:r>
      <w:r w:rsidRPr="00652DE5">
        <w:rPr>
          <w:rFonts w:ascii="Calibri" w:hAnsi="Calibri" w:cs="Calibri"/>
        </w:rPr>
        <w:t xml:space="preserve"> </w:t>
      </w:r>
    </w:p>
    <w:p w14:paraId="0455DCF3" w14:textId="77777777" w:rsidR="00EB1662" w:rsidRPr="00652DE5" w:rsidRDefault="00EB1662" w:rsidP="00EB1662">
      <w:pPr>
        <w:pStyle w:val="ListParagraph"/>
        <w:ind w:left="360"/>
        <w:jc w:val="both"/>
        <w:rPr>
          <w:rFonts w:ascii="Calibri" w:hAnsi="Calibri" w:cs="Calibri"/>
        </w:rPr>
      </w:pPr>
    </w:p>
    <w:tbl>
      <w:tblPr>
        <w:tblW w:w="9000" w:type="dxa"/>
        <w:tblInd w:w="360" w:type="dxa"/>
        <w:tblCellMar>
          <w:left w:w="0" w:type="dxa"/>
          <w:right w:w="0" w:type="dxa"/>
        </w:tblCellMar>
        <w:tblLook w:val="0420" w:firstRow="1" w:lastRow="0" w:firstColumn="0" w:lastColumn="0" w:noHBand="0" w:noVBand="1"/>
      </w:tblPr>
      <w:tblGrid>
        <w:gridCol w:w="3780"/>
        <w:gridCol w:w="1530"/>
        <w:gridCol w:w="1710"/>
        <w:gridCol w:w="1980"/>
      </w:tblGrid>
      <w:tr w:rsidR="00C0481F" w:rsidRPr="00C0481F" w14:paraId="706670C4" w14:textId="77777777" w:rsidTr="00EB1662">
        <w:trPr>
          <w:trHeight w:val="475"/>
        </w:trPr>
        <w:tc>
          <w:tcPr>
            <w:tcW w:w="3780" w:type="dxa"/>
            <w:vMerge w:val="restart"/>
            <w:tcBorders>
              <w:top w:val="nil"/>
              <w:left w:val="nil"/>
              <w:bottom w:val="single" w:sz="12" w:space="0" w:color="000000"/>
              <w:right w:val="single" w:sz="12" w:space="0" w:color="000000"/>
            </w:tcBorders>
            <w:shd w:val="clear" w:color="auto" w:fill="auto"/>
            <w:tcMar>
              <w:top w:w="15" w:type="dxa"/>
              <w:left w:w="15" w:type="dxa"/>
              <w:bottom w:w="0" w:type="dxa"/>
              <w:right w:w="15" w:type="dxa"/>
            </w:tcMar>
            <w:hideMark/>
          </w:tcPr>
          <w:p w14:paraId="76B3B9BE" w14:textId="77777777" w:rsidR="00C0481F" w:rsidRPr="00C0481F" w:rsidRDefault="00C0481F" w:rsidP="00C0481F">
            <w:pPr>
              <w:pStyle w:val="ListParagraph"/>
              <w:ind w:left="360"/>
              <w:jc w:val="both"/>
              <w:rPr>
                <w:rFonts w:ascii="Calibri" w:hAnsi="Calibri" w:cs="Calibri"/>
              </w:rPr>
            </w:pPr>
          </w:p>
        </w:tc>
        <w:tc>
          <w:tcPr>
            <w:tcW w:w="1530" w:type="dxa"/>
            <w:vMerge w:val="restart"/>
            <w:tcBorders>
              <w:top w:val="single" w:sz="12" w:space="0" w:color="000000"/>
              <w:left w:val="single" w:sz="12" w:space="0" w:color="000000"/>
              <w:bottom w:val="single" w:sz="12" w:space="0" w:color="000000"/>
              <w:right w:val="single" w:sz="12" w:space="0" w:color="000000"/>
            </w:tcBorders>
            <w:shd w:val="clear" w:color="auto" w:fill="BFBFBF"/>
            <w:tcMar>
              <w:top w:w="9" w:type="dxa"/>
              <w:left w:w="15" w:type="dxa"/>
              <w:bottom w:w="0" w:type="dxa"/>
              <w:right w:w="15" w:type="dxa"/>
            </w:tcMar>
            <w:hideMark/>
          </w:tcPr>
          <w:p w14:paraId="67E993D9" w14:textId="77777777" w:rsidR="00C0481F" w:rsidRPr="00C0481F" w:rsidRDefault="00C0481F" w:rsidP="00C0481F">
            <w:pPr>
              <w:pStyle w:val="ListParagraph"/>
              <w:ind w:left="360"/>
              <w:jc w:val="both"/>
              <w:rPr>
                <w:rFonts w:ascii="Calibri" w:hAnsi="Calibri" w:cs="Calibri"/>
              </w:rPr>
            </w:pPr>
            <w:r w:rsidRPr="00C0481F">
              <w:rPr>
                <w:rFonts w:ascii="Calibri" w:hAnsi="Calibri" w:cs="Calibri"/>
              </w:rPr>
              <w:t>Base Case</w:t>
            </w:r>
          </w:p>
        </w:tc>
        <w:tc>
          <w:tcPr>
            <w:tcW w:w="3690" w:type="dxa"/>
            <w:gridSpan w:val="2"/>
            <w:tcBorders>
              <w:top w:val="single" w:sz="12" w:space="0" w:color="000000"/>
              <w:left w:val="single" w:sz="12" w:space="0" w:color="000000"/>
              <w:bottom w:val="single" w:sz="12" w:space="0" w:color="000000"/>
              <w:right w:val="single" w:sz="12" w:space="0" w:color="000000"/>
            </w:tcBorders>
            <w:shd w:val="clear" w:color="auto" w:fill="BFBFBF"/>
            <w:tcMar>
              <w:top w:w="6" w:type="dxa"/>
              <w:left w:w="15" w:type="dxa"/>
              <w:bottom w:w="0" w:type="dxa"/>
              <w:right w:w="15" w:type="dxa"/>
            </w:tcMar>
            <w:hideMark/>
          </w:tcPr>
          <w:p w14:paraId="06D9E658" w14:textId="77777777" w:rsidR="00C0481F" w:rsidRPr="00C0481F" w:rsidRDefault="00C0481F" w:rsidP="00C0481F">
            <w:pPr>
              <w:pStyle w:val="ListParagraph"/>
              <w:ind w:left="360"/>
              <w:jc w:val="both"/>
              <w:rPr>
                <w:rFonts w:ascii="Calibri" w:hAnsi="Calibri" w:cs="Calibri"/>
              </w:rPr>
            </w:pPr>
            <w:r w:rsidRPr="00C0481F">
              <w:rPr>
                <w:rFonts w:ascii="Calibri" w:hAnsi="Calibri" w:cs="Calibri"/>
              </w:rPr>
              <w:t>Countermeasure</w:t>
            </w:r>
          </w:p>
        </w:tc>
      </w:tr>
      <w:tr w:rsidR="00EB1662" w:rsidRPr="00C0481F" w14:paraId="2CB2A997" w14:textId="77777777" w:rsidTr="00EB1662">
        <w:trPr>
          <w:trHeight w:val="475"/>
        </w:trPr>
        <w:tc>
          <w:tcPr>
            <w:tcW w:w="3780" w:type="dxa"/>
            <w:vMerge/>
            <w:tcBorders>
              <w:top w:val="nil"/>
              <w:left w:val="nil"/>
              <w:bottom w:val="single" w:sz="12" w:space="0" w:color="000000"/>
              <w:right w:val="single" w:sz="12" w:space="0" w:color="000000"/>
            </w:tcBorders>
            <w:vAlign w:val="center"/>
            <w:hideMark/>
          </w:tcPr>
          <w:p w14:paraId="25011540" w14:textId="77777777" w:rsidR="00C0481F" w:rsidRPr="00C0481F" w:rsidRDefault="00C0481F" w:rsidP="00C0481F">
            <w:pPr>
              <w:pStyle w:val="ListParagraph"/>
              <w:ind w:left="360"/>
              <w:jc w:val="both"/>
              <w:rPr>
                <w:rFonts w:ascii="Calibri" w:hAnsi="Calibri" w:cs="Calibri"/>
              </w:rPr>
            </w:pPr>
          </w:p>
        </w:tc>
        <w:tc>
          <w:tcPr>
            <w:tcW w:w="1530" w:type="dxa"/>
            <w:vMerge/>
            <w:tcBorders>
              <w:top w:val="single" w:sz="12" w:space="0" w:color="000000"/>
              <w:left w:val="single" w:sz="12" w:space="0" w:color="000000"/>
              <w:bottom w:val="single" w:sz="12" w:space="0" w:color="000000"/>
              <w:right w:val="single" w:sz="12" w:space="0" w:color="000000"/>
            </w:tcBorders>
            <w:vAlign w:val="center"/>
            <w:hideMark/>
          </w:tcPr>
          <w:p w14:paraId="35991071" w14:textId="77777777" w:rsidR="00C0481F" w:rsidRPr="00C0481F" w:rsidRDefault="00C0481F" w:rsidP="00C0481F">
            <w:pPr>
              <w:pStyle w:val="ListParagraph"/>
              <w:ind w:left="360"/>
              <w:jc w:val="both"/>
              <w:rPr>
                <w:rFonts w:ascii="Calibri" w:hAnsi="Calibri" w:cs="Calibri"/>
              </w:rPr>
            </w:pPr>
          </w:p>
        </w:tc>
        <w:tc>
          <w:tcPr>
            <w:tcW w:w="1710" w:type="dxa"/>
            <w:tcBorders>
              <w:top w:val="single" w:sz="12" w:space="0" w:color="000000"/>
              <w:left w:val="single" w:sz="12" w:space="0" w:color="000000"/>
              <w:bottom w:val="single" w:sz="12" w:space="0" w:color="000000"/>
              <w:right w:val="single" w:sz="12" w:space="0" w:color="000000"/>
            </w:tcBorders>
            <w:shd w:val="clear" w:color="auto" w:fill="BFBFBF"/>
            <w:tcMar>
              <w:top w:w="6" w:type="dxa"/>
              <w:left w:w="15" w:type="dxa"/>
              <w:bottom w:w="0" w:type="dxa"/>
              <w:right w:w="15" w:type="dxa"/>
            </w:tcMar>
            <w:hideMark/>
          </w:tcPr>
          <w:p w14:paraId="4C1890DF" w14:textId="46E9F05B" w:rsidR="00C0481F" w:rsidRPr="00C0481F" w:rsidRDefault="004C3A94" w:rsidP="00C0481F">
            <w:pPr>
              <w:pStyle w:val="ListParagraph"/>
              <w:ind w:left="360"/>
              <w:jc w:val="both"/>
              <w:rPr>
                <w:rFonts w:ascii="Calibri" w:hAnsi="Calibri" w:cs="Calibri"/>
              </w:rPr>
            </w:pPr>
            <w:r>
              <w:rPr>
                <w:rFonts w:ascii="Calibri" w:hAnsi="Calibri" w:cs="Calibri"/>
              </w:rPr>
              <w:t>X</w:t>
            </w:r>
          </w:p>
        </w:tc>
        <w:tc>
          <w:tcPr>
            <w:tcW w:w="1980" w:type="dxa"/>
            <w:tcBorders>
              <w:top w:val="single" w:sz="12" w:space="0" w:color="000000"/>
              <w:left w:val="single" w:sz="12" w:space="0" w:color="000000"/>
              <w:bottom w:val="single" w:sz="12" w:space="0" w:color="000000"/>
              <w:right w:val="single" w:sz="12" w:space="0" w:color="000000"/>
            </w:tcBorders>
            <w:shd w:val="clear" w:color="auto" w:fill="BFBFBF"/>
            <w:tcMar>
              <w:top w:w="6" w:type="dxa"/>
              <w:left w:w="15" w:type="dxa"/>
              <w:bottom w:w="0" w:type="dxa"/>
              <w:right w:w="15" w:type="dxa"/>
            </w:tcMar>
            <w:hideMark/>
          </w:tcPr>
          <w:p w14:paraId="657AA256" w14:textId="15C7F7E5" w:rsidR="00C0481F" w:rsidRPr="00C0481F" w:rsidRDefault="004C3A94" w:rsidP="00C0481F">
            <w:pPr>
              <w:pStyle w:val="ListParagraph"/>
              <w:ind w:left="360"/>
              <w:jc w:val="both"/>
              <w:rPr>
                <w:rFonts w:ascii="Calibri" w:hAnsi="Calibri" w:cs="Calibri"/>
              </w:rPr>
            </w:pPr>
            <w:r>
              <w:rPr>
                <w:rFonts w:ascii="Calibri" w:hAnsi="Calibri" w:cs="Calibri"/>
              </w:rPr>
              <w:t>Y</w:t>
            </w:r>
          </w:p>
        </w:tc>
      </w:tr>
      <w:tr w:rsidR="00EB1662" w:rsidRPr="00C0481F" w14:paraId="4595CD7D" w14:textId="77777777" w:rsidTr="00EB1662">
        <w:trPr>
          <w:trHeight w:val="422"/>
        </w:trPr>
        <w:tc>
          <w:tcPr>
            <w:tcW w:w="378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hideMark/>
          </w:tcPr>
          <w:p w14:paraId="5D20D25B" w14:textId="77777777" w:rsidR="00C0481F" w:rsidRPr="00C0481F" w:rsidRDefault="00C0481F" w:rsidP="00EB1662">
            <w:pPr>
              <w:pStyle w:val="ListParagraph"/>
              <w:ind w:left="360"/>
              <w:rPr>
                <w:rFonts w:ascii="Calibri" w:hAnsi="Calibri" w:cs="Calibri"/>
              </w:rPr>
            </w:pPr>
            <w:r w:rsidRPr="00C0481F">
              <w:rPr>
                <w:rFonts w:ascii="Calibri" w:hAnsi="Calibri" w:cs="Calibri"/>
              </w:rPr>
              <w:t>Asset Value (AV)</w:t>
            </w:r>
          </w:p>
        </w:tc>
        <w:tc>
          <w:tcPr>
            <w:tcW w:w="153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tcPr>
          <w:p w14:paraId="4F32D85B" w14:textId="76B38E0F" w:rsidR="00C0481F" w:rsidRPr="00C0481F" w:rsidRDefault="004F3BFC" w:rsidP="00C0481F">
            <w:pPr>
              <w:pStyle w:val="ListParagraph"/>
              <w:ind w:left="360"/>
              <w:jc w:val="both"/>
              <w:rPr>
                <w:rFonts w:ascii="Calibri" w:hAnsi="Calibri" w:cs="Calibri"/>
              </w:rPr>
            </w:pPr>
            <w:r>
              <w:rPr>
                <w:rFonts w:ascii="Calibri" w:hAnsi="Calibri" w:cs="Calibri"/>
              </w:rPr>
              <w:t>1000000</w:t>
            </w:r>
          </w:p>
        </w:tc>
        <w:tc>
          <w:tcPr>
            <w:tcW w:w="171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tcPr>
          <w:p w14:paraId="6CA2F917" w14:textId="4FB3C76E" w:rsidR="00C0481F" w:rsidRPr="00C0481F" w:rsidRDefault="002D37B9" w:rsidP="00C0481F">
            <w:pPr>
              <w:pStyle w:val="ListParagraph"/>
              <w:ind w:left="360"/>
              <w:jc w:val="both"/>
              <w:rPr>
                <w:rFonts w:ascii="Calibri" w:hAnsi="Calibri" w:cs="Calibri"/>
              </w:rPr>
            </w:pPr>
            <w:r>
              <w:rPr>
                <w:rFonts w:ascii="Calibri" w:hAnsi="Calibri" w:cs="Calibri"/>
              </w:rPr>
              <w:t>1000000</w:t>
            </w:r>
          </w:p>
        </w:tc>
        <w:tc>
          <w:tcPr>
            <w:tcW w:w="198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tcPr>
          <w:p w14:paraId="433AE5FC" w14:textId="4251A6E2" w:rsidR="00C0481F" w:rsidRPr="00C0481F" w:rsidRDefault="002D37B9" w:rsidP="00C0481F">
            <w:pPr>
              <w:pStyle w:val="ListParagraph"/>
              <w:ind w:left="360"/>
              <w:jc w:val="both"/>
              <w:rPr>
                <w:rFonts w:ascii="Calibri" w:hAnsi="Calibri" w:cs="Calibri"/>
              </w:rPr>
            </w:pPr>
            <w:r>
              <w:rPr>
                <w:rFonts w:ascii="Calibri" w:hAnsi="Calibri" w:cs="Calibri"/>
              </w:rPr>
              <w:t>1000000</w:t>
            </w:r>
          </w:p>
        </w:tc>
      </w:tr>
      <w:tr w:rsidR="00EB1662" w:rsidRPr="00C0481F" w14:paraId="521B97C7" w14:textId="77777777" w:rsidTr="00EB1662">
        <w:trPr>
          <w:trHeight w:val="475"/>
        </w:trPr>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hideMark/>
          </w:tcPr>
          <w:p w14:paraId="1EF8FF31" w14:textId="77777777" w:rsidR="00C0481F" w:rsidRPr="00C0481F" w:rsidRDefault="00C0481F" w:rsidP="00EB1662">
            <w:pPr>
              <w:pStyle w:val="ListParagraph"/>
              <w:ind w:left="360"/>
              <w:rPr>
                <w:rFonts w:ascii="Calibri" w:hAnsi="Calibri" w:cs="Calibri"/>
              </w:rPr>
            </w:pPr>
            <w:r w:rsidRPr="00C0481F">
              <w:rPr>
                <w:rFonts w:ascii="Calibri" w:hAnsi="Calibri" w:cs="Calibri"/>
              </w:rPr>
              <w:t>Exposure Factor (EF)</w:t>
            </w:r>
          </w:p>
        </w:tc>
        <w:tc>
          <w:tcPr>
            <w:tcW w:w="153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tcPr>
          <w:p w14:paraId="5162B8EA" w14:textId="0E42F982" w:rsidR="00C0481F" w:rsidRPr="00C0481F" w:rsidRDefault="00FD4A39" w:rsidP="00C0481F">
            <w:pPr>
              <w:pStyle w:val="ListParagraph"/>
              <w:ind w:left="360"/>
              <w:jc w:val="both"/>
              <w:rPr>
                <w:rFonts w:ascii="Calibri" w:hAnsi="Calibri" w:cs="Calibri"/>
              </w:rPr>
            </w:pPr>
            <w:r>
              <w:rPr>
                <w:rFonts w:ascii="Calibri" w:hAnsi="Calibri" w:cs="Calibri"/>
              </w:rPr>
              <w:t>50%</w:t>
            </w:r>
          </w:p>
        </w:tc>
        <w:tc>
          <w:tcPr>
            <w:tcW w:w="171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tcPr>
          <w:p w14:paraId="535CD91A" w14:textId="389BA2A7" w:rsidR="00C0481F" w:rsidRPr="00C0481F" w:rsidRDefault="00570FE7" w:rsidP="00C0481F">
            <w:pPr>
              <w:pStyle w:val="ListParagraph"/>
              <w:ind w:left="360"/>
              <w:jc w:val="both"/>
              <w:rPr>
                <w:rFonts w:ascii="Calibri" w:hAnsi="Calibri" w:cs="Calibri"/>
              </w:rPr>
            </w:pPr>
            <w:r>
              <w:rPr>
                <w:rFonts w:ascii="Calibri" w:hAnsi="Calibri" w:cs="Calibri"/>
              </w:rPr>
              <w:t>40%</w:t>
            </w:r>
          </w:p>
        </w:tc>
        <w:tc>
          <w:tcPr>
            <w:tcW w:w="198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tcPr>
          <w:p w14:paraId="2C018A18" w14:textId="082D2CCB" w:rsidR="00C0481F" w:rsidRPr="00C0481F" w:rsidRDefault="00E75F7B" w:rsidP="00C0481F">
            <w:pPr>
              <w:pStyle w:val="ListParagraph"/>
              <w:ind w:left="360"/>
              <w:jc w:val="both"/>
              <w:rPr>
                <w:rFonts w:ascii="Calibri" w:hAnsi="Calibri" w:cs="Calibri"/>
              </w:rPr>
            </w:pPr>
            <w:r>
              <w:rPr>
                <w:rFonts w:ascii="Calibri" w:hAnsi="Calibri" w:cs="Calibri"/>
              </w:rPr>
              <w:t>35%</w:t>
            </w:r>
          </w:p>
        </w:tc>
      </w:tr>
      <w:tr w:rsidR="00EB1662" w:rsidRPr="00C0481F" w14:paraId="680000DA" w14:textId="77777777" w:rsidTr="00EB1662">
        <w:trPr>
          <w:trHeight w:val="729"/>
        </w:trPr>
        <w:tc>
          <w:tcPr>
            <w:tcW w:w="3780" w:type="dxa"/>
            <w:tcBorders>
              <w:top w:val="single" w:sz="12" w:space="0" w:color="000000"/>
              <w:left w:val="single" w:sz="12" w:space="0" w:color="000000"/>
              <w:bottom w:val="single" w:sz="12" w:space="0" w:color="000000"/>
              <w:right w:val="single" w:sz="12" w:space="0" w:color="000000"/>
            </w:tcBorders>
            <w:shd w:val="clear" w:color="auto" w:fill="D9D9D9"/>
            <w:tcMar>
              <w:top w:w="6" w:type="dxa"/>
              <w:left w:w="15" w:type="dxa"/>
              <w:bottom w:w="0" w:type="dxa"/>
              <w:right w:w="15" w:type="dxa"/>
            </w:tcMar>
            <w:hideMark/>
          </w:tcPr>
          <w:p w14:paraId="079A9E10" w14:textId="77777777" w:rsidR="00C0481F" w:rsidRPr="00C0481F" w:rsidRDefault="00C0481F" w:rsidP="00EB1662">
            <w:pPr>
              <w:pStyle w:val="ListParagraph"/>
              <w:ind w:left="360"/>
              <w:rPr>
                <w:rFonts w:ascii="Calibri" w:hAnsi="Calibri" w:cs="Calibri"/>
              </w:rPr>
            </w:pPr>
            <w:r w:rsidRPr="00C0481F">
              <w:rPr>
                <w:rFonts w:ascii="Calibri" w:hAnsi="Calibri" w:cs="Calibri"/>
              </w:rPr>
              <w:t>Single Loss Expectancy</w:t>
            </w:r>
          </w:p>
          <w:p w14:paraId="51AE8D73" w14:textId="77777777" w:rsidR="00C0481F" w:rsidRPr="00C0481F" w:rsidRDefault="00C0481F" w:rsidP="00EB1662">
            <w:pPr>
              <w:pStyle w:val="ListParagraph"/>
              <w:ind w:left="360"/>
              <w:rPr>
                <w:rFonts w:ascii="Calibri" w:hAnsi="Calibri" w:cs="Calibri"/>
              </w:rPr>
            </w:pPr>
            <w:r w:rsidRPr="00C0481F">
              <w:rPr>
                <w:rFonts w:ascii="Calibri" w:hAnsi="Calibri" w:cs="Calibri"/>
              </w:rPr>
              <w:t>(SLE): = AV*EF</w:t>
            </w:r>
          </w:p>
        </w:tc>
        <w:tc>
          <w:tcPr>
            <w:tcW w:w="1530" w:type="dxa"/>
            <w:tcBorders>
              <w:top w:val="single" w:sz="12" w:space="0" w:color="000000"/>
              <w:left w:val="single" w:sz="12" w:space="0" w:color="000000"/>
              <w:bottom w:val="single" w:sz="12" w:space="0" w:color="000000"/>
              <w:right w:val="single" w:sz="12" w:space="0" w:color="000000"/>
            </w:tcBorders>
            <w:shd w:val="clear" w:color="auto" w:fill="D9D9D9"/>
            <w:tcMar>
              <w:top w:w="3" w:type="dxa"/>
              <w:left w:w="15" w:type="dxa"/>
              <w:bottom w:w="0" w:type="dxa"/>
              <w:right w:w="15" w:type="dxa"/>
            </w:tcMar>
          </w:tcPr>
          <w:p w14:paraId="3075531D" w14:textId="142C3D8A" w:rsidR="00C0481F" w:rsidRPr="00C0481F" w:rsidRDefault="00E75F7B" w:rsidP="00C0481F">
            <w:pPr>
              <w:pStyle w:val="ListParagraph"/>
              <w:ind w:left="360"/>
              <w:jc w:val="both"/>
              <w:rPr>
                <w:rFonts w:ascii="Calibri" w:hAnsi="Calibri" w:cs="Calibri"/>
              </w:rPr>
            </w:pPr>
            <w:r>
              <w:rPr>
                <w:rFonts w:ascii="Calibri" w:hAnsi="Calibri" w:cs="Calibri"/>
              </w:rPr>
              <w:t>500,000</w:t>
            </w:r>
          </w:p>
        </w:tc>
        <w:tc>
          <w:tcPr>
            <w:tcW w:w="1710" w:type="dxa"/>
            <w:tcBorders>
              <w:top w:val="single" w:sz="12" w:space="0" w:color="000000"/>
              <w:left w:val="single" w:sz="12" w:space="0" w:color="000000"/>
              <w:bottom w:val="single" w:sz="12" w:space="0" w:color="000000"/>
              <w:right w:val="single" w:sz="12" w:space="0" w:color="000000"/>
            </w:tcBorders>
            <w:shd w:val="clear" w:color="auto" w:fill="D9D9D9"/>
            <w:tcMar>
              <w:top w:w="3" w:type="dxa"/>
              <w:left w:w="15" w:type="dxa"/>
              <w:bottom w:w="0" w:type="dxa"/>
              <w:right w:w="15" w:type="dxa"/>
            </w:tcMar>
          </w:tcPr>
          <w:p w14:paraId="20024D50" w14:textId="229CABE1" w:rsidR="00C0481F" w:rsidRPr="00C0481F" w:rsidRDefault="00867F14" w:rsidP="00C0481F">
            <w:pPr>
              <w:pStyle w:val="ListParagraph"/>
              <w:ind w:left="360"/>
              <w:jc w:val="both"/>
              <w:rPr>
                <w:rFonts w:ascii="Calibri" w:hAnsi="Calibri" w:cs="Calibri"/>
              </w:rPr>
            </w:pPr>
            <w:r>
              <w:rPr>
                <w:rFonts w:ascii="Calibri" w:hAnsi="Calibri" w:cs="Calibri"/>
              </w:rPr>
              <w:t>400,000</w:t>
            </w:r>
          </w:p>
        </w:tc>
        <w:tc>
          <w:tcPr>
            <w:tcW w:w="1980" w:type="dxa"/>
            <w:tcBorders>
              <w:top w:val="single" w:sz="12" w:space="0" w:color="000000"/>
              <w:left w:val="single" w:sz="12" w:space="0" w:color="000000"/>
              <w:bottom w:val="single" w:sz="12" w:space="0" w:color="000000"/>
              <w:right w:val="single" w:sz="12" w:space="0" w:color="000000"/>
            </w:tcBorders>
            <w:shd w:val="clear" w:color="auto" w:fill="D9D9D9"/>
            <w:tcMar>
              <w:top w:w="3" w:type="dxa"/>
              <w:left w:w="15" w:type="dxa"/>
              <w:bottom w:w="0" w:type="dxa"/>
              <w:right w:w="15" w:type="dxa"/>
            </w:tcMar>
          </w:tcPr>
          <w:p w14:paraId="135CBE5F" w14:textId="4D6D56DD" w:rsidR="00C0481F" w:rsidRPr="00C0481F" w:rsidRDefault="00867F14" w:rsidP="00C0481F">
            <w:pPr>
              <w:pStyle w:val="ListParagraph"/>
              <w:ind w:left="360"/>
              <w:jc w:val="both"/>
              <w:rPr>
                <w:rFonts w:ascii="Calibri" w:hAnsi="Calibri" w:cs="Calibri"/>
              </w:rPr>
            </w:pPr>
            <w:r>
              <w:rPr>
                <w:rFonts w:ascii="Calibri" w:hAnsi="Calibri" w:cs="Calibri"/>
              </w:rPr>
              <w:t>350,000</w:t>
            </w:r>
          </w:p>
        </w:tc>
      </w:tr>
      <w:tr w:rsidR="00EB1662" w:rsidRPr="00C0481F" w14:paraId="0EDA61AA" w14:textId="77777777" w:rsidTr="00EB1662">
        <w:trPr>
          <w:trHeight w:val="753"/>
        </w:trPr>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hideMark/>
          </w:tcPr>
          <w:p w14:paraId="632D89D4" w14:textId="77777777" w:rsidR="00C0481F" w:rsidRPr="00C0481F" w:rsidRDefault="00C0481F" w:rsidP="00EB1662">
            <w:pPr>
              <w:pStyle w:val="ListParagraph"/>
              <w:ind w:left="360"/>
              <w:rPr>
                <w:rFonts w:ascii="Calibri" w:hAnsi="Calibri" w:cs="Calibri"/>
              </w:rPr>
            </w:pPr>
            <w:r w:rsidRPr="00C0481F">
              <w:rPr>
                <w:rFonts w:ascii="Calibri" w:hAnsi="Calibri" w:cs="Calibri"/>
              </w:rPr>
              <w:t>Annualized Rate of Occurrence (ARO)</w:t>
            </w:r>
          </w:p>
        </w:tc>
        <w:tc>
          <w:tcPr>
            <w:tcW w:w="153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tcPr>
          <w:p w14:paraId="650D73AA" w14:textId="6B91E700" w:rsidR="00C0481F" w:rsidRPr="00C0481F" w:rsidRDefault="00890200" w:rsidP="00C0481F">
            <w:pPr>
              <w:pStyle w:val="ListParagraph"/>
              <w:ind w:left="360"/>
              <w:jc w:val="both"/>
              <w:rPr>
                <w:rFonts w:ascii="Calibri" w:hAnsi="Calibri" w:cs="Calibri"/>
              </w:rPr>
            </w:pPr>
            <w:r>
              <w:rPr>
                <w:rFonts w:ascii="Calibri" w:hAnsi="Calibri" w:cs="Calibri"/>
              </w:rPr>
              <w:t>1/</w:t>
            </w:r>
            <w:r w:rsidR="00F40C34">
              <w:rPr>
                <w:rFonts w:ascii="Calibri" w:hAnsi="Calibri" w:cs="Calibri"/>
              </w:rPr>
              <w:t>5</w:t>
            </w:r>
          </w:p>
        </w:tc>
        <w:tc>
          <w:tcPr>
            <w:tcW w:w="171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tcPr>
          <w:p w14:paraId="501B1EF1" w14:textId="4D2BEBCC" w:rsidR="00C0481F" w:rsidRPr="00C0481F" w:rsidRDefault="00890200" w:rsidP="00C0481F">
            <w:pPr>
              <w:pStyle w:val="ListParagraph"/>
              <w:ind w:left="360"/>
              <w:jc w:val="both"/>
              <w:rPr>
                <w:rFonts w:ascii="Calibri" w:hAnsi="Calibri" w:cs="Calibri"/>
              </w:rPr>
            </w:pPr>
            <w:r>
              <w:rPr>
                <w:rFonts w:ascii="Calibri" w:hAnsi="Calibri" w:cs="Calibri"/>
              </w:rPr>
              <w:t>1/</w:t>
            </w:r>
            <w:r w:rsidR="00F74897">
              <w:rPr>
                <w:rFonts w:ascii="Calibri" w:hAnsi="Calibri" w:cs="Calibri"/>
              </w:rPr>
              <w:t>10</w:t>
            </w:r>
          </w:p>
        </w:tc>
        <w:tc>
          <w:tcPr>
            <w:tcW w:w="198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tcPr>
          <w:p w14:paraId="3B7EE9C1" w14:textId="400F36BE" w:rsidR="00C0481F" w:rsidRPr="00C0481F" w:rsidRDefault="00890200" w:rsidP="00C0481F">
            <w:pPr>
              <w:pStyle w:val="ListParagraph"/>
              <w:ind w:left="360"/>
              <w:jc w:val="both"/>
              <w:rPr>
                <w:rFonts w:ascii="Calibri" w:hAnsi="Calibri" w:cs="Calibri"/>
              </w:rPr>
            </w:pPr>
            <w:r>
              <w:rPr>
                <w:rFonts w:ascii="Calibri" w:hAnsi="Calibri" w:cs="Calibri"/>
              </w:rPr>
              <w:t>1/</w:t>
            </w:r>
            <w:r w:rsidR="00F74897">
              <w:rPr>
                <w:rFonts w:ascii="Calibri" w:hAnsi="Calibri" w:cs="Calibri"/>
              </w:rPr>
              <w:t>10</w:t>
            </w:r>
          </w:p>
        </w:tc>
      </w:tr>
      <w:tr w:rsidR="00EB1662" w:rsidRPr="00C0481F" w14:paraId="06B22A64" w14:textId="77777777" w:rsidTr="00EB1662">
        <w:trPr>
          <w:trHeight w:val="771"/>
        </w:trPr>
        <w:tc>
          <w:tcPr>
            <w:tcW w:w="3780" w:type="dxa"/>
            <w:tcBorders>
              <w:top w:val="single" w:sz="12" w:space="0" w:color="000000"/>
              <w:left w:val="single" w:sz="12" w:space="0" w:color="000000"/>
              <w:bottom w:val="single" w:sz="12" w:space="0" w:color="000000"/>
              <w:right w:val="single" w:sz="12" w:space="0" w:color="000000"/>
            </w:tcBorders>
            <w:shd w:val="clear" w:color="auto" w:fill="D9D9D9"/>
            <w:tcMar>
              <w:top w:w="6" w:type="dxa"/>
              <w:left w:w="15" w:type="dxa"/>
              <w:bottom w:w="0" w:type="dxa"/>
              <w:right w:w="15" w:type="dxa"/>
            </w:tcMar>
            <w:hideMark/>
          </w:tcPr>
          <w:p w14:paraId="6AE17459" w14:textId="77777777" w:rsidR="00C0481F" w:rsidRPr="00C0481F" w:rsidRDefault="00C0481F" w:rsidP="00EB1662">
            <w:pPr>
              <w:pStyle w:val="ListParagraph"/>
              <w:ind w:left="360"/>
              <w:rPr>
                <w:rFonts w:ascii="Calibri" w:hAnsi="Calibri" w:cs="Calibri"/>
              </w:rPr>
            </w:pPr>
            <w:r w:rsidRPr="00C0481F">
              <w:rPr>
                <w:rFonts w:ascii="Calibri" w:hAnsi="Calibri" w:cs="Calibri"/>
              </w:rPr>
              <w:t>Annualized Loss Expectancy (ALE):</w:t>
            </w:r>
            <w:r w:rsidRPr="00C0481F">
              <w:rPr>
                <w:rFonts w:ascii="Calibri" w:hAnsi="Calibri" w:cs="Calibri"/>
              </w:rPr>
              <w:tab/>
              <w:t>= SLE*ARO</w:t>
            </w:r>
          </w:p>
        </w:tc>
        <w:tc>
          <w:tcPr>
            <w:tcW w:w="1530" w:type="dxa"/>
            <w:tcBorders>
              <w:top w:val="single" w:sz="12" w:space="0" w:color="000000"/>
              <w:left w:val="single" w:sz="12" w:space="0" w:color="000000"/>
              <w:bottom w:val="single" w:sz="12" w:space="0" w:color="000000"/>
              <w:right w:val="single" w:sz="12" w:space="0" w:color="000000"/>
            </w:tcBorders>
            <w:shd w:val="clear" w:color="auto" w:fill="D9D9D9"/>
            <w:tcMar>
              <w:top w:w="9" w:type="dxa"/>
              <w:left w:w="15" w:type="dxa"/>
              <w:bottom w:w="0" w:type="dxa"/>
              <w:right w:w="15" w:type="dxa"/>
            </w:tcMar>
          </w:tcPr>
          <w:p w14:paraId="66396002" w14:textId="4B7F0CDA" w:rsidR="00C0481F" w:rsidRPr="00C0481F" w:rsidRDefault="00A27AE4" w:rsidP="00C0481F">
            <w:pPr>
              <w:pStyle w:val="ListParagraph"/>
              <w:ind w:left="360"/>
              <w:jc w:val="both"/>
              <w:rPr>
                <w:rFonts w:ascii="Calibri" w:hAnsi="Calibri" w:cs="Calibri"/>
              </w:rPr>
            </w:pPr>
            <w:r>
              <w:rPr>
                <w:rFonts w:ascii="Calibri" w:hAnsi="Calibri" w:cs="Calibri"/>
              </w:rPr>
              <w:t>100,000</w:t>
            </w:r>
          </w:p>
        </w:tc>
        <w:tc>
          <w:tcPr>
            <w:tcW w:w="1710" w:type="dxa"/>
            <w:tcBorders>
              <w:top w:val="single" w:sz="12" w:space="0" w:color="000000"/>
              <w:left w:val="single" w:sz="12" w:space="0" w:color="000000"/>
              <w:bottom w:val="single" w:sz="12" w:space="0" w:color="000000"/>
              <w:right w:val="single" w:sz="12" w:space="0" w:color="000000"/>
            </w:tcBorders>
            <w:shd w:val="clear" w:color="auto" w:fill="D9D9D9"/>
            <w:tcMar>
              <w:top w:w="9" w:type="dxa"/>
              <w:left w:w="15" w:type="dxa"/>
              <w:bottom w:w="0" w:type="dxa"/>
              <w:right w:w="15" w:type="dxa"/>
            </w:tcMar>
          </w:tcPr>
          <w:p w14:paraId="4225194C" w14:textId="18D3582C" w:rsidR="00C0481F" w:rsidRPr="00C0481F" w:rsidRDefault="00B82359" w:rsidP="00C0481F">
            <w:pPr>
              <w:pStyle w:val="ListParagraph"/>
              <w:ind w:left="360"/>
              <w:jc w:val="both"/>
              <w:rPr>
                <w:rFonts w:ascii="Calibri" w:hAnsi="Calibri" w:cs="Calibri"/>
              </w:rPr>
            </w:pPr>
            <w:r>
              <w:rPr>
                <w:rFonts w:ascii="Calibri" w:hAnsi="Calibri" w:cs="Calibri"/>
              </w:rPr>
              <w:t>40,000</w:t>
            </w:r>
          </w:p>
        </w:tc>
        <w:tc>
          <w:tcPr>
            <w:tcW w:w="1980" w:type="dxa"/>
            <w:tcBorders>
              <w:top w:val="single" w:sz="12" w:space="0" w:color="000000"/>
              <w:left w:val="single" w:sz="12" w:space="0" w:color="000000"/>
              <w:bottom w:val="single" w:sz="12" w:space="0" w:color="000000"/>
              <w:right w:val="single" w:sz="12" w:space="0" w:color="000000"/>
            </w:tcBorders>
            <w:shd w:val="clear" w:color="auto" w:fill="D9D9D9"/>
            <w:tcMar>
              <w:top w:w="9" w:type="dxa"/>
              <w:left w:w="15" w:type="dxa"/>
              <w:bottom w:w="0" w:type="dxa"/>
              <w:right w:w="15" w:type="dxa"/>
            </w:tcMar>
          </w:tcPr>
          <w:p w14:paraId="24485A05" w14:textId="60BC6EAB" w:rsidR="00C0481F" w:rsidRPr="00C0481F" w:rsidRDefault="00B82359" w:rsidP="00C0481F">
            <w:pPr>
              <w:pStyle w:val="ListParagraph"/>
              <w:ind w:left="360"/>
              <w:jc w:val="both"/>
              <w:rPr>
                <w:rFonts w:ascii="Calibri" w:hAnsi="Calibri" w:cs="Calibri"/>
              </w:rPr>
            </w:pPr>
            <w:r>
              <w:rPr>
                <w:rFonts w:ascii="Calibri" w:hAnsi="Calibri" w:cs="Calibri"/>
              </w:rPr>
              <w:t>35,000</w:t>
            </w:r>
          </w:p>
        </w:tc>
      </w:tr>
      <w:tr w:rsidR="00EB1662" w:rsidRPr="00C0481F" w14:paraId="7115BEF7" w14:textId="77777777" w:rsidTr="00EB1662">
        <w:trPr>
          <w:trHeight w:val="771"/>
        </w:trPr>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hideMark/>
          </w:tcPr>
          <w:p w14:paraId="7C10F71F" w14:textId="77777777" w:rsidR="00C0481F" w:rsidRPr="00C0481F" w:rsidRDefault="00C0481F" w:rsidP="00EB1662">
            <w:pPr>
              <w:pStyle w:val="ListParagraph"/>
              <w:ind w:left="360"/>
              <w:rPr>
                <w:rFonts w:ascii="Calibri" w:hAnsi="Calibri" w:cs="Calibri"/>
              </w:rPr>
            </w:pPr>
            <w:r w:rsidRPr="00C0481F">
              <w:rPr>
                <w:rFonts w:ascii="Calibri" w:hAnsi="Calibri" w:cs="Calibri"/>
              </w:rPr>
              <w:t>ALE Reduction for Countermeasure</w:t>
            </w:r>
          </w:p>
        </w:tc>
        <w:tc>
          <w:tcPr>
            <w:tcW w:w="153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hideMark/>
          </w:tcPr>
          <w:p w14:paraId="31E55454" w14:textId="77777777" w:rsidR="00C0481F" w:rsidRPr="00C0481F" w:rsidRDefault="00C0481F" w:rsidP="00C0481F">
            <w:pPr>
              <w:pStyle w:val="ListParagraph"/>
              <w:ind w:left="360"/>
              <w:jc w:val="both"/>
              <w:rPr>
                <w:rFonts w:ascii="Calibri" w:hAnsi="Calibri" w:cs="Calibri"/>
              </w:rPr>
            </w:pPr>
            <w:r w:rsidRPr="00C0481F">
              <w:rPr>
                <w:rFonts w:ascii="Calibri" w:hAnsi="Calibri" w:cs="Calibri"/>
              </w:rPr>
              <w:t>NA</w:t>
            </w:r>
          </w:p>
        </w:tc>
        <w:tc>
          <w:tcPr>
            <w:tcW w:w="171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tcPr>
          <w:p w14:paraId="45E0DBEE" w14:textId="14A79A43" w:rsidR="00C0481F" w:rsidRPr="00C0481F" w:rsidRDefault="00B82359" w:rsidP="00C0481F">
            <w:pPr>
              <w:pStyle w:val="ListParagraph"/>
              <w:ind w:left="360"/>
              <w:jc w:val="both"/>
              <w:rPr>
                <w:rFonts w:ascii="Calibri" w:hAnsi="Calibri" w:cs="Calibri"/>
              </w:rPr>
            </w:pPr>
            <w:r>
              <w:rPr>
                <w:rFonts w:ascii="Calibri" w:hAnsi="Calibri" w:cs="Calibri"/>
              </w:rPr>
              <w:t>60,000</w:t>
            </w:r>
          </w:p>
        </w:tc>
        <w:tc>
          <w:tcPr>
            <w:tcW w:w="198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tcPr>
          <w:p w14:paraId="5E6202E4" w14:textId="1C94ADEC" w:rsidR="00C0481F" w:rsidRPr="00C0481F" w:rsidRDefault="00925EEE" w:rsidP="00C0481F">
            <w:pPr>
              <w:pStyle w:val="ListParagraph"/>
              <w:ind w:left="360"/>
              <w:jc w:val="both"/>
              <w:rPr>
                <w:rFonts w:ascii="Calibri" w:hAnsi="Calibri" w:cs="Calibri"/>
              </w:rPr>
            </w:pPr>
            <w:r>
              <w:rPr>
                <w:rFonts w:ascii="Calibri" w:hAnsi="Calibri" w:cs="Calibri"/>
              </w:rPr>
              <w:t>65,000</w:t>
            </w:r>
          </w:p>
        </w:tc>
      </w:tr>
      <w:tr w:rsidR="00EB1662" w:rsidRPr="00C0481F" w14:paraId="31F47916" w14:textId="77777777" w:rsidTr="00EB1662">
        <w:trPr>
          <w:trHeight w:val="413"/>
        </w:trPr>
        <w:tc>
          <w:tcPr>
            <w:tcW w:w="378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hideMark/>
          </w:tcPr>
          <w:p w14:paraId="6A4BF746" w14:textId="77777777" w:rsidR="00C0481F" w:rsidRPr="00C0481F" w:rsidRDefault="00C0481F" w:rsidP="00EB1662">
            <w:pPr>
              <w:pStyle w:val="ListParagraph"/>
              <w:ind w:left="360"/>
              <w:rPr>
                <w:rFonts w:ascii="Calibri" w:hAnsi="Calibri" w:cs="Calibri"/>
              </w:rPr>
            </w:pPr>
            <w:r w:rsidRPr="00C0481F">
              <w:rPr>
                <w:rFonts w:ascii="Calibri" w:hAnsi="Calibri" w:cs="Calibri"/>
              </w:rPr>
              <w:t>Annualized Countermeasure Cost</w:t>
            </w:r>
          </w:p>
        </w:tc>
        <w:tc>
          <w:tcPr>
            <w:tcW w:w="1530" w:type="dxa"/>
            <w:tcBorders>
              <w:top w:val="single" w:sz="12" w:space="0" w:color="000000"/>
              <w:left w:val="single" w:sz="12" w:space="0" w:color="000000"/>
              <w:bottom w:val="single" w:sz="12" w:space="0" w:color="000000"/>
              <w:right w:val="single" w:sz="12" w:space="0" w:color="000000"/>
            </w:tcBorders>
            <w:shd w:val="clear" w:color="auto" w:fill="D9D9D9"/>
            <w:tcMar>
              <w:top w:w="367" w:type="dxa"/>
              <w:left w:w="15" w:type="dxa"/>
              <w:bottom w:w="0" w:type="dxa"/>
              <w:right w:w="15" w:type="dxa"/>
            </w:tcMar>
            <w:hideMark/>
          </w:tcPr>
          <w:p w14:paraId="7F5A27D8" w14:textId="77777777" w:rsidR="00C0481F" w:rsidRPr="00C0481F" w:rsidRDefault="00C0481F" w:rsidP="00C0481F">
            <w:pPr>
              <w:pStyle w:val="ListParagraph"/>
              <w:ind w:left="360"/>
              <w:jc w:val="both"/>
              <w:rPr>
                <w:rFonts w:ascii="Calibri" w:hAnsi="Calibri" w:cs="Calibri"/>
              </w:rPr>
            </w:pPr>
            <w:r w:rsidRPr="00C0481F">
              <w:rPr>
                <w:rFonts w:ascii="Calibri" w:hAnsi="Calibri" w:cs="Calibri"/>
              </w:rPr>
              <w:t>NA</w:t>
            </w:r>
          </w:p>
        </w:tc>
        <w:tc>
          <w:tcPr>
            <w:tcW w:w="1710" w:type="dxa"/>
            <w:tcBorders>
              <w:top w:val="single" w:sz="12" w:space="0" w:color="000000"/>
              <w:left w:val="single" w:sz="12" w:space="0" w:color="000000"/>
              <w:bottom w:val="single" w:sz="12" w:space="0" w:color="000000"/>
              <w:right w:val="single" w:sz="12" w:space="0" w:color="000000"/>
            </w:tcBorders>
            <w:shd w:val="clear" w:color="auto" w:fill="B5E9F4"/>
            <w:tcMar>
              <w:top w:w="367" w:type="dxa"/>
              <w:left w:w="15" w:type="dxa"/>
              <w:bottom w:w="0" w:type="dxa"/>
              <w:right w:w="15" w:type="dxa"/>
            </w:tcMar>
          </w:tcPr>
          <w:p w14:paraId="40B78D7E" w14:textId="43CDE6B9" w:rsidR="00C0481F" w:rsidRPr="00C0481F" w:rsidRDefault="005872B8" w:rsidP="00C0481F">
            <w:pPr>
              <w:pStyle w:val="ListParagraph"/>
              <w:ind w:left="360"/>
              <w:jc w:val="both"/>
              <w:rPr>
                <w:rFonts w:ascii="Calibri" w:hAnsi="Calibri" w:cs="Calibri"/>
              </w:rPr>
            </w:pPr>
            <w:r>
              <w:rPr>
                <w:rFonts w:ascii="Calibri" w:hAnsi="Calibri" w:cs="Calibri"/>
              </w:rPr>
              <w:t>10,000</w:t>
            </w:r>
          </w:p>
        </w:tc>
        <w:tc>
          <w:tcPr>
            <w:tcW w:w="1980" w:type="dxa"/>
            <w:tcBorders>
              <w:top w:val="single" w:sz="12" w:space="0" w:color="000000"/>
              <w:left w:val="single" w:sz="12" w:space="0" w:color="000000"/>
              <w:bottom w:val="single" w:sz="12" w:space="0" w:color="000000"/>
              <w:right w:val="single" w:sz="12" w:space="0" w:color="000000"/>
            </w:tcBorders>
            <w:shd w:val="clear" w:color="auto" w:fill="B5E9F4"/>
            <w:tcMar>
              <w:top w:w="367" w:type="dxa"/>
              <w:left w:w="15" w:type="dxa"/>
              <w:bottom w:w="0" w:type="dxa"/>
              <w:right w:w="15" w:type="dxa"/>
            </w:tcMar>
          </w:tcPr>
          <w:p w14:paraId="5CBBF6B6" w14:textId="51597D9C" w:rsidR="00C0481F" w:rsidRPr="00C0481F" w:rsidRDefault="005872B8" w:rsidP="00C0481F">
            <w:pPr>
              <w:pStyle w:val="ListParagraph"/>
              <w:ind w:left="360"/>
              <w:jc w:val="both"/>
              <w:rPr>
                <w:rFonts w:ascii="Calibri" w:hAnsi="Calibri" w:cs="Calibri"/>
              </w:rPr>
            </w:pPr>
            <w:r>
              <w:rPr>
                <w:rFonts w:ascii="Calibri" w:hAnsi="Calibri" w:cs="Calibri"/>
              </w:rPr>
              <w:t>15,000</w:t>
            </w:r>
          </w:p>
        </w:tc>
      </w:tr>
      <w:tr w:rsidR="00EB1662" w:rsidRPr="00C0481F" w14:paraId="18C37FE8" w14:textId="77777777" w:rsidTr="00EB1662">
        <w:trPr>
          <w:trHeight w:val="519"/>
        </w:trPr>
        <w:tc>
          <w:tcPr>
            <w:tcW w:w="3780" w:type="dxa"/>
            <w:tcBorders>
              <w:top w:val="single" w:sz="12" w:space="0" w:color="000000"/>
              <w:left w:val="single" w:sz="12" w:space="0" w:color="000000"/>
              <w:bottom w:val="single" w:sz="12" w:space="0" w:color="000000"/>
              <w:right w:val="single" w:sz="12" w:space="0" w:color="000000"/>
            </w:tcBorders>
            <w:shd w:val="clear" w:color="auto" w:fill="auto"/>
            <w:tcMar>
              <w:top w:w="6" w:type="dxa"/>
              <w:left w:w="15" w:type="dxa"/>
              <w:bottom w:w="0" w:type="dxa"/>
              <w:right w:w="15" w:type="dxa"/>
            </w:tcMar>
            <w:hideMark/>
          </w:tcPr>
          <w:p w14:paraId="0AD61A16" w14:textId="77777777" w:rsidR="00C0481F" w:rsidRPr="00C0481F" w:rsidRDefault="00C0481F" w:rsidP="00EB1662">
            <w:pPr>
              <w:pStyle w:val="ListParagraph"/>
              <w:ind w:left="360"/>
              <w:rPr>
                <w:rFonts w:ascii="Calibri" w:hAnsi="Calibri" w:cs="Calibri"/>
              </w:rPr>
            </w:pPr>
            <w:r w:rsidRPr="00C0481F">
              <w:rPr>
                <w:rFonts w:ascii="Calibri" w:hAnsi="Calibri" w:cs="Calibri"/>
              </w:rPr>
              <w:t>Annualized Net Countermeasure Value</w:t>
            </w:r>
          </w:p>
        </w:tc>
        <w:tc>
          <w:tcPr>
            <w:tcW w:w="1530" w:type="dxa"/>
            <w:tcBorders>
              <w:top w:val="single" w:sz="12" w:space="0" w:color="000000"/>
              <w:left w:val="single" w:sz="12" w:space="0" w:color="000000"/>
              <w:bottom w:val="single" w:sz="12" w:space="0" w:color="000000"/>
              <w:right w:val="single" w:sz="12" w:space="0" w:color="000000"/>
            </w:tcBorders>
            <w:shd w:val="clear" w:color="auto" w:fill="auto"/>
            <w:tcMar>
              <w:top w:w="9" w:type="dxa"/>
              <w:left w:w="15" w:type="dxa"/>
              <w:bottom w:w="0" w:type="dxa"/>
              <w:right w:w="15" w:type="dxa"/>
            </w:tcMar>
            <w:hideMark/>
          </w:tcPr>
          <w:p w14:paraId="52B37058" w14:textId="77777777" w:rsidR="00C0481F" w:rsidRPr="00C0481F" w:rsidRDefault="00C0481F" w:rsidP="00C0481F">
            <w:pPr>
              <w:pStyle w:val="ListParagraph"/>
              <w:ind w:left="360"/>
              <w:jc w:val="both"/>
              <w:rPr>
                <w:rFonts w:ascii="Calibri" w:hAnsi="Calibri" w:cs="Calibri"/>
              </w:rPr>
            </w:pPr>
            <w:r w:rsidRPr="00C0481F">
              <w:rPr>
                <w:rFonts w:ascii="Calibri" w:hAnsi="Calibri" w:cs="Calibri"/>
              </w:rPr>
              <w:t>NA</w:t>
            </w:r>
          </w:p>
        </w:tc>
        <w:tc>
          <w:tcPr>
            <w:tcW w:w="1710" w:type="dxa"/>
            <w:tcBorders>
              <w:top w:val="single" w:sz="12" w:space="0" w:color="000000"/>
              <w:left w:val="single" w:sz="12" w:space="0" w:color="000000"/>
              <w:bottom w:val="single" w:sz="12" w:space="0" w:color="000000"/>
              <w:right w:val="single" w:sz="12" w:space="0" w:color="000000"/>
            </w:tcBorders>
            <w:shd w:val="clear" w:color="auto" w:fill="B5E9F4"/>
            <w:tcMar>
              <w:top w:w="9" w:type="dxa"/>
              <w:left w:w="15" w:type="dxa"/>
              <w:bottom w:w="0" w:type="dxa"/>
              <w:right w:w="15" w:type="dxa"/>
            </w:tcMar>
          </w:tcPr>
          <w:p w14:paraId="48E9BC35" w14:textId="4E3507E6" w:rsidR="00C0481F" w:rsidRPr="00C0481F" w:rsidRDefault="00925EEE" w:rsidP="00C0481F">
            <w:pPr>
              <w:pStyle w:val="ListParagraph"/>
              <w:ind w:left="360"/>
              <w:jc w:val="both"/>
              <w:rPr>
                <w:rFonts w:ascii="Calibri" w:hAnsi="Calibri" w:cs="Calibri"/>
              </w:rPr>
            </w:pPr>
            <w:r>
              <w:rPr>
                <w:rFonts w:ascii="Calibri" w:hAnsi="Calibri" w:cs="Calibri"/>
              </w:rPr>
              <w:t>50,000</w:t>
            </w:r>
          </w:p>
        </w:tc>
        <w:tc>
          <w:tcPr>
            <w:tcW w:w="1980" w:type="dxa"/>
            <w:tcBorders>
              <w:top w:val="single" w:sz="12" w:space="0" w:color="000000"/>
              <w:left w:val="single" w:sz="12" w:space="0" w:color="000000"/>
              <w:bottom w:val="single" w:sz="12" w:space="0" w:color="000000"/>
              <w:right w:val="single" w:sz="12" w:space="0" w:color="000000"/>
            </w:tcBorders>
            <w:shd w:val="clear" w:color="auto" w:fill="B5E9F4"/>
            <w:tcMar>
              <w:top w:w="9" w:type="dxa"/>
              <w:left w:w="15" w:type="dxa"/>
              <w:bottom w:w="0" w:type="dxa"/>
              <w:right w:w="15" w:type="dxa"/>
            </w:tcMar>
          </w:tcPr>
          <w:p w14:paraId="49E607BB" w14:textId="0E34CCE8" w:rsidR="00C0481F" w:rsidRPr="00C0481F" w:rsidRDefault="001B38C8" w:rsidP="00C0481F">
            <w:pPr>
              <w:pStyle w:val="ListParagraph"/>
              <w:ind w:left="360"/>
              <w:jc w:val="both"/>
              <w:rPr>
                <w:rFonts w:ascii="Calibri" w:hAnsi="Calibri" w:cs="Calibri"/>
              </w:rPr>
            </w:pPr>
            <w:r>
              <w:rPr>
                <w:rFonts w:ascii="Calibri" w:hAnsi="Calibri" w:cs="Calibri"/>
              </w:rPr>
              <w:t>50,000</w:t>
            </w:r>
          </w:p>
        </w:tc>
      </w:tr>
    </w:tbl>
    <w:p w14:paraId="666C4329" w14:textId="3BD9DC83" w:rsidR="00157E1E" w:rsidRDefault="00BD7EAA" w:rsidP="00652DE5">
      <w:pPr>
        <w:pStyle w:val="ListParagraph"/>
        <w:ind w:left="360"/>
        <w:jc w:val="both"/>
        <w:rPr>
          <w:rFonts w:ascii="Calibri" w:hAnsi="Calibri" w:cs="Calibri"/>
        </w:rPr>
      </w:pPr>
      <w:r w:rsidRPr="00F07BDF">
        <w:rPr>
          <w:rFonts w:ascii="Calibri" w:hAnsi="Calibri" w:cs="Calibri"/>
        </w:rPr>
        <w:t>Based on the analysis, would you accept, avoid, reduce, or transfer risk?</w:t>
      </w:r>
    </w:p>
    <w:p w14:paraId="3E3BDFF3" w14:textId="1D41A98D" w:rsidR="00BD7EAA" w:rsidRPr="000A1B06" w:rsidRDefault="000A1B06" w:rsidP="00652DE5">
      <w:pPr>
        <w:pStyle w:val="ListParagraph"/>
        <w:ind w:left="360"/>
        <w:jc w:val="both"/>
        <w:rPr>
          <w:rFonts w:ascii="Calibri" w:hAnsi="Calibri" w:cs="Calibri"/>
          <w:color w:val="FF0000"/>
        </w:rPr>
      </w:pPr>
      <w:r>
        <w:rPr>
          <w:rFonts w:ascii="Calibri" w:hAnsi="Calibri" w:cs="Calibri"/>
          <w:color w:val="FF0000"/>
        </w:rPr>
        <w:t xml:space="preserve">I would reduce the risk. </w:t>
      </w:r>
    </w:p>
    <w:p w14:paraId="63C7AC27" w14:textId="745AE0D4" w:rsidR="00442D73" w:rsidRDefault="00420FC5" w:rsidP="00420FC5">
      <w:pPr>
        <w:pStyle w:val="ListParagraph"/>
        <w:numPr>
          <w:ilvl w:val="0"/>
          <w:numId w:val="4"/>
        </w:numPr>
        <w:jc w:val="both"/>
        <w:rPr>
          <w:rFonts w:ascii="Calibri" w:hAnsi="Calibri" w:cs="Calibri"/>
        </w:rPr>
      </w:pPr>
      <w:r w:rsidRPr="00420FC5">
        <w:rPr>
          <w:rFonts w:ascii="Calibri" w:hAnsi="Calibri" w:cs="Calibri"/>
        </w:rPr>
        <w:t>You work for an educational technology company that developed an application to help teachers automatically grade assignments. The application handles a wide range of data that it collects from academic institutions, instructors, parents, and students.</w:t>
      </w:r>
      <w:r>
        <w:rPr>
          <w:rFonts w:ascii="Calibri" w:hAnsi="Calibri" w:cs="Calibri"/>
        </w:rPr>
        <w:t xml:space="preserve"> </w:t>
      </w:r>
    </w:p>
    <w:p w14:paraId="39A4080C" w14:textId="2AC71790" w:rsidR="00C4490A" w:rsidRPr="00AE5B34" w:rsidRDefault="00420FC5" w:rsidP="00AE5B34">
      <w:pPr>
        <w:pStyle w:val="ListParagraph"/>
        <w:ind w:left="360"/>
        <w:jc w:val="both"/>
        <w:rPr>
          <w:rFonts w:ascii="Calibri" w:hAnsi="Calibri" w:cs="Calibri"/>
        </w:rPr>
      </w:pPr>
      <w:r w:rsidRPr="00420FC5">
        <w:rPr>
          <w:rFonts w:ascii="Calibri" w:hAnsi="Calibri" w:cs="Calibri"/>
        </w:rPr>
        <w:t xml:space="preserve">Your team was alerted to a data leak of internal business plans on social media. An investigation by the team discovered that an employee accidentally shared those confidential </w:t>
      </w:r>
      <w:r w:rsidRPr="00420FC5">
        <w:rPr>
          <w:rFonts w:ascii="Calibri" w:hAnsi="Calibri" w:cs="Calibri"/>
        </w:rPr>
        <w:lastRenderedPageBreak/>
        <w:t xml:space="preserve">documents with an external business partner. </w:t>
      </w:r>
      <w:r w:rsidR="00B359AE">
        <w:rPr>
          <w:rFonts w:ascii="Calibri" w:hAnsi="Calibri" w:cs="Calibri"/>
        </w:rPr>
        <w:t>More specifically, a</w:t>
      </w:r>
      <w:r w:rsidR="00C4490A" w:rsidRPr="00AE5B34">
        <w:rPr>
          <w:rFonts w:ascii="Calibri" w:hAnsi="Calibri" w:cs="Calibri"/>
        </w:rPr>
        <w:t xml:space="preserve"> customer success representative received access to a folder of internal documents from a manager. It contained files associated with a new product offering, including customer analytics and marketing materials. The manager forgot to </w:t>
      </w:r>
      <w:proofErr w:type="spellStart"/>
      <w:r w:rsidR="00C4490A" w:rsidRPr="00AE5B34">
        <w:rPr>
          <w:rFonts w:ascii="Calibri" w:hAnsi="Calibri" w:cs="Calibri"/>
        </w:rPr>
        <w:t>unshare</w:t>
      </w:r>
      <w:proofErr w:type="spellEnd"/>
      <w:r w:rsidR="00C4490A" w:rsidRPr="00AE5B34">
        <w:rPr>
          <w:rFonts w:ascii="Calibri" w:hAnsi="Calibri" w:cs="Calibri"/>
        </w:rPr>
        <w:t xml:space="preserve"> the folder. Later, the representative copied a link to the marketing materials to share with a business partner during a sales call. Instead, the representative shared a link to the entire folder. During the sales call, the business partner received the link to internal documents and posted it to their social media</w:t>
      </w:r>
      <w:r w:rsidR="009C0367">
        <w:rPr>
          <w:rFonts w:ascii="Calibri" w:hAnsi="Calibri" w:cs="Calibri"/>
        </w:rPr>
        <w:t>.</w:t>
      </w:r>
    </w:p>
    <w:p w14:paraId="55C9CC00" w14:textId="77777777" w:rsidR="00C4490A" w:rsidRDefault="00C4490A" w:rsidP="00442D73">
      <w:pPr>
        <w:pStyle w:val="ListParagraph"/>
        <w:ind w:left="360"/>
        <w:jc w:val="both"/>
        <w:rPr>
          <w:rFonts w:ascii="Calibri" w:hAnsi="Calibri" w:cs="Calibri"/>
        </w:rPr>
      </w:pPr>
    </w:p>
    <w:p w14:paraId="06F31113" w14:textId="096767AC" w:rsidR="00420FC5" w:rsidRPr="00B359AE" w:rsidRDefault="00420FC5" w:rsidP="00B359AE">
      <w:pPr>
        <w:pStyle w:val="ListParagraph"/>
        <w:ind w:left="360"/>
        <w:jc w:val="both"/>
        <w:rPr>
          <w:rFonts w:ascii="Calibri" w:hAnsi="Calibri" w:cs="Calibri"/>
        </w:rPr>
      </w:pPr>
      <w:r w:rsidRPr="00420FC5">
        <w:rPr>
          <w:rFonts w:ascii="Calibri" w:hAnsi="Calibri" w:cs="Calibri"/>
        </w:rPr>
        <w:t>You have been asked to analyze the situation and find ways to prevent it from happening again.</w:t>
      </w:r>
    </w:p>
    <w:p w14:paraId="7D3D5EA4" w14:textId="77777777" w:rsidR="009C0367" w:rsidRDefault="00B359AE" w:rsidP="009C0367">
      <w:pPr>
        <w:pStyle w:val="ListParagraph"/>
        <w:numPr>
          <w:ilvl w:val="1"/>
          <w:numId w:val="4"/>
        </w:numPr>
        <w:rPr>
          <w:rFonts w:ascii="Calibri" w:hAnsi="Calibri" w:cs="Calibri"/>
        </w:rPr>
      </w:pPr>
      <w:r w:rsidRPr="009C0367">
        <w:rPr>
          <w:rFonts w:ascii="Calibri" w:hAnsi="Calibri" w:cs="Calibri"/>
        </w:rPr>
        <w:t xml:space="preserve">Write </w:t>
      </w:r>
      <w:r w:rsidR="00B84387" w:rsidRPr="009C0367">
        <w:rPr>
          <w:rFonts w:ascii="Calibri" w:hAnsi="Calibri" w:cs="Calibri"/>
        </w:rPr>
        <w:t>2-3 sentences analyzing the factors that led to the incident</w:t>
      </w:r>
    </w:p>
    <w:p w14:paraId="6022B336" w14:textId="79549876" w:rsidR="009B7D7D" w:rsidRPr="009B7D7D" w:rsidRDefault="009B7D7D" w:rsidP="009B7D7D">
      <w:pPr>
        <w:pStyle w:val="ListParagraph"/>
        <w:ind w:left="1080"/>
        <w:rPr>
          <w:rFonts w:ascii="Calibri" w:hAnsi="Calibri" w:cs="Calibri"/>
          <w:color w:val="FF0000"/>
        </w:rPr>
      </w:pPr>
      <w:r>
        <w:rPr>
          <w:rFonts w:ascii="Calibri" w:hAnsi="Calibri" w:cs="Calibri"/>
          <w:color w:val="FF0000"/>
        </w:rPr>
        <w:t xml:space="preserve">The folder containing </w:t>
      </w:r>
      <w:proofErr w:type="gramStart"/>
      <w:r>
        <w:rPr>
          <w:rFonts w:ascii="Calibri" w:hAnsi="Calibri" w:cs="Calibri"/>
          <w:color w:val="FF0000"/>
        </w:rPr>
        <w:t>all of</w:t>
      </w:r>
      <w:proofErr w:type="gramEnd"/>
      <w:r>
        <w:rPr>
          <w:rFonts w:ascii="Calibri" w:hAnsi="Calibri" w:cs="Calibri"/>
          <w:color w:val="FF0000"/>
        </w:rPr>
        <w:t xml:space="preserve"> the files associated with a new product offering was not securely contained and did not use proper access controls. Another factor that led to this incident was human-made mistakes due to the representative accidently sharing the wrong link.</w:t>
      </w:r>
    </w:p>
    <w:p w14:paraId="17826C2F" w14:textId="66ADE393" w:rsidR="009C0367" w:rsidRDefault="00174472" w:rsidP="009C0367">
      <w:pPr>
        <w:pStyle w:val="ListParagraph"/>
        <w:numPr>
          <w:ilvl w:val="1"/>
          <w:numId w:val="4"/>
        </w:numPr>
        <w:rPr>
          <w:rFonts w:ascii="Calibri" w:hAnsi="Calibri" w:cs="Calibri"/>
        </w:rPr>
      </w:pPr>
      <w:r w:rsidRPr="009C0367">
        <w:rPr>
          <w:rFonts w:ascii="Calibri" w:hAnsi="Calibri" w:cs="Calibri"/>
        </w:rPr>
        <w:t xml:space="preserve">Go through </w:t>
      </w:r>
      <w:hyperlink r:id="rId5" w:history="1">
        <w:r w:rsidRPr="009C0367">
          <w:rPr>
            <w:rStyle w:val="Hyperlink"/>
            <w:rFonts w:ascii="Calibri" w:hAnsi="Calibri" w:cs="Calibri"/>
          </w:rPr>
          <w:t>NIST SP 800-53: AC-6</w:t>
        </w:r>
      </w:hyperlink>
      <w:r w:rsidR="00E947B9">
        <w:t xml:space="preserve"> (page 63-65)</w:t>
      </w:r>
      <w:r w:rsidRPr="009C0367">
        <w:rPr>
          <w:rFonts w:ascii="Calibri" w:hAnsi="Calibri" w:cs="Calibri"/>
        </w:rPr>
        <w:t xml:space="preserve">. </w:t>
      </w:r>
      <w:r w:rsidR="00B359AE" w:rsidRPr="009C0367">
        <w:rPr>
          <w:rFonts w:ascii="Calibri" w:hAnsi="Calibri" w:cs="Calibri"/>
        </w:rPr>
        <w:t xml:space="preserve">Write </w:t>
      </w:r>
      <w:r w:rsidR="00B84387" w:rsidRPr="009C0367">
        <w:rPr>
          <w:rFonts w:ascii="Calibri" w:hAnsi="Calibri" w:cs="Calibri"/>
        </w:rPr>
        <w:t>2-3 sentences</w:t>
      </w:r>
      <w:r w:rsidRPr="009C0367">
        <w:rPr>
          <w:rFonts w:ascii="Calibri" w:hAnsi="Calibri" w:cs="Calibri"/>
        </w:rPr>
        <w:t xml:space="preserve"> to summarize </w:t>
      </w:r>
      <w:r w:rsidR="009C0367" w:rsidRPr="009C0367">
        <w:rPr>
          <w:rFonts w:ascii="Calibri" w:hAnsi="Calibri" w:cs="Calibri"/>
        </w:rPr>
        <w:t>this section</w:t>
      </w:r>
      <w:r w:rsidRPr="009C0367">
        <w:rPr>
          <w:rFonts w:ascii="Calibri" w:hAnsi="Calibri" w:cs="Calibri"/>
        </w:rPr>
        <w:t>.</w:t>
      </w:r>
    </w:p>
    <w:p w14:paraId="1F40586A" w14:textId="3B330EA7" w:rsidR="009B7D7D" w:rsidRPr="00B90406" w:rsidRDefault="00B90406" w:rsidP="009B7D7D">
      <w:pPr>
        <w:pStyle w:val="ListParagraph"/>
        <w:ind w:left="1080"/>
        <w:rPr>
          <w:rFonts w:ascii="Calibri" w:hAnsi="Calibri" w:cs="Calibri"/>
          <w:color w:val="FF0000"/>
        </w:rPr>
      </w:pPr>
      <w:r>
        <w:rPr>
          <w:rFonts w:ascii="Calibri" w:hAnsi="Calibri" w:cs="Calibri"/>
          <w:color w:val="FF0000"/>
        </w:rPr>
        <w:t>This section describes the different ways that a company can go about having training towards different security risk areas within the business to have a more secure and planned process when it comes to security breaches or attacks. This section also talks about how to create policies and procedures and the importance of them to keep the business and business information secure.</w:t>
      </w:r>
    </w:p>
    <w:p w14:paraId="31D0F820" w14:textId="77777777" w:rsidR="009C0367" w:rsidRDefault="00B359AE" w:rsidP="009C0367">
      <w:pPr>
        <w:pStyle w:val="ListParagraph"/>
        <w:numPr>
          <w:ilvl w:val="1"/>
          <w:numId w:val="4"/>
        </w:numPr>
        <w:rPr>
          <w:rFonts w:ascii="Calibri" w:hAnsi="Calibri" w:cs="Calibri"/>
        </w:rPr>
      </w:pPr>
      <w:r w:rsidRPr="009C0367">
        <w:rPr>
          <w:rFonts w:ascii="Calibri" w:hAnsi="Calibri" w:cs="Calibri"/>
        </w:rPr>
        <w:t xml:space="preserve">Recommend </w:t>
      </w:r>
      <w:r w:rsidR="00B84387" w:rsidRPr="009C0367">
        <w:rPr>
          <w:rFonts w:ascii="Calibri" w:hAnsi="Calibri" w:cs="Calibri"/>
        </w:rPr>
        <w:t xml:space="preserve">2 control enhancement </w:t>
      </w:r>
      <w:r w:rsidR="00D031F0" w:rsidRPr="009C0367">
        <w:rPr>
          <w:rFonts w:ascii="Calibri" w:hAnsi="Calibri" w:cs="Calibri"/>
        </w:rPr>
        <w:t>that might have prevented the data leak.</w:t>
      </w:r>
    </w:p>
    <w:p w14:paraId="33558482" w14:textId="334908DF" w:rsidR="00B90406" w:rsidRPr="00B90406" w:rsidRDefault="00B90406" w:rsidP="00B90406">
      <w:pPr>
        <w:pStyle w:val="ListParagraph"/>
        <w:ind w:left="1080"/>
        <w:rPr>
          <w:rFonts w:ascii="Calibri" w:hAnsi="Calibri" w:cs="Calibri"/>
          <w:color w:val="FF0000"/>
        </w:rPr>
      </w:pPr>
      <w:r>
        <w:rPr>
          <w:rFonts w:ascii="Calibri" w:hAnsi="Calibri" w:cs="Calibri"/>
          <w:color w:val="FF0000"/>
        </w:rPr>
        <w:t xml:space="preserve">The manager could have changed the access controls on the folder that only certain authorized members can view certain areas of the folder sent out. The representative could have made sure to double check what they were sending before it was sent out, maybe being more organized with sensitive information would have prevented the </w:t>
      </w:r>
      <w:r w:rsidR="00550664">
        <w:rPr>
          <w:rFonts w:ascii="Calibri" w:hAnsi="Calibri" w:cs="Calibri"/>
          <w:color w:val="FF0000"/>
        </w:rPr>
        <w:t>wrongful send.</w:t>
      </w:r>
    </w:p>
    <w:p w14:paraId="2B3EB668" w14:textId="0428F1CD" w:rsidR="00B84387" w:rsidRDefault="00F25DA6" w:rsidP="009C0367">
      <w:pPr>
        <w:pStyle w:val="ListParagraph"/>
        <w:numPr>
          <w:ilvl w:val="1"/>
          <w:numId w:val="4"/>
        </w:numPr>
        <w:rPr>
          <w:rFonts w:ascii="Calibri" w:hAnsi="Calibri" w:cs="Calibri"/>
        </w:rPr>
      </w:pPr>
      <w:r w:rsidRPr="009C0367">
        <w:rPr>
          <w:rFonts w:ascii="Calibri" w:hAnsi="Calibri" w:cs="Calibri"/>
        </w:rPr>
        <w:t xml:space="preserve">Write </w:t>
      </w:r>
      <w:r w:rsidR="00B84387" w:rsidRPr="009C0367">
        <w:rPr>
          <w:rFonts w:ascii="Calibri" w:hAnsi="Calibri" w:cs="Calibri"/>
        </w:rPr>
        <w:t>2-3 sentences justifying your recommendations</w:t>
      </w:r>
    </w:p>
    <w:p w14:paraId="5EC4B450" w14:textId="2F4124A9" w:rsidR="009A5F8B" w:rsidRPr="00F95F91" w:rsidRDefault="00550664" w:rsidP="00F95F91">
      <w:pPr>
        <w:pStyle w:val="ListParagraph"/>
        <w:ind w:left="1080"/>
        <w:rPr>
          <w:rFonts w:ascii="Calibri" w:hAnsi="Calibri" w:cs="Calibri"/>
          <w:color w:val="FF0000"/>
        </w:rPr>
      </w:pPr>
      <w:r>
        <w:rPr>
          <w:rFonts w:ascii="Calibri" w:hAnsi="Calibri" w:cs="Calibri"/>
          <w:color w:val="FF0000"/>
        </w:rPr>
        <w:t xml:space="preserve">With certain access controls on the folder, the users that are not specifically authorized to view the information inside the folder would not be able to get to it, keeping the data inside secure and protected. With a more organized desktop or folders to separate information based on sensitivity, it can reduce the likeliness of human-made errors and keeps the information and data more secure from slip-ups like this. </w:t>
      </w:r>
    </w:p>
    <w:sectPr w:rsidR="009A5F8B" w:rsidRPr="00F95F91" w:rsidSect="00D47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ogle San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9B6"/>
    <w:multiLevelType w:val="multilevel"/>
    <w:tmpl w:val="513032B4"/>
    <w:lvl w:ilvl="0">
      <w:start w:val="1"/>
      <w:numFmt w:val="lowerLetter"/>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8B31A5"/>
    <w:multiLevelType w:val="hybridMultilevel"/>
    <w:tmpl w:val="E29E77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4F410D"/>
    <w:multiLevelType w:val="hybridMultilevel"/>
    <w:tmpl w:val="7E981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35745"/>
    <w:multiLevelType w:val="hybridMultilevel"/>
    <w:tmpl w:val="9A2059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5BD2251"/>
    <w:multiLevelType w:val="hybridMultilevel"/>
    <w:tmpl w:val="CCD497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46428B"/>
    <w:multiLevelType w:val="multilevel"/>
    <w:tmpl w:val="0788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201437"/>
    <w:multiLevelType w:val="hybridMultilevel"/>
    <w:tmpl w:val="6900C092"/>
    <w:lvl w:ilvl="0" w:tplc="314E0864">
      <w:start w:val="1"/>
      <w:numFmt w:val="bullet"/>
      <w:lvlText w:val="•"/>
      <w:lvlJc w:val="left"/>
      <w:pPr>
        <w:tabs>
          <w:tab w:val="num" w:pos="720"/>
        </w:tabs>
        <w:ind w:left="720" w:hanging="360"/>
      </w:pPr>
      <w:rPr>
        <w:rFonts w:ascii="Arial" w:hAnsi="Arial" w:hint="default"/>
      </w:rPr>
    </w:lvl>
    <w:lvl w:ilvl="1" w:tplc="366A041C">
      <w:start w:val="1"/>
      <w:numFmt w:val="bullet"/>
      <w:lvlText w:val="•"/>
      <w:lvlJc w:val="left"/>
      <w:pPr>
        <w:tabs>
          <w:tab w:val="num" w:pos="1440"/>
        </w:tabs>
        <w:ind w:left="1440" w:hanging="360"/>
      </w:pPr>
      <w:rPr>
        <w:rFonts w:ascii="Arial" w:hAnsi="Arial" w:hint="default"/>
      </w:rPr>
    </w:lvl>
    <w:lvl w:ilvl="2" w:tplc="010A1F2E" w:tentative="1">
      <w:start w:val="1"/>
      <w:numFmt w:val="bullet"/>
      <w:lvlText w:val="•"/>
      <w:lvlJc w:val="left"/>
      <w:pPr>
        <w:tabs>
          <w:tab w:val="num" w:pos="2160"/>
        </w:tabs>
        <w:ind w:left="2160" w:hanging="360"/>
      </w:pPr>
      <w:rPr>
        <w:rFonts w:ascii="Arial" w:hAnsi="Arial" w:hint="default"/>
      </w:rPr>
    </w:lvl>
    <w:lvl w:ilvl="3" w:tplc="9182AD48" w:tentative="1">
      <w:start w:val="1"/>
      <w:numFmt w:val="bullet"/>
      <w:lvlText w:val="•"/>
      <w:lvlJc w:val="left"/>
      <w:pPr>
        <w:tabs>
          <w:tab w:val="num" w:pos="2880"/>
        </w:tabs>
        <w:ind w:left="2880" w:hanging="360"/>
      </w:pPr>
      <w:rPr>
        <w:rFonts w:ascii="Arial" w:hAnsi="Arial" w:hint="default"/>
      </w:rPr>
    </w:lvl>
    <w:lvl w:ilvl="4" w:tplc="22384862" w:tentative="1">
      <w:start w:val="1"/>
      <w:numFmt w:val="bullet"/>
      <w:lvlText w:val="•"/>
      <w:lvlJc w:val="left"/>
      <w:pPr>
        <w:tabs>
          <w:tab w:val="num" w:pos="3600"/>
        </w:tabs>
        <w:ind w:left="3600" w:hanging="360"/>
      </w:pPr>
      <w:rPr>
        <w:rFonts w:ascii="Arial" w:hAnsi="Arial" w:hint="default"/>
      </w:rPr>
    </w:lvl>
    <w:lvl w:ilvl="5" w:tplc="53149C4E" w:tentative="1">
      <w:start w:val="1"/>
      <w:numFmt w:val="bullet"/>
      <w:lvlText w:val="•"/>
      <w:lvlJc w:val="left"/>
      <w:pPr>
        <w:tabs>
          <w:tab w:val="num" w:pos="4320"/>
        </w:tabs>
        <w:ind w:left="4320" w:hanging="360"/>
      </w:pPr>
      <w:rPr>
        <w:rFonts w:ascii="Arial" w:hAnsi="Arial" w:hint="default"/>
      </w:rPr>
    </w:lvl>
    <w:lvl w:ilvl="6" w:tplc="F8EE62EE" w:tentative="1">
      <w:start w:val="1"/>
      <w:numFmt w:val="bullet"/>
      <w:lvlText w:val="•"/>
      <w:lvlJc w:val="left"/>
      <w:pPr>
        <w:tabs>
          <w:tab w:val="num" w:pos="5040"/>
        </w:tabs>
        <w:ind w:left="5040" w:hanging="360"/>
      </w:pPr>
      <w:rPr>
        <w:rFonts w:ascii="Arial" w:hAnsi="Arial" w:hint="default"/>
      </w:rPr>
    </w:lvl>
    <w:lvl w:ilvl="7" w:tplc="AB767418" w:tentative="1">
      <w:start w:val="1"/>
      <w:numFmt w:val="bullet"/>
      <w:lvlText w:val="•"/>
      <w:lvlJc w:val="left"/>
      <w:pPr>
        <w:tabs>
          <w:tab w:val="num" w:pos="5760"/>
        </w:tabs>
        <w:ind w:left="5760" w:hanging="360"/>
      </w:pPr>
      <w:rPr>
        <w:rFonts w:ascii="Arial" w:hAnsi="Arial" w:hint="default"/>
      </w:rPr>
    </w:lvl>
    <w:lvl w:ilvl="8" w:tplc="1FC4EAD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BCE09EA"/>
    <w:multiLevelType w:val="multilevel"/>
    <w:tmpl w:val="F8F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035497">
    <w:abstractNumId w:val="2"/>
  </w:num>
  <w:num w:numId="2" w16cid:durableId="70393582">
    <w:abstractNumId w:val="3"/>
  </w:num>
  <w:num w:numId="3" w16cid:durableId="1867715963">
    <w:abstractNumId w:val="1"/>
  </w:num>
  <w:num w:numId="4" w16cid:durableId="819348106">
    <w:abstractNumId w:val="4"/>
  </w:num>
  <w:num w:numId="5" w16cid:durableId="1536652920">
    <w:abstractNumId w:val="6"/>
  </w:num>
  <w:num w:numId="6" w16cid:durableId="1078551407">
    <w:abstractNumId w:val="7"/>
  </w:num>
  <w:num w:numId="7" w16cid:durableId="800078255">
    <w:abstractNumId w:val="5"/>
  </w:num>
  <w:num w:numId="8" w16cid:durableId="89308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59"/>
    <w:rsid w:val="00015880"/>
    <w:rsid w:val="00036E8D"/>
    <w:rsid w:val="00047BDD"/>
    <w:rsid w:val="00065BD8"/>
    <w:rsid w:val="00066164"/>
    <w:rsid w:val="00073398"/>
    <w:rsid w:val="00085342"/>
    <w:rsid w:val="000A1B06"/>
    <w:rsid w:val="000A4FB2"/>
    <w:rsid w:val="000B3F1B"/>
    <w:rsid w:val="000E5965"/>
    <w:rsid w:val="000F7C6A"/>
    <w:rsid w:val="001128F4"/>
    <w:rsid w:val="001364F5"/>
    <w:rsid w:val="001506A5"/>
    <w:rsid w:val="0015426A"/>
    <w:rsid w:val="00157E1E"/>
    <w:rsid w:val="00167185"/>
    <w:rsid w:val="00174472"/>
    <w:rsid w:val="00180DE7"/>
    <w:rsid w:val="0018631E"/>
    <w:rsid w:val="00197B8B"/>
    <w:rsid w:val="001B38C8"/>
    <w:rsid w:val="001B67E9"/>
    <w:rsid w:val="001E31B1"/>
    <w:rsid w:val="001E7277"/>
    <w:rsid w:val="001F3453"/>
    <w:rsid w:val="002374C6"/>
    <w:rsid w:val="0027724C"/>
    <w:rsid w:val="00283DD9"/>
    <w:rsid w:val="002B0189"/>
    <w:rsid w:val="002D321D"/>
    <w:rsid w:val="002D37B9"/>
    <w:rsid w:val="002E1940"/>
    <w:rsid w:val="002F7D98"/>
    <w:rsid w:val="00301ECC"/>
    <w:rsid w:val="00311ADA"/>
    <w:rsid w:val="00311FDA"/>
    <w:rsid w:val="0033097C"/>
    <w:rsid w:val="00341755"/>
    <w:rsid w:val="003632AE"/>
    <w:rsid w:val="0036554E"/>
    <w:rsid w:val="00391879"/>
    <w:rsid w:val="003A5713"/>
    <w:rsid w:val="003B4C80"/>
    <w:rsid w:val="003E687D"/>
    <w:rsid w:val="00411824"/>
    <w:rsid w:val="00420FC5"/>
    <w:rsid w:val="0042136A"/>
    <w:rsid w:val="00442D73"/>
    <w:rsid w:val="00455523"/>
    <w:rsid w:val="0046023F"/>
    <w:rsid w:val="0046573C"/>
    <w:rsid w:val="00465802"/>
    <w:rsid w:val="00470AA6"/>
    <w:rsid w:val="00471887"/>
    <w:rsid w:val="00496DC2"/>
    <w:rsid w:val="004A020D"/>
    <w:rsid w:val="004A45BB"/>
    <w:rsid w:val="004B76DF"/>
    <w:rsid w:val="004C3A94"/>
    <w:rsid w:val="004D0F2E"/>
    <w:rsid w:val="004D51EC"/>
    <w:rsid w:val="004E1D59"/>
    <w:rsid w:val="004F3BFC"/>
    <w:rsid w:val="005227FF"/>
    <w:rsid w:val="00550664"/>
    <w:rsid w:val="00551ED8"/>
    <w:rsid w:val="0055515D"/>
    <w:rsid w:val="00570FE7"/>
    <w:rsid w:val="005872B8"/>
    <w:rsid w:val="00593315"/>
    <w:rsid w:val="005A6CFA"/>
    <w:rsid w:val="005C2FCF"/>
    <w:rsid w:val="005E20B5"/>
    <w:rsid w:val="005F1FC7"/>
    <w:rsid w:val="005F7138"/>
    <w:rsid w:val="00616555"/>
    <w:rsid w:val="00616A6B"/>
    <w:rsid w:val="00627867"/>
    <w:rsid w:val="00630BDD"/>
    <w:rsid w:val="00636DA4"/>
    <w:rsid w:val="00637852"/>
    <w:rsid w:val="00647920"/>
    <w:rsid w:val="00652DE5"/>
    <w:rsid w:val="00681A8B"/>
    <w:rsid w:val="006829ED"/>
    <w:rsid w:val="006A7595"/>
    <w:rsid w:val="006D4592"/>
    <w:rsid w:val="00702DB8"/>
    <w:rsid w:val="00715C4E"/>
    <w:rsid w:val="00717406"/>
    <w:rsid w:val="00721E33"/>
    <w:rsid w:val="007340A9"/>
    <w:rsid w:val="00756452"/>
    <w:rsid w:val="00757252"/>
    <w:rsid w:val="00790F91"/>
    <w:rsid w:val="007A0DFE"/>
    <w:rsid w:val="007A64B3"/>
    <w:rsid w:val="007B7F58"/>
    <w:rsid w:val="007C4F81"/>
    <w:rsid w:val="007E6963"/>
    <w:rsid w:val="007F6204"/>
    <w:rsid w:val="0080339A"/>
    <w:rsid w:val="0082556D"/>
    <w:rsid w:val="008275C2"/>
    <w:rsid w:val="00844DEA"/>
    <w:rsid w:val="00850146"/>
    <w:rsid w:val="00855287"/>
    <w:rsid w:val="00867F14"/>
    <w:rsid w:val="00890200"/>
    <w:rsid w:val="008B5950"/>
    <w:rsid w:val="008B76F9"/>
    <w:rsid w:val="009157B1"/>
    <w:rsid w:val="00924126"/>
    <w:rsid w:val="00925EEE"/>
    <w:rsid w:val="00940386"/>
    <w:rsid w:val="00942430"/>
    <w:rsid w:val="00946A2D"/>
    <w:rsid w:val="009558E2"/>
    <w:rsid w:val="009575D4"/>
    <w:rsid w:val="00974265"/>
    <w:rsid w:val="00984AD8"/>
    <w:rsid w:val="00991A69"/>
    <w:rsid w:val="00993231"/>
    <w:rsid w:val="00996ACA"/>
    <w:rsid w:val="009A5F8B"/>
    <w:rsid w:val="009B2855"/>
    <w:rsid w:val="009B7D7D"/>
    <w:rsid w:val="009C0367"/>
    <w:rsid w:val="009C4A12"/>
    <w:rsid w:val="009D35AE"/>
    <w:rsid w:val="00A0189F"/>
    <w:rsid w:val="00A27AE4"/>
    <w:rsid w:val="00A35627"/>
    <w:rsid w:val="00A764B5"/>
    <w:rsid w:val="00AE0A08"/>
    <w:rsid w:val="00AE5B34"/>
    <w:rsid w:val="00AE5F0D"/>
    <w:rsid w:val="00AF0060"/>
    <w:rsid w:val="00AF021C"/>
    <w:rsid w:val="00AF0C31"/>
    <w:rsid w:val="00B06758"/>
    <w:rsid w:val="00B14EA7"/>
    <w:rsid w:val="00B30755"/>
    <w:rsid w:val="00B359AE"/>
    <w:rsid w:val="00B56DB6"/>
    <w:rsid w:val="00B61746"/>
    <w:rsid w:val="00B64649"/>
    <w:rsid w:val="00B65CA2"/>
    <w:rsid w:val="00B82359"/>
    <w:rsid w:val="00B84387"/>
    <w:rsid w:val="00B8740F"/>
    <w:rsid w:val="00B90406"/>
    <w:rsid w:val="00BB767C"/>
    <w:rsid w:val="00BD7EAA"/>
    <w:rsid w:val="00BF03E5"/>
    <w:rsid w:val="00C00576"/>
    <w:rsid w:val="00C0481F"/>
    <w:rsid w:val="00C07B52"/>
    <w:rsid w:val="00C360E6"/>
    <w:rsid w:val="00C4490A"/>
    <w:rsid w:val="00C612D0"/>
    <w:rsid w:val="00C62A78"/>
    <w:rsid w:val="00C65EBF"/>
    <w:rsid w:val="00C6764A"/>
    <w:rsid w:val="00C6764C"/>
    <w:rsid w:val="00C67793"/>
    <w:rsid w:val="00C7421F"/>
    <w:rsid w:val="00CA469C"/>
    <w:rsid w:val="00CA58FD"/>
    <w:rsid w:val="00CB0B02"/>
    <w:rsid w:val="00CB1C64"/>
    <w:rsid w:val="00CC7D87"/>
    <w:rsid w:val="00CF128B"/>
    <w:rsid w:val="00D01221"/>
    <w:rsid w:val="00D031F0"/>
    <w:rsid w:val="00D05A8E"/>
    <w:rsid w:val="00D067B1"/>
    <w:rsid w:val="00D26053"/>
    <w:rsid w:val="00D4228E"/>
    <w:rsid w:val="00D47DA6"/>
    <w:rsid w:val="00D7081D"/>
    <w:rsid w:val="00D73EE6"/>
    <w:rsid w:val="00D90A4D"/>
    <w:rsid w:val="00DA3AFE"/>
    <w:rsid w:val="00DC44C6"/>
    <w:rsid w:val="00DD7BC5"/>
    <w:rsid w:val="00E32F68"/>
    <w:rsid w:val="00E3408A"/>
    <w:rsid w:val="00E42A86"/>
    <w:rsid w:val="00E567AB"/>
    <w:rsid w:val="00E74A3E"/>
    <w:rsid w:val="00E75F7B"/>
    <w:rsid w:val="00E93090"/>
    <w:rsid w:val="00E947B9"/>
    <w:rsid w:val="00E95089"/>
    <w:rsid w:val="00EA205C"/>
    <w:rsid w:val="00EB1662"/>
    <w:rsid w:val="00EB5F11"/>
    <w:rsid w:val="00EC53D9"/>
    <w:rsid w:val="00ED63C3"/>
    <w:rsid w:val="00EE2A58"/>
    <w:rsid w:val="00F07BDF"/>
    <w:rsid w:val="00F25DA6"/>
    <w:rsid w:val="00F40C34"/>
    <w:rsid w:val="00F544F8"/>
    <w:rsid w:val="00F62E37"/>
    <w:rsid w:val="00F74897"/>
    <w:rsid w:val="00F95F91"/>
    <w:rsid w:val="00FB2A19"/>
    <w:rsid w:val="00FD0095"/>
    <w:rsid w:val="00FD4A39"/>
    <w:rsid w:val="00FE0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30C6"/>
  <w15:chartTrackingRefBased/>
  <w15:docId w15:val="{7AB52C06-E43B-5D49-9D56-CB5EBD47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84387"/>
    <w:pPr>
      <w:keepNext/>
      <w:keepLines/>
      <w:spacing w:before="320" w:after="80" w:line="360" w:lineRule="auto"/>
      <w:outlineLvl w:val="2"/>
    </w:pPr>
    <w:rPr>
      <w:rFonts w:ascii="Google Sans" w:eastAsia="Google Sans" w:hAnsi="Google Sans" w:cs="Google Sans"/>
      <w:color w:val="434343"/>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D59"/>
    <w:pPr>
      <w:ind w:left="720"/>
      <w:contextualSpacing/>
    </w:pPr>
  </w:style>
  <w:style w:type="character" w:styleId="Hyperlink">
    <w:name w:val="Hyperlink"/>
    <w:basedOn w:val="DefaultParagraphFont"/>
    <w:uiPriority w:val="99"/>
    <w:unhideWhenUsed/>
    <w:rsid w:val="0046023F"/>
    <w:rPr>
      <w:color w:val="0563C1" w:themeColor="hyperlink"/>
      <w:u w:val="single"/>
    </w:rPr>
  </w:style>
  <w:style w:type="character" w:styleId="UnresolvedMention">
    <w:name w:val="Unresolved Mention"/>
    <w:basedOn w:val="DefaultParagraphFont"/>
    <w:uiPriority w:val="99"/>
    <w:semiHidden/>
    <w:unhideWhenUsed/>
    <w:rsid w:val="0046023F"/>
    <w:rPr>
      <w:color w:val="605E5C"/>
      <w:shd w:val="clear" w:color="auto" w:fill="E1DFDD"/>
    </w:rPr>
  </w:style>
  <w:style w:type="character" w:styleId="FollowedHyperlink">
    <w:name w:val="FollowedHyperlink"/>
    <w:basedOn w:val="DefaultParagraphFont"/>
    <w:uiPriority w:val="99"/>
    <w:semiHidden/>
    <w:unhideWhenUsed/>
    <w:rsid w:val="00311FDA"/>
    <w:rPr>
      <w:color w:val="954F72" w:themeColor="followedHyperlink"/>
      <w:u w:val="single"/>
    </w:rPr>
  </w:style>
  <w:style w:type="paragraph" w:styleId="NormalWeb">
    <w:name w:val="Normal (Web)"/>
    <w:basedOn w:val="Normal"/>
    <w:uiPriority w:val="99"/>
    <w:semiHidden/>
    <w:unhideWhenUsed/>
    <w:rsid w:val="00455523"/>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84387"/>
    <w:rPr>
      <w:rFonts w:ascii="Google Sans" w:eastAsia="Google Sans" w:hAnsi="Google Sans" w:cs="Google Sans"/>
      <w:color w:val="434343"/>
      <w:sz w:val="28"/>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947">
      <w:bodyDiv w:val="1"/>
      <w:marLeft w:val="0"/>
      <w:marRight w:val="0"/>
      <w:marTop w:val="0"/>
      <w:marBottom w:val="0"/>
      <w:divBdr>
        <w:top w:val="none" w:sz="0" w:space="0" w:color="auto"/>
        <w:left w:val="none" w:sz="0" w:space="0" w:color="auto"/>
        <w:bottom w:val="none" w:sz="0" w:space="0" w:color="auto"/>
        <w:right w:val="none" w:sz="0" w:space="0" w:color="auto"/>
      </w:divBdr>
    </w:div>
    <w:div w:id="232544070">
      <w:bodyDiv w:val="1"/>
      <w:marLeft w:val="0"/>
      <w:marRight w:val="0"/>
      <w:marTop w:val="0"/>
      <w:marBottom w:val="0"/>
      <w:divBdr>
        <w:top w:val="none" w:sz="0" w:space="0" w:color="auto"/>
        <w:left w:val="none" w:sz="0" w:space="0" w:color="auto"/>
        <w:bottom w:val="none" w:sz="0" w:space="0" w:color="auto"/>
        <w:right w:val="none" w:sz="0" w:space="0" w:color="auto"/>
      </w:divBdr>
      <w:divsChild>
        <w:div w:id="442772663">
          <w:marLeft w:val="0"/>
          <w:marRight w:val="0"/>
          <w:marTop w:val="0"/>
          <w:marBottom w:val="0"/>
          <w:divBdr>
            <w:top w:val="none" w:sz="0" w:space="0" w:color="auto"/>
            <w:left w:val="none" w:sz="0" w:space="0" w:color="auto"/>
            <w:bottom w:val="none" w:sz="0" w:space="0" w:color="auto"/>
            <w:right w:val="none" w:sz="0" w:space="0" w:color="auto"/>
          </w:divBdr>
          <w:divsChild>
            <w:div w:id="1145925470">
              <w:marLeft w:val="0"/>
              <w:marRight w:val="0"/>
              <w:marTop w:val="0"/>
              <w:marBottom w:val="0"/>
              <w:divBdr>
                <w:top w:val="none" w:sz="0" w:space="0" w:color="auto"/>
                <w:left w:val="none" w:sz="0" w:space="0" w:color="auto"/>
                <w:bottom w:val="none" w:sz="0" w:space="0" w:color="auto"/>
                <w:right w:val="none" w:sz="0" w:space="0" w:color="auto"/>
              </w:divBdr>
              <w:divsChild>
                <w:div w:id="5412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51523">
      <w:bodyDiv w:val="1"/>
      <w:marLeft w:val="0"/>
      <w:marRight w:val="0"/>
      <w:marTop w:val="0"/>
      <w:marBottom w:val="0"/>
      <w:divBdr>
        <w:top w:val="none" w:sz="0" w:space="0" w:color="auto"/>
        <w:left w:val="none" w:sz="0" w:space="0" w:color="auto"/>
        <w:bottom w:val="none" w:sz="0" w:space="0" w:color="auto"/>
        <w:right w:val="none" w:sz="0" w:space="0" w:color="auto"/>
      </w:divBdr>
      <w:divsChild>
        <w:div w:id="611783711">
          <w:marLeft w:val="1440"/>
          <w:marRight w:val="0"/>
          <w:marTop w:val="0"/>
          <w:marBottom w:val="0"/>
          <w:divBdr>
            <w:top w:val="none" w:sz="0" w:space="0" w:color="auto"/>
            <w:left w:val="none" w:sz="0" w:space="0" w:color="auto"/>
            <w:bottom w:val="none" w:sz="0" w:space="0" w:color="auto"/>
            <w:right w:val="none" w:sz="0" w:space="0" w:color="auto"/>
          </w:divBdr>
        </w:div>
        <w:div w:id="964852806">
          <w:marLeft w:val="1440"/>
          <w:marRight w:val="0"/>
          <w:marTop w:val="0"/>
          <w:marBottom w:val="0"/>
          <w:divBdr>
            <w:top w:val="none" w:sz="0" w:space="0" w:color="auto"/>
            <w:left w:val="none" w:sz="0" w:space="0" w:color="auto"/>
            <w:bottom w:val="none" w:sz="0" w:space="0" w:color="auto"/>
            <w:right w:val="none" w:sz="0" w:space="0" w:color="auto"/>
          </w:divBdr>
        </w:div>
        <w:div w:id="1067655608">
          <w:marLeft w:val="1440"/>
          <w:marRight w:val="0"/>
          <w:marTop w:val="0"/>
          <w:marBottom w:val="0"/>
          <w:divBdr>
            <w:top w:val="none" w:sz="0" w:space="0" w:color="auto"/>
            <w:left w:val="none" w:sz="0" w:space="0" w:color="auto"/>
            <w:bottom w:val="none" w:sz="0" w:space="0" w:color="auto"/>
            <w:right w:val="none" w:sz="0" w:space="0" w:color="auto"/>
          </w:divBdr>
        </w:div>
        <w:div w:id="1052773007">
          <w:marLeft w:val="1440"/>
          <w:marRight w:val="0"/>
          <w:marTop w:val="0"/>
          <w:marBottom w:val="0"/>
          <w:divBdr>
            <w:top w:val="none" w:sz="0" w:space="0" w:color="auto"/>
            <w:left w:val="none" w:sz="0" w:space="0" w:color="auto"/>
            <w:bottom w:val="none" w:sz="0" w:space="0" w:color="auto"/>
            <w:right w:val="none" w:sz="0" w:space="0" w:color="auto"/>
          </w:divBdr>
        </w:div>
      </w:divsChild>
    </w:div>
    <w:div w:id="680199251">
      <w:bodyDiv w:val="1"/>
      <w:marLeft w:val="0"/>
      <w:marRight w:val="0"/>
      <w:marTop w:val="0"/>
      <w:marBottom w:val="0"/>
      <w:divBdr>
        <w:top w:val="none" w:sz="0" w:space="0" w:color="auto"/>
        <w:left w:val="none" w:sz="0" w:space="0" w:color="auto"/>
        <w:bottom w:val="none" w:sz="0" w:space="0" w:color="auto"/>
        <w:right w:val="none" w:sz="0" w:space="0" w:color="auto"/>
      </w:divBdr>
    </w:div>
    <w:div w:id="1858621418">
      <w:bodyDiv w:val="1"/>
      <w:marLeft w:val="0"/>
      <w:marRight w:val="0"/>
      <w:marTop w:val="0"/>
      <w:marBottom w:val="0"/>
      <w:divBdr>
        <w:top w:val="none" w:sz="0" w:space="0" w:color="auto"/>
        <w:left w:val="none" w:sz="0" w:space="0" w:color="auto"/>
        <w:bottom w:val="none" w:sz="0" w:space="0" w:color="auto"/>
        <w:right w:val="none" w:sz="0" w:space="0" w:color="auto"/>
      </w:divBdr>
    </w:div>
    <w:div w:id="193871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lpubs.nist.gov/nistpubs/SpecialPublications/NIST.SP.800-53r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Sagers, Glen</dc:creator>
  <cp:keywords/>
  <dc:description/>
  <cp:lastModifiedBy>Hausner, Geena</cp:lastModifiedBy>
  <cp:revision>2</cp:revision>
  <dcterms:created xsi:type="dcterms:W3CDTF">2025-05-01T02:22:00Z</dcterms:created>
  <dcterms:modified xsi:type="dcterms:W3CDTF">2025-05-01T02:22:00Z</dcterms:modified>
</cp:coreProperties>
</file>