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C3D3A"/>
          <w:sz w:val="36"/>
          <w:szCs w:val="36"/>
        </w:rPr>
        <w:t xml:space="preserve">Revision Notes — Image Tagger Executive Summary</w:t>
      </w:r>
    </w:p>
    <w:p>
      <w:pPr>
        <w:spacing w:after="300"/>
      </w:pPr>
      <w:r>
        <w:rPr>
          <w:rFonts w:ascii="Calibri" w:cs="Calibri" w:eastAsia="Calibri" w:hAnsi="Calibri"/>
          <w:i/>
          <w:iCs/>
          <w:color w:val="2A7868"/>
          <w:sz w:val="24"/>
          <w:szCs w:val="24"/>
        </w:rPr>
        <w:t xml:space="preserve">Changes from v1.1 to v1.2, mapped to the ATLAS Science Communication Norms</w:t>
      </w:r>
    </w:p>
    <w:p>
      <w:pPr>
        <w:pStyle w:val="Heading1"/>
        <w:spacing w:after="140" w:before="300"/>
      </w:pPr>
      <w:r>
        <w:rPr>
          <w:rFonts w:ascii="Calibri" w:cs="Calibri" w:eastAsia="Calibri" w:hAnsi="Calibri"/>
          <w:b/>
          <w:bCs/>
          <w:color w:val="1C3D3A"/>
          <w:sz w:val="30"/>
          <w:szCs w:val="30"/>
        </w:rPr>
        <w:t xml:space="preserve">Scope and approach</w:t>
      </w:r>
    </w:p>
    <w:p>
      <w:pPr>
        <w:spacing w:after="140" w:line="300"/>
      </w:pPr>
      <w:r>
        <w:rPr>
          <w:rFonts w:ascii="Calibri" w:cs="Calibri" w:eastAsia="Calibri" w:hAnsi="Calibri"/>
          <w:sz w:val="22"/>
          <w:szCs w:val="22"/>
        </w:rPr>
        <w:t xml:space="preserve">This revision applies the twelve Science Communication Norms to the Executive Summary. The document's structure (six numbered sections plus References) is preserved because it already follows Doumont's signal-to-noise logic: "what it does," "how it works," "why it is clever," "status," "roadmap," "why funding matters." What changed is sentence-level: buried verbs were restored to active voice, the Given-New contract was enforced at paragraph openings, stress positions were rewritten to end on the substantive claim, and meta-commentary was removed. Content was not added or removed apart from one additional citation to Ulrich (1984), which was already in the v1.1 reference list but never cited in the body.</w:t>
      </w:r>
    </w:p>
    <w:p>
      <w:pPr>
        <w:pStyle w:val="Heading1"/>
        <w:spacing w:after="140" w:before="300"/>
      </w:pPr>
      <w:r>
        <w:rPr>
          <w:rFonts w:ascii="Calibri" w:cs="Calibri" w:eastAsia="Calibri" w:hAnsi="Calibri"/>
          <w:b/>
          <w:bCs/>
          <w:color w:val="1C3D3A"/>
          <w:sz w:val="30"/>
          <w:szCs w:val="30"/>
        </w:rPr>
        <w:t xml:space="preserve">Audience register</w:t>
      </w:r>
    </w:p>
    <w:p>
      <w:pPr>
        <w:spacing w:after="140" w:line="300"/>
      </w:pPr>
      <w:r>
        <w:rPr>
          <w:rFonts w:ascii="Calibri" w:cs="Calibri" w:eastAsia="Calibri" w:hAnsi="Calibri"/>
          <w:sz w:val="22"/>
          <w:szCs w:val="22"/>
        </w:rPr>
        <w:t xml:space="preserve">The v1.1 audience line — "internal collaborators and prospective funders" — is kept. The register of v1.2 is calibrated for a reader who is scientifically literate but not necessarily a specialist in environmental psychology or Bayesian modeling. Jargon is expanded on first use ("Vision-Language-Model (VLM)," "Cognitive and Neuroscience for Architecture"), and technical moves are explained through what they prevent rather than through their internal mechanics.</w:t>
      </w:r>
    </w:p>
    <w:p>
      <w:pPr>
        <w:pStyle w:val="Heading1"/>
        <w:spacing w:after="140" w:before="300"/>
      </w:pPr>
      <w:r>
        <w:rPr>
          <w:rFonts w:ascii="Calibri" w:cs="Calibri" w:eastAsia="Calibri" w:hAnsi="Calibri"/>
          <w:b/>
          <w:bCs/>
          <w:color w:val="1C3D3A"/>
          <w:sz w:val="30"/>
          <w:szCs w:val="30"/>
        </w:rPr>
        <w:t xml:space="preserve">Principal changes</w:t>
      </w:r>
    </w:p>
    <w:p>
      <w:pPr>
        <w:spacing w:after="140" w:line="300"/>
      </w:pPr>
      <w:r>
        <w:rPr>
          <w:rFonts w:ascii="Calibri" w:cs="Calibri" w:eastAsia="Calibri" w:hAnsi="Calibri"/>
          <w:sz w:val="22"/>
          <w:szCs w:val="22"/>
        </w:rPr>
        <w:t xml:space="preserve">The table below summarizes the substantive sentence-level revisions. Not every micro-edit is listed; the rewrites below are the cases where a norm drove a visible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00"/>
        <w:gridCol w:w="2060"/>
      </w:tblGrid>
      <w:tr>
        <w:tc>
          <w:tcPr>
            <w:tcW w:type="dxa" w:w="2200"/>
            <w:tcBorders>
              <w:top w:val="single" w:color="CCCCCC" w:sz="1"/>
              <w:left w:val="single" w:color="CCCCCC" w:sz="1"/>
              <w:bottom w:val="single" w:color="CCCCCC" w:sz="1"/>
              <w:right w:val="single" w:color="CCCCCC" w:sz="1"/>
            </w:tcBorders>
            <w:shd w:fill="1C3D3A" w:val="clear"/>
            <w:tcMar>
              <w:top w:type="dxa" w:w="80"/>
              <w:left w:type="dxa" w:w="120"/>
              <w:bottom w:type="dxa" w:w="80"/>
              <w:right w:type="dxa" w:w="120"/>
            </w:tcMar>
          </w:tcPr>
          <w:p>
            <w:r>
              <w:rPr>
                <w:rFonts w:ascii="Calibri" w:cs="Calibri" w:eastAsia="Calibri" w:hAnsi="Calibri"/>
                <w:b/>
                <w:bCs/>
                <w:color w:val="FFFFFF"/>
                <w:sz w:val="20"/>
                <w:szCs w:val="20"/>
              </w:rPr>
              <w:t xml:space="preserve">Location (v1.1)</w:t>
            </w:r>
          </w:p>
        </w:tc>
        <w:tc>
          <w:tcPr>
            <w:tcW w:type="dxa" w:w="2500"/>
            <w:tcBorders>
              <w:top w:val="single" w:color="CCCCCC" w:sz="1"/>
              <w:left w:val="single" w:color="CCCCCC" w:sz="1"/>
              <w:bottom w:val="single" w:color="CCCCCC" w:sz="1"/>
              <w:right w:val="single" w:color="CCCCCC" w:sz="1"/>
            </w:tcBorders>
            <w:shd w:fill="1C3D3A" w:val="clear"/>
            <w:tcMar>
              <w:top w:type="dxa" w:w="80"/>
              <w:left w:type="dxa" w:w="120"/>
              <w:bottom w:type="dxa" w:w="80"/>
              <w:right w:type="dxa" w:w="120"/>
            </w:tcMar>
          </w:tcPr>
          <w:p>
            <w:r>
              <w:rPr>
                <w:rFonts w:ascii="Calibri" w:cs="Calibri" w:eastAsia="Calibri" w:hAnsi="Calibri"/>
                <w:b/>
                <w:bCs/>
                <w:color w:val="FFFFFF"/>
                <w:sz w:val="20"/>
                <w:szCs w:val="20"/>
              </w:rPr>
              <w:t xml:space="preserve">Original pattern</w:t>
            </w:r>
          </w:p>
        </w:tc>
        <w:tc>
          <w:tcPr>
            <w:tcW w:type="dxa" w:w="2600"/>
            <w:tcBorders>
              <w:top w:val="single" w:color="CCCCCC" w:sz="1"/>
              <w:left w:val="single" w:color="CCCCCC" w:sz="1"/>
              <w:bottom w:val="single" w:color="CCCCCC" w:sz="1"/>
              <w:right w:val="single" w:color="CCCCCC" w:sz="1"/>
            </w:tcBorders>
            <w:shd w:fill="1C3D3A" w:val="clear"/>
            <w:tcMar>
              <w:top w:type="dxa" w:w="80"/>
              <w:left w:type="dxa" w:w="120"/>
              <w:bottom w:type="dxa" w:w="80"/>
              <w:right w:type="dxa" w:w="120"/>
            </w:tcMar>
          </w:tcPr>
          <w:p>
            <w:r>
              <w:rPr>
                <w:rFonts w:ascii="Calibri" w:cs="Calibri" w:eastAsia="Calibri" w:hAnsi="Calibri"/>
                <w:b/>
                <w:bCs/>
                <w:color w:val="FFFFFF"/>
                <w:sz w:val="20"/>
                <w:szCs w:val="20"/>
              </w:rPr>
              <w:t xml:space="preserve">Revised pattern</w:t>
            </w:r>
          </w:p>
        </w:tc>
        <w:tc>
          <w:tcPr>
            <w:tcW w:type="dxa" w:w="2060"/>
            <w:tcBorders>
              <w:top w:val="single" w:color="CCCCCC" w:sz="1"/>
              <w:left w:val="single" w:color="CCCCCC" w:sz="1"/>
              <w:bottom w:val="single" w:color="CCCCCC" w:sz="1"/>
              <w:right w:val="single" w:color="CCCCCC" w:sz="1"/>
            </w:tcBorders>
            <w:shd w:fill="1C3D3A" w:val="clear"/>
            <w:tcMar>
              <w:top w:type="dxa" w:w="80"/>
              <w:left w:type="dxa" w:w="120"/>
              <w:bottom w:type="dxa" w:w="80"/>
              <w:right w:type="dxa" w:w="120"/>
            </w:tcMar>
          </w:tcPr>
          <w:p>
            <w:r>
              <w:rPr>
                <w:rFonts w:ascii="Calibri" w:cs="Calibri" w:eastAsia="Calibri" w:hAnsi="Calibri"/>
                <w:b/>
                <w:bCs/>
                <w:color w:val="FFFFFF"/>
                <w:sz w:val="20"/>
                <w:szCs w:val="20"/>
              </w:rPr>
              <w:t xml:space="preserve">Norm applied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§1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"produces a structured, machine-readable description of the space: (i)…"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"converts photographs … into structured, machine-readable descriptions that a Bayesian Network (BN) can reason over" — active verb ("converts"), agent supplied (Image Tagger), BN purpose surfaced immediately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4 (kill zombie nouns), Norm 3 (stress position on BN 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§1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"The aim is not generic 'scene recognition'; it is to supply a causal reasoning layer…"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"The goal is not generic scene recognition. It is to feed a causal reasoning layer…" — broken into two sentences so the contrast lands cleanly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1 (classic style), Norm 6 (sentence economy)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§2.1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"runs analyzers in families: low-level image statistics…, structural measures…, and higher-level scene judgments" (compressed)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Expanded into three parallel clauses, one per analyzer family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8 (scaffolded explanation, Yong)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§2.3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"Outputs are persisted as version-stamped attribute rows and can be exported as a BN snapshot"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"Every run writes version-stamped attribute rows that can be exported as a BN snapshot." — passive-to-active, agent ("Every run") in subject position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4, Norm 2 (Given-New: the previous sentence ended on outputs)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§3 lead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"Across CV and annotation tooling, the common pattern is 'label what is in the image'…"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"Most computer-vision and annotation tools follow one of two patterns…" — abbreviation expanded, two patterns separated ("label what is in the image" vs. "provide a UI for humans to annotate")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6 (curse of knowledge), Norm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§3 bullets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Double-asterisk markdown (\**Ontology-first**) rendered as literal asterisks in the Word file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Formatting normalized to true bold in Word; bullets rewritten with stress position carrying the justification ("CNfA rules are defined over constructs, not over pixels, so the schema has to agree")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3, Norm 11 (structure is communication)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§4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"reveals the expected reality of an evolving research system: some documents … refer to earlier minor versions, and some advanced tag families…"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"reveals the usual reality of an evolving research system." Followed by two parallel sentences describing the two realities concretely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9 (honest uncertainty), Norm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§5 lead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"A practical development program has three coupled tracks: (A)…, (B)…, and (C)…"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"The next phase of development runs along three coupled tracks: hardening the measurement ontology, improving extraction reliability and calibration, and completing the Bayesian Network integration with scientific validation." — parenthetical labels dropped; the three tracks are named in running prose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4, Norm 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§6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"The main bottleneck is not compute; it is scientific operationalization: defining constructs precisely enough that (i) humans can label them consistently, (ii) algorithms can estimate them reliably, and (iii) BNs can treat them as evidence with calibrated uncertainty."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"The bottleneck is not compute. It is scientific operationalization: defining constructs precisely enough that humans can label them consistently, algorithms can estimate them reliably, and Bayesian Networks can treat them as evidence with calibrated uncertainty." — Roman numerals removed; three clauses read as parallel prose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11, Norm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§6 final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"That enables fast hypothesis generation, cross-study synthesis, and new forms of design evaluation that are currently hard to do at scale using either manual annotation or generic computer-vision tagging alone."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"That opens the door to fast hypothesis generation, cross-study synthesis, and forms of design evaluation that are currently hard to carry out at scale, whether through manual annotation or through generic computer-vision tagging alone." — "opens the door" restores agency; stress position lands on the comparison being made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0"/>
                <w:szCs w:val="20"/>
              </w:rPr>
              <w:t xml:space="preserve">Norm 3, Norm 4</w:t>
            </w:r>
          </w:p>
        </w:tc>
      </w:tr>
    </w:tbl>
    <w:p>
      <w:pPr>
        <w:pStyle w:val="Heading1"/>
        <w:spacing w:after="140" w:before="300"/>
      </w:pPr>
      <w:r>
        <w:rPr>
          <w:rFonts w:ascii="Calibri" w:cs="Calibri" w:eastAsia="Calibri" w:hAnsi="Calibri"/>
          <w:b/>
          <w:bCs/>
          <w:color w:val="1C3D3A"/>
          <w:sz w:val="30"/>
          <w:szCs w:val="30"/>
        </w:rPr>
        <w:t xml:space="preserve">Systematic revisions applied throughout</w:t>
      </w:r>
    </w:p>
    <w:p>
      <w:pPr>
        <w:pStyle w:val="ListParagraph"/>
        <w:numPr>
          <w:ilvl w:val="0"/>
          <w:numId w:val="2"/>
        </w:numPr>
        <w:spacing w:after="100" w:line="300"/>
      </w:pPr>
      <w:r>
        <w:rPr>
          <w:rFonts w:ascii="Calibri" w:cs="Calibri" w:eastAsia="Calibri" w:hAnsi="Calibri"/>
          <w:b/>
          <w:bCs/>
          <w:sz w:val="22"/>
          <w:szCs w:val="22"/>
        </w:rPr>
        <w:t xml:space="preserve">Zombie nouns removed where possible. </w:t>
      </w:r>
      <w:r>
        <w:rPr>
          <w:rFonts w:ascii="Calibri" w:cs="Calibri" w:eastAsia="Calibri" w:hAnsi="Calibri"/>
          <w:sz w:val="22"/>
          <w:szCs w:val="22"/>
        </w:rPr>
        <w:t xml:space="preserve">"operationalization of tags" → "operationalizing tags"; "the investigation of X" → "investigating X"; "the implementation of" → "implementing." Where a nominalization is the field-standard term (e.g., "calibration," "annotation," "estimation"), it is kept.</w:t>
      </w:r>
    </w:p>
    <w:p>
      <w:pPr>
        <w:pStyle w:val="ListParagraph"/>
        <w:numPr>
          <w:ilvl w:val="0"/>
          <w:numId w:val="2"/>
        </w:numPr>
        <w:spacing w:after="100" w:line="300"/>
      </w:pPr>
      <w:r>
        <w:rPr>
          <w:rFonts w:ascii="Calibri" w:cs="Calibri" w:eastAsia="Calibri" w:hAnsi="Calibri"/>
          <w:b/>
          <w:bCs/>
          <w:sz w:val="22"/>
          <w:szCs w:val="22"/>
        </w:rPr>
        <w:t xml:space="preserve">Slow windups deleted. </w:t>
      </w:r>
      <w:r>
        <w:rPr>
          <w:rFonts w:ascii="Calibri" w:cs="Calibri" w:eastAsia="Calibri" w:hAnsi="Calibri"/>
          <w:sz w:val="22"/>
          <w:szCs w:val="22"/>
        </w:rPr>
        <w:t xml:space="preserve">Phrases of the form "It is important to note that…," "There is evidence to suggest that…," and "It should be pointed out that…" were removed throughout. None survived into v1.2.</w:t>
      </w:r>
    </w:p>
    <w:p>
      <w:pPr>
        <w:pStyle w:val="ListParagraph"/>
        <w:numPr>
          <w:ilvl w:val="0"/>
          <w:numId w:val="2"/>
        </w:numPr>
        <w:spacing w:after="100" w:line="300"/>
      </w:pPr>
      <w:r>
        <w:rPr>
          <w:rFonts w:ascii="Calibri" w:cs="Calibri" w:eastAsia="Calibri" w:hAnsi="Calibri"/>
          <w:b/>
          <w:bCs/>
          <w:sz w:val="22"/>
          <w:szCs w:val="22"/>
        </w:rPr>
        <w:t xml:space="preserve">Acronyms expanded on first use. </w:t>
      </w:r>
      <w:r>
        <w:rPr>
          <w:rFonts w:ascii="Calibri" w:cs="Calibri" w:eastAsia="Calibri" w:hAnsi="Calibri"/>
          <w:sz w:val="22"/>
          <w:szCs w:val="22"/>
        </w:rPr>
        <w:t xml:space="preserve">VLM (Vision-Language-Model), BN (Bayesian Network), CNfA (Cognitive and Neuroscience for Architecture), SOP (Standard Operating Procedure) are all defined once, then used.</w:t>
      </w:r>
    </w:p>
    <w:p>
      <w:pPr>
        <w:pStyle w:val="ListParagraph"/>
        <w:numPr>
          <w:ilvl w:val="0"/>
          <w:numId w:val="2"/>
        </w:numPr>
        <w:spacing w:after="100" w:line="300"/>
      </w:pPr>
      <w:r>
        <w:rPr>
          <w:rFonts w:ascii="Calibri" w:cs="Calibri" w:eastAsia="Calibri" w:hAnsi="Calibri"/>
          <w:b/>
          <w:bCs/>
          <w:sz w:val="22"/>
          <w:szCs w:val="22"/>
        </w:rPr>
        <w:t xml:space="preserve">Em-dashes used for parenthetical emphasis. </w:t>
      </w:r>
      <w:r>
        <w:rPr>
          <w:rFonts w:ascii="Calibri" w:cs="Calibri" w:eastAsia="Calibri" w:hAnsi="Calibri"/>
          <w:sz w:val="22"/>
          <w:szCs w:val="22"/>
        </w:rPr>
        <w:t xml:space="preserve">The v1.1 draft mixed em-dashes with parenthetical phrases inconsistently; v1.2 uses em-dashes for material that rises to the foreground and parentheses for clarifying asides.</w:t>
      </w:r>
    </w:p>
    <w:p>
      <w:pPr>
        <w:pStyle w:val="ListParagraph"/>
        <w:numPr>
          <w:ilvl w:val="0"/>
          <w:numId w:val="2"/>
        </w:numPr>
        <w:spacing w:after="100" w:line="300"/>
      </w:pPr>
      <w:r>
        <w:rPr>
          <w:rFonts w:ascii="Calibri" w:cs="Calibri" w:eastAsia="Calibri" w:hAnsi="Calibri"/>
          <w:b/>
          <w:bCs/>
          <w:sz w:val="22"/>
          <w:szCs w:val="22"/>
        </w:rPr>
        <w:t xml:space="preserve">Markdown formatting artifacts cleaned up. </w:t>
      </w:r>
      <w:r>
        <w:rPr>
          <w:rFonts w:ascii="Calibri" w:cs="Calibri" w:eastAsia="Calibri" w:hAnsi="Calibri"/>
          <w:sz w:val="22"/>
          <w:szCs w:val="22"/>
        </w:rPr>
        <w:t xml:space="preserve">v1.1 contained literal double-asterisks (\**term\**) that rendered as characters in Word rather than as bold. These are corrected.</w:t>
      </w:r>
    </w:p>
    <w:p>
      <w:pPr>
        <w:pStyle w:val="ListParagraph"/>
        <w:numPr>
          <w:ilvl w:val="0"/>
          <w:numId w:val="2"/>
        </w:numPr>
        <w:spacing w:after="100" w:line="300"/>
      </w:pPr>
      <w:r>
        <w:rPr>
          <w:rFonts w:ascii="Calibri" w:cs="Calibri" w:eastAsia="Calibri" w:hAnsi="Calibri"/>
          <w:b/>
          <w:bCs/>
          <w:sz w:val="22"/>
          <w:szCs w:val="22"/>
        </w:rPr>
        <w:t xml:space="preserve">Citation placement. </w:t>
      </w:r>
      <w:r>
        <w:rPr>
          <w:rFonts w:ascii="Calibri" w:cs="Calibri" w:eastAsia="Calibri" w:hAnsi="Calibri"/>
          <w:sz w:val="22"/>
          <w:szCs w:val="22"/>
        </w:rPr>
        <w:t xml:space="preserve">v1.1 cited Kaplan &amp; Kaplan and Stamps but not Ulrich (1984), which appeared in the reference list unused. Ulrich is now cited in §2.1 where the restoration construct is introduced.</w:t>
      </w:r>
    </w:p>
    <w:p>
      <w:pPr>
        <w:pStyle w:val="Heading1"/>
        <w:spacing w:after="140" w:before="300"/>
      </w:pPr>
      <w:r>
        <w:rPr>
          <w:rFonts w:ascii="Calibri" w:cs="Calibri" w:eastAsia="Calibri" w:hAnsi="Calibri"/>
          <w:b/>
          <w:bCs/>
          <w:color w:val="1C3D3A"/>
          <w:sz w:val="30"/>
          <w:szCs w:val="30"/>
        </w:rPr>
        <w:t xml:space="preserve">What was deliberately not changed</w:t>
      </w:r>
    </w:p>
    <w:p>
      <w:pPr>
        <w:pStyle w:val="ListParagraph"/>
        <w:numPr>
          <w:ilvl w:val="0"/>
          <w:numId w:val="2"/>
        </w:numPr>
        <w:spacing w:after="100" w:line="300"/>
      </w:pPr>
      <w:r>
        <w:rPr>
          <w:rFonts w:ascii="Calibri" w:cs="Calibri" w:eastAsia="Calibri" w:hAnsi="Calibri"/>
          <w:sz w:val="22"/>
          <w:szCs w:val="22"/>
        </w:rPr>
        <w:t xml:space="preserve">The six-section structure. It already mirrors Doumont's "structure as communication" principle: what → how → why clever → where we are → where we go → why fund it.</w:t>
      </w:r>
    </w:p>
    <w:p>
      <w:pPr>
        <w:pStyle w:val="ListParagraph"/>
        <w:numPr>
          <w:ilvl w:val="0"/>
          <w:numId w:val="2"/>
        </w:numPr>
        <w:spacing w:after="100" w:line="300"/>
      </w:pPr>
      <w:r>
        <w:rPr>
          <w:rFonts w:ascii="Calibri" w:cs="Calibri" w:eastAsia="Calibri" w:hAnsi="Calibri"/>
          <w:sz w:val="22"/>
          <w:szCs w:val="22"/>
        </w:rPr>
        <w:t xml:space="preserve">The specific technical claims. Every factual statement in v1.1 is preserved in v1.2. The revision was stylistic, not substantive.</w:t>
      </w:r>
    </w:p>
    <w:p>
      <w:pPr>
        <w:pStyle w:val="ListParagraph"/>
        <w:numPr>
          <w:ilvl w:val="0"/>
          <w:numId w:val="2"/>
        </w:numPr>
        <w:spacing w:after="100" w:line="300"/>
      </w:pPr>
      <w:r>
        <w:rPr>
          <w:rFonts w:ascii="Calibri" w:cs="Calibri" w:eastAsia="Calibri" w:hAnsi="Calibri"/>
          <w:sz w:val="22"/>
          <w:szCs w:val="22"/>
        </w:rPr>
        <w:t xml:space="preserve">The reference list. No new sources were added; Ulrich (1984) was promoted from reference-only to cited-in-body.</w:t>
      </w:r>
    </w:p>
    <w:p>
      <w:pPr>
        <w:pStyle w:val="ListParagraph"/>
        <w:numPr>
          <w:ilvl w:val="0"/>
          <w:numId w:val="2"/>
        </w:numPr>
        <w:spacing w:after="100" w:line="300"/>
      </w:pPr>
      <w:r>
        <w:rPr>
          <w:rFonts w:ascii="Calibri" w:cs="Calibri" w:eastAsia="Calibri" w:hAnsi="Calibri"/>
          <w:sz w:val="22"/>
          <w:szCs w:val="22"/>
        </w:rPr>
        <w:t xml:space="preserve">The funder-facing tone. The document does not oversell: it marks work that is complete, work that is stubbed, and work that requires funding, in the same places v1.1 did.</w:t>
      </w:r>
    </w:p>
    <w:p>
      <w:pPr>
        <w:pStyle w:val="Heading1"/>
        <w:spacing w:after="140" w:before="300"/>
      </w:pPr>
      <w:r>
        <w:rPr>
          <w:rFonts w:ascii="Calibri" w:cs="Calibri" w:eastAsia="Calibri" w:hAnsi="Calibri"/>
          <w:b/>
          <w:bCs/>
          <w:color w:val="1C3D3A"/>
          <w:sz w:val="30"/>
          <w:szCs w:val="30"/>
        </w:rPr>
        <w:t xml:space="preserve">Optional next steps</w:t>
      </w:r>
    </w:p>
    <w:p>
      <w:pPr>
        <w:spacing w:after="140" w:line="300"/>
      </w:pPr>
      <w:r>
        <w:rPr>
          <w:rFonts w:ascii="Calibri" w:cs="Calibri" w:eastAsia="Calibri" w:hAnsi="Calibri"/>
          <w:sz w:val="22"/>
          <w:szCs w:val="22"/>
        </w:rPr>
        <w:t xml:space="preserve">Two further improvements are worth considering before circulation.</w:t>
      </w:r>
    </w:p>
    <w:p>
      <w:pPr>
        <w:pStyle w:val="ListParagraph"/>
        <w:numPr>
          <w:ilvl w:val="0"/>
          <w:numId w:val="2"/>
        </w:numPr>
        <w:spacing w:after="100" w:line="300"/>
      </w:pPr>
      <w:r>
        <w:rPr>
          <w:rFonts w:ascii="Calibri" w:cs="Calibri" w:eastAsia="Calibri" w:hAnsi="Calibri"/>
          <w:b/>
          <w:bCs/>
          <w:sz w:val="22"/>
          <w:szCs w:val="22"/>
        </w:rPr>
        <w:t xml:space="preserve">A figure in §2.1 or §2.3. </w:t>
      </w:r>
      <w:r>
        <w:rPr>
          <w:rFonts w:ascii="Calibri" w:cs="Calibri" w:eastAsia="Calibri" w:hAnsi="Calibri"/>
          <w:sz w:val="22"/>
          <w:szCs w:val="22"/>
        </w:rPr>
        <w:t xml:space="preserve">A single schematic — photograph → deterministic analyzers + VLM → attribute rows → BN snapshot — would do more communicative work than any paragraph in §2. If adopted, it should follow Tufte's data-ink principle: no chrome, no shadows, only the boxes and arrows.</w:t>
      </w:r>
    </w:p>
    <w:p>
      <w:pPr>
        <w:pStyle w:val="ListParagraph"/>
        <w:numPr>
          <w:ilvl w:val="0"/>
          <w:numId w:val="2"/>
        </w:numPr>
        <w:spacing w:after="100" w:line="300"/>
      </w:pPr>
      <w:r>
        <w:rPr>
          <w:rFonts w:ascii="Calibri" w:cs="Calibri" w:eastAsia="Calibri" w:hAnsi="Calibri"/>
          <w:b/>
          <w:bCs/>
          <w:sz w:val="22"/>
          <w:szCs w:val="22"/>
        </w:rPr>
        <w:t xml:space="preserve">A running case study. </w:t>
      </w:r>
      <w:r>
        <w:rPr>
          <w:rFonts w:ascii="Calibri" w:cs="Calibri" w:eastAsia="Calibri" w:hAnsi="Calibri"/>
          <w:sz w:val="22"/>
          <w:szCs w:val="22"/>
        </w:rPr>
        <w:t xml:space="preserve">Sacks and Yong both show that a single concrete example carried through the document grounds abstract claims. One real interior photograph, tagged through the actual pipeline, with its BN export shown, would turn §§1–3 from a description of what the module does into a demonstration.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C3D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Tagger Executive Summary — Revision Notes</dc:title>
  <dc:creator>Claude</dc:creator>
  <cp:lastModifiedBy>Un-named</cp:lastModifiedBy>
  <cp:revision>1</cp:revision>
  <dcterms:created xsi:type="dcterms:W3CDTF">2026-04-14T03:11:06.938Z</dcterms:created>
  <dcterms:modified xsi:type="dcterms:W3CDTF">2026-04-14T03:11:06.938Z</dcterms:modified>
</cp:coreProperties>
</file>

<file path=docProps/custom.xml><?xml version="1.0" encoding="utf-8"?>
<Properties xmlns="http://schemas.openxmlformats.org/officeDocument/2006/custom-properties" xmlns:vt="http://schemas.openxmlformats.org/officeDocument/2006/docPropsVTypes"/>
</file>