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3366"/>
          <w:sz w:val="36"/>
          <w:szCs w:val="36"/>
          <w:rtl w:val="0"/>
        </w:rPr>
        <w:t xml:space="preserve">LEE GEE SIN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646464"/>
          <w:sz w:val="19"/>
          <w:szCs w:val="19"/>
          <w:rtl w:val="0"/>
        </w:rPr>
        <w:t xml:space="preserve">Singapore | 98212429 | geesin.lee@gmail.com | linkedin.com/in/gee-sin-lee-7286b7</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3366"/>
          <w:sz w:val="24"/>
          <w:szCs w:val="24"/>
          <w:rtl w:val="0"/>
        </w:rPr>
        <w:t xml:space="preserve">CLIENT PARTNER | PUBLIC SECTOR | IT SERVICES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sz w:val="20"/>
          <w:szCs w:val="20"/>
          <w:rtl w:val="0"/>
        </w:rPr>
        <w:t xml:space="preserve">Enterprise Sales &amp; Client Partner executive with 20+ years of consultative solutioning and high-value account management in the Singapore Public Sector. Proven track record of owning strategic government accounts, driving revenue growth through upsell/cross-sell of end-to-end IT services, and delivering complex digital transformation programmes from pilot to production. Deep relationships across MTI, MAS, GovTech, IMDA, Synapxe, JTC, and other government agencies. Strong financial acumen in account planning, pipeline management, forecasting, and margin optimisation.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color w:val="003366"/>
          <w:rtl w:val="0"/>
        </w:rPr>
        <w:t xml:space="preserve">CORE COMPETENCIES</w:t>
      </w:r>
      <w:r w:rsidDel="00000000" w:rsidR="00000000" w:rsidRPr="00000000">
        <w:rPr>
          <w:rtl w:val="0"/>
        </w:rPr>
      </w:r>
    </w:p>
    <w:p w:rsidR="00000000" w:rsidDel="00000000" w:rsidP="00000000" w:rsidRDefault="00000000" w:rsidRPr="00000000" w14:paraId="00000008">
      <w:pPr>
        <w:numPr>
          <w:ilvl w:val="0"/>
          <w:numId w:val="1"/>
        </w:numPr>
        <w:spacing w:after="0" w:line="276" w:lineRule="auto"/>
        <w:ind w:left="360"/>
        <w:rPr>
          <w:rFonts w:ascii="Arial" w:cs="Arial" w:eastAsia="Arial" w:hAnsi="Arial"/>
          <w:sz w:val="20"/>
          <w:szCs w:val="20"/>
        </w:rPr>
      </w:pPr>
      <w:r w:rsidDel="00000000" w:rsidR="00000000" w:rsidRPr="00000000">
        <w:rPr>
          <w:b w:val="1"/>
          <w:bCs w:val="1"/>
          <w:sz w:val="20"/>
          <w:szCs w:val="20"/>
          <w:rtl w:val="0"/>
        </w:rPr>
        <w:t xml:space="preserve">Public Sector Business Development:</w:t>
      </w:r>
      <w:r w:rsidDel="00000000" w:rsidR="00000000" w:rsidRPr="00000000">
        <w:rPr>
          <w:sz w:val="20"/>
          <w:szCs w:val="20"/>
          <w:rtl w:val="0"/>
        </w:rPr>
        <w:t xml:space="preserve"> Originate and close large opportunities across MTI, MAS, GovTech (AI, GCC, SmartNation, Data Platform, Capabilities Platform), IMDA, Synapxe, JTC — from early engagement through proposal to contract signature</w:t>
      </w:r>
    </w:p>
    <w:p w:rsidR="00000000" w:rsidDel="00000000" w:rsidP="00000000" w:rsidRDefault="00000000" w:rsidRPr="00000000" w14:paraId="00000009">
      <w:pPr>
        <w:numPr>
          <w:ilvl w:val="0"/>
          <w:numId w:val="1"/>
        </w:numPr>
        <w:spacing w:after="0" w:line="276" w:lineRule="auto"/>
        <w:ind w:left="360"/>
        <w:rPr>
          <w:rFonts w:ascii="Arial" w:cs="Arial" w:eastAsia="Arial" w:hAnsi="Arial"/>
          <w:sz w:val="20"/>
          <w:szCs w:val="20"/>
        </w:rPr>
      </w:pPr>
      <w:r w:rsidDel="00000000" w:rsidR="00000000" w:rsidRPr="00000000">
        <w:rPr>
          <w:b w:val="1"/>
          <w:bCs w:val="1"/>
          <w:sz w:val="20"/>
          <w:szCs w:val="20"/>
          <w:rtl w:val="0"/>
        </w:rPr>
        <w:t xml:space="preserve">Senior Stakeholder Engagement:</w:t>
      </w:r>
      <w:r w:rsidDel="00000000" w:rsidR="00000000" w:rsidRPr="00000000">
        <w:rPr>
          <w:sz w:val="20"/>
          <w:szCs w:val="20"/>
          <w:rtl w:val="0"/>
        </w:rPr>
        <w:t xml:space="preserve"> Trusted strategic advisor to senior government stakeholders on digital transformation priorities; formalised tendering and procurement navigation</w:t>
      </w:r>
    </w:p>
    <w:p w:rsidR="00000000" w:rsidDel="00000000" w:rsidP="00000000" w:rsidRDefault="00000000" w:rsidRPr="00000000" w14:paraId="0000000A">
      <w:pPr>
        <w:numPr>
          <w:ilvl w:val="0"/>
          <w:numId w:val="1"/>
        </w:numPr>
        <w:spacing w:after="0" w:line="276" w:lineRule="auto"/>
        <w:ind w:left="360"/>
        <w:rPr>
          <w:rFonts w:ascii="Arial" w:cs="Arial" w:eastAsia="Arial" w:hAnsi="Arial"/>
          <w:sz w:val="20"/>
          <w:szCs w:val="20"/>
        </w:rPr>
      </w:pPr>
      <w:r w:rsidDel="00000000" w:rsidR="00000000" w:rsidRPr="00000000">
        <w:rPr>
          <w:b w:val="1"/>
          <w:bCs w:val="1"/>
          <w:sz w:val="20"/>
          <w:szCs w:val="20"/>
          <w:rtl w:val="0"/>
        </w:rPr>
        <w:t xml:space="preserve">Go-to-Market Strategy:</w:t>
      </w:r>
      <w:r w:rsidDel="00000000" w:rsidR="00000000" w:rsidRPr="00000000">
        <w:rPr>
          <w:sz w:val="20"/>
          <w:szCs w:val="20"/>
          <w:rtl w:val="0"/>
        </w:rPr>
        <w:t xml:space="preserve"> Drive go-to-market across government agencies; &gt;300% pipeline expansion through data-led market development and pre-engaged relationship cultivation</w:t>
      </w:r>
    </w:p>
    <w:p w:rsidR="00000000" w:rsidDel="00000000" w:rsidP="00000000" w:rsidRDefault="00000000" w:rsidRPr="00000000" w14:paraId="0000000B">
      <w:pPr>
        <w:numPr>
          <w:ilvl w:val="0"/>
          <w:numId w:val="1"/>
        </w:numPr>
        <w:spacing w:after="0" w:line="276" w:lineRule="auto"/>
        <w:ind w:left="360"/>
        <w:rPr>
          <w:rFonts w:ascii="Arial" w:cs="Arial" w:eastAsia="Arial" w:hAnsi="Arial"/>
          <w:sz w:val="20"/>
          <w:szCs w:val="20"/>
        </w:rPr>
      </w:pPr>
      <w:r w:rsidDel="00000000" w:rsidR="00000000" w:rsidRPr="00000000">
        <w:rPr>
          <w:b w:val="1"/>
          <w:bCs w:val="1"/>
          <w:sz w:val="20"/>
          <w:szCs w:val="20"/>
          <w:rtl w:val="0"/>
        </w:rPr>
        <w:t xml:space="preserve">Client Success &amp; Delivery Oversight:</w:t>
      </w:r>
      <w:r w:rsidDel="00000000" w:rsidR="00000000" w:rsidRPr="00000000">
        <w:rPr>
          <w:sz w:val="20"/>
          <w:szCs w:val="20"/>
          <w:rtl w:val="0"/>
        </w:rPr>
        <w:t xml:space="preserve"> Executive oversight of key programmes; escalation point for delivery challenges; partner with delivery teams to manage risks and ensure outcomes</w:t>
      </w:r>
    </w:p>
    <w:p w:rsidR="00000000" w:rsidDel="00000000" w:rsidP="00000000" w:rsidRDefault="00000000" w:rsidRPr="00000000" w14:paraId="0000000C">
      <w:pPr>
        <w:numPr>
          <w:ilvl w:val="0"/>
          <w:numId w:val="1"/>
        </w:numPr>
        <w:spacing w:after="0" w:line="276" w:lineRule="auto"/>
        <w:ind w:left="360"/>
        <w:rPr>
          <w:rFonts w:ascii="Arial" w:cs="Arial" w:eastAsia="Arial" w:hAnsi="Arial"/>
          <w:sz w:val="20"/>
          <w:szCs w:val="20"/>
        </w:rPr>
      </w:pPr>
      <w:r w:rsidDel="00000000" w:rsidR="00000000" w:rsidRPr="00000000">
        <w:rPr>
          <w:b w:val="1"/>
          <w:bCs w:val="1"/>
          <w:sz w:val="20"/>
          <w:szCs w:val="20"/>
          <w:rtl w:val="0"/>
        </w:rPr>
        <w:t xml:space="preserve">Ecosystem &amp; Partnerships:</w:t>
      </w:r>
      <w:r w:rsidDel="00000000" w:rsidR="00000000" w:rsidRPr="00000000">
        <w:rPr>
          <w:sz w:val="20"/>
          <w:szCs w:val="20"/>
          <w:rtl w:val="0"/>
        </w:rPr>
        <w:t xml:space="preserve"> Build and lead co-sell and co-delivery strategies with system integrators and technology partners (Salesforce, MuleSoft, Workato, CISCO, ST Engineering)</w:t>
      </w:r>
    </w:p>
    <w:p w:rsidR="00000000" w:rsidDel="00000000" w:rsidP="00000000" w:rsidRDefault="00000000" w:rsidRPr="00000000" w14:paraId="0000000D">
      <w:pPr>
        <w:numPr>
          <w:ilvl w:val="0"/>
          <w:numId w:val="1"/>
        </w:numPr>
        <w:spacing w:after="0" w:line="276" w:lineRule="auto"/>
        <w:ind w:left="360"/>
        <w:rPr>
          <w:rFonts w:ascii="Arial" w:cs="Arial" w:eastAsia="Arial" w:hAnsi="Arial"/>
          <w:sz w:val="20"/>
          <w:szCs w:val="20"/>
        </w:rPr>
      </w:pPr>
      <w:r w:rsidDel="00000000" w:rsidR="00000000" w:rsidRPr="00000000">
        <w:rPr>
          <w:b w:val="1"/>
          <w:bCs w:val="1"/>
          <w:sz w:val="20"/>
          <w:szCs w:val="20"/>
          <w:rtl w:val="0"/>
        </w:rPr>
        <w:t xml:space="preserve">Commercial Accountability:</w:t>
      </w:r>
      <w:r w:rsidDel="00000000" w:rsidR="00000000" w:rsidRPr="00000000">
        <w:rPr>
          <w:sz w:val="20"/>
          <w:szCs w:val="20"/>
          <w:rtl w:val="0"/>
        </w:rPr>
        <w:t xml:space="preserve"> Own revenue targets, pipeline management, conversion rates, and account-level profitability; MEDDPICC-driven account planning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 &amp; Emerging Technology: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Agentic AI, Enterprise MCP, iPaaS automation, AI/ML integration — bridging innovation and business outcomes</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color w:val="003366"/>
          <w:rtl w:val="0"/>
        </w:rPr>
        <w:t xml:space="preserve">PROFESSIONAL EXPERIENCE</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003366"/>
          <w:sz w:val="22"/>
          <w:szCs w:val="22"/>
          <w:rtl w:val="0"/>
        </w:rPr>
        <w:t xml:space="preserve">Workato Inc</w:t>
      </w:r>
      <w:r w:rsidDel="00000000" w:rsidR="00000000" w:rsidRPr="00000000">
        <w:rPr>
          <w:sz w:val="20"/>
          <w:szCs w:val="20"/>
          <w:rtl w:val="0"/>
        </w:rPr>
        <w:t xml:space="preserve">  |  Enterprise Account Executive – SG Public Sector &amp; Malaysia  |  Sep 2024 – May 2026</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 and manage strategic accounts across Singapore government </w:t>
      </w:r>
      <w:r w:rsidDel="00000000" w:rsidR="00000000" w:rsidRPr="00000000">
        <w:rPr>
          <w:sz w:val="20"/>
          <w:szCs w:val="20"/>
          <w:rtl w:val="0"/>
        </w:rPr>
        <w:t xml:space="preserve">agencies (e.g. GovTech, IMDA, Synapxe, and JTC)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acting as the primary point of contact and trusted advisor for AI-driven automation (iPaaS) adoption.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Closed the largest expansion deal at &gt;</w:t>
      </w:r>
      <w:r w:rsidDel="00000000" w:rsidR="00000000" w:rsidRPr="00000000">
        <w:rPr>
          <w:sz w:val="20"/>
          <w:szCs w:val="20"/>
          <w:rtl w:val="0"/>
        </w:rPr>
        <w:t xml:space="preserve">$1M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ARR, a landmark automation platform engagement with Singapore government agenc</w:t>
      </w:r>
      <w:r w:rsidDel="00000000" w:rsidR="00000000" w:rsidRPr="00000000">
        <w:rPr>
          <w:sz w:val="20"/>
          <w:szCs w:val="20"/>
          <w:rtl w:val="0"/>
        </w:rPr>
        <w:t xml:space="preserve">ies under MDDI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showcasing ability to navigate complex public sector procurement cycles.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Drive upsell and cross-sell opportunities by positioning end-to-end automation solutions — from data integration to Agentic AI orchestration — expanding account footprint within each client.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Architected "automation-first" strategies that serve as the foundation for Agentic AI and Enterprise MCP implementation, aligning technical innovation with policy-led business outcomes.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Partner closely with solutioning and delivery teams to shape proposals, manage pilot-to-production lifecycles, and ensure successful project outcomes for government stakeholders.</w:t>
      </w:r>
      <w:r w:rsidDel="00000000" w:rsidR="00000000" w:rsidRPr="00000000">
        <w:rPr>
          <w:rtl w:val="0"/>
        </w:rPr>
      </w:r>
    </w:p>
    <w:p w:rsidR="00000000" w:rsidDel="00000000" w:rsidP="00000000" w:rsidRDefault="00000000" w:rsidRPr="00000000" w14:paraId="00000016">
      <w:pPr>
        <w:numPr>
          <w:ilvl w:val="0"/>
          <w:numId w:val="1"/>
        </w:numPr>
        <w:spacing w:after="0" w:lineRule="auto"/>
        <w:ind w:left="360"/>
      </w:pPr>
      <w:r w:rsidDel="00000000" w:rsidR="00000000" w:rsidRPr="00000000">
        <w:rPr>
          <w:sz w:val="20"/>
          <w:szCs w:val="20"/>
          <w:rtl w:val="0"/>
        </w:rPr>
        <w:t xml:space="preserve">Achieved &gt;300% expansion of strategic client pipelines within the Singapore Public Sector and Malaysia enterprise accounts through data-led market development and relationship cultivation.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sz w:val="20"/>
          <w:szCs w:val="20"/>
          <w:rtl w:val="0"/>
        </w:rPr>
        <w:t xml:space="preserve">Developed and executed account plans focused on revenue growth and profitability, utilising CRM-driven insights and consultative selling methodologies (MEDDPICC).</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003366"/>
          <w:sz w:val="22"/>
          <w:szCs w:val="22"/>
          <w:rtl w:val="0"/>
        </w:rPr>
        <w:t xml:space="preserve">VISEO SAS</w:t>
      </w:r>
      <w:r w:rsidDel="00000000" w:rsidR="00000000" w:rsidRPr="00000000">
        <w:rPr>
          <w:sz w:val="20"/>
          <w:szCs w:val="20"/>
          <w:rtl w:val="0"/>
        </w:rPr>
        <w:t xml:space="preserve">  |  APAC Business Development Director – Salesforce &amp; Bespoke Solutions  |  2019 – 2024</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Achieved 200–400% of annual quota across 3 consecutive years — $6M+ cumulative revenue on combined targets of ~$3.7M (FY2022–FY2024), demonstrating consistent, repeatable over-performance in the Singapore Public Sector.</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Closed the largest deal at $5.6M, a landmark </w:t>
      </w:r>
      <w:r w:rsidDel="00000000" w:rsidR="00000000" w:rsidRPr="00000000">
        <w:rPr>
          <w:sz w:val="20"/>
          <w:szCs w:val="20"/>
          <w:rtl w:val="0"/>
        </w:rPr>
        <w:t xml:space="preserve">Salesforce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solution engagement with senior government stakeholders at MTI (and MTI Family), MAS, </w:t>
      </w:r>
      <w:r w:rsidDel="00000000" w:rsidR="00000000" w:rsidRPr="00000000">
        <w:rPr>
          <w:sz w:val="20"/>
          <w:szCs w:val="20"/>
          <w:rtl w:val="0"/>
        </w:rPr>
        <w:t xml:space="preserve">MPA etc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alongside a $3.5M expansion deal (FY2023) — showcasing ability to both land new accounts and grow existing ones.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Managed end-to-end sales of SaaS, bespoke software, Salesforce consulting, and managed services for Public Sector and enterprise clients — selling full-lifecycle IT solutions from application development to ongoing managed services.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Orchestrated complex, high-stakes public sector engagements by aligning internal technical squads with senior government stakeholders, delivering bespoke solutions valued at over $5M.</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multiple formalised tendering processes and pilot-to-production cycles, transforming "off-the-shelf" limitations into tailored, high-impact organisational outcomes.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sz w:val="20"/>
          <w:szCs w:val="20"/>
          <w:rtl w:val="0"/>
        </w:rPr>
        <w:t xml:space="preserve">Specialised in high-touch, consultative sales where off-the-shelf solutions were insufficient — demonstrating deep understanding of client-specific challenges and co-creating bespoke solutions.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pPr>
      <w:r w:rsidDel="00000000" w:rsidR="00000000" w:rsidRPr="00000000">
        <w:rPr>
          <w:sz w:val="20"/>
          <w:szCs w:val="20"/>
          <w:rtl w:val="0"/>
        </w:rPr>
        <w:t xml:space="preserve">Owned account strategy and engagement planning across the portfolio, driving profitability and account expansion through strategic upsell and cross-sell.</w:t>
      </w:r>
    </w:p>
    <w:p w:rsidR="00000000" w:rsidDel="00000000" w:rsidP="00000000" w:rsidRDefault="00000000" w:rsidRPr="00000000" w14:paraId="00000020">
      <w:pPr>
        <w:rPr/>
      </w:pPr>
      <w:r w:rsidDel="00000000" w:rsidR="00000000" w:rsidRPr="00000000">
        <w:rPr>
          <w:b w:val="1"/>
          <w:bCs w:val="1"/>
          <w:color w:val="003366"/>
          <w:sz w:val="22"/>
          <w:szCs w:val="22"/>
          <w:rtl w:val="0"/>
        </w:rPr>
        <w:t xml:space="preserve">ARM UK</w:t>
      </w:r>
      <w:r w:rsidDel="00000000" w:rsidR="00000000" w:rsidRPr="00000000">
        <w:rPr>
          <w:sz w:val="20"/>
          <w:szCs w:val="20"/>
          <w:rtl w:val="0"/>
        </w:rPr>
        <w:t xml:space="preserve">  |  Business Development / Staff Engineer – IoT Platform &amp; Security Solutions  |  2018 – 2019</w:t>
      </w:r>
      <w:r w:rsidDel="00000000" w:rsidR="00000000" w:rsidRPr="00000000">
        <w:rPr>
          <w:rtl w:val="0"/>
        </w:rPr>
      </w:r>
    </w:p>
    <w:p w:rsidR="00000000" w:rsidDel="00000000" w:rsidP="00000000" w:rsidRDefault="00000000" w:rsidRPr="00000000" w14:paraId="00000021">
      <w:pPr>
        <w:numPr>
          <w:ilvl w:val="0"/>
          <w:numId w:val="1"/>
        </w:numPr>
        <w:spacing w:after="0" w:line="276" w:lineRule="auto"/>
        <w:ind w:left="360"/>
        <w:rPr>
          <w:rFonts w:ascii="Calibri" w:cs="Calibri" w:eastAsia="Calibri" w:hAnsi="Calibri"/>
          <w:sz w:val="20"/>
          <w:szCs w:val="20"/>
        </w:rPr>
      </w:pPr>
      <w:r w:rsidDel="00000000" w:rsidR="00000000" w:rsidRPr="00000000">
        <w:rPr>
          <w:sz w:val="20"/>
          <w:szCs w:val="20"/>
          <w:rtl w:val="0"/>
        </w:rPr>
        <w:t xml:space="preserve">Bridged IT &amp; OT for government and enterprise clients, leveraging IoT innovations and cybersecurity solutions to drive business outcomes.</w:t>
      </w:r>
    </w:p>
    <w:p w:rsidR="00000000" w:rsidDel="00000000" w:rsidP="00000000" w:rsidRDefault="00000000" w:rsidRPr="00000000" w14:paraId="00000022">
      <w:pPr>
        <w:numPr>
          <w:ilvl w:val="0"/>
          <w:numId w:val="1"/>
        </w:numPr>
        <w:spacing w:after="0" w:line="276" w:lineRule="auto"/>
        <w:ind w:left="360"/>
        <w:rPr>
          <w:rFonts w:ascii="Calibri" w:cs="Calibri" w:eastAsia="Calibri" w:hAnsi="Calibri"/>
          <w:sz w:val="20"/>
          <w:szCs w:val="20"/>
        </w:rPr>
      </w:pPr>
      <w:r w:rsidDel="00000000" w:rsidR="00000000" w:rsidRPr="00000000">
        <w:rPr>
          <w:sz w:val="20"/>
          <w:szCs w:val="20"/>
          <w:rtl w:val="0"/>
        </w:rPr>
        <w:t xml:space="preserve">Drove cybersecurity and infrastructure engagements with IDA (now GovTech), positioning ARM's security solutions for government digital infrastructure programmes — building ecosystem partnerships with CISCO and ST Engineering.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pPr>
      <w:r w:rsidDel="00000000" w:rsidR="00000000" w:rsidRPr="00000000">
        <w:rPr>
          <w:sz w:val="20"/>
          <w:szCs w:val="20"/>
          <w:rtl w:val="0"/>
        </w:rPr>
        <w:t xml:space="preserve">Identified cross-sell opportunities for ARM's IoT platform and security product portfolio across the public agencies supporting GovTech.</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color w:val="003366"/>
          <w:sz w:val="22"/>
          <w:szCs w:val="22"/>
          <w:rtl w:val="0"/>
        </w:rPr>
        <w:t xml:space="preserve">NCS Group</w:t>
      </w:r>
      <w:r w:rsidDel="00000000" w:rsidR="00000000" w:rsidRPr="00000000">
        <w:rPr>
          <w:sz w:val="20"/>
          <w:szCs w:val="20"/>
          <w:rtl w:val="0"/>
        </w:rPr>
        <w:t xml:space="preserve">  |  Business Development, Global Business  |  2016 – 2018</w:t>
      </w:r>
      <w:r w:rsidDel="00000000" w:rsidR="00000000" w:rsidRPr="00000000">
        <w:rPr>
          <w:rtl w:val="0"/>
        </w:rPr>
      </w:r>
    </w:p>
    <w:p w:rsidR="00000000" w:rsidDel="00000000" w:rsidP="00000000" w:rsidRDefault="00000000" w:rsidRPr="00000000" w14:paraId="00000025">
      <w:pPr>
        <w:numPr>
          <w:ilvl w:val="0"/>
          <w:numId w:val="1"/>
        </w:numPr>
        <w:spacing w:after="0" w:line="276" w:lineRule="auto"/>
        <w:ind w:left="360"/>
        <w:rPr>
          <w:rFonts w:ascii="Calibri" w:cs="Calibri" w:eastAsia="Calibri" w:hAnsi="Calibri"/>
          <w:sz w:val="20"/>
          <w:szCs w:val="20"/>
        </w:rPr>
      </w:pPr>
      <w:r w:rsidDel="00000000" w:rsidR="00000000" w:rsidRPr="00000000">
        <w:rPr>
          <w:sz w:val="20"/>
          <w:szCs w:val="20"/>
          <w:rtl w:val="0"/>
        </w:rPr>
        <w:t xml:space="preserve">Owned and grew strategic government accounts, acting as the primary relationship manager for Singapore and HK government agencies driving digital transformation</w:t>
      </w:r>
    </w:p>
    <w:p w:rsidR="00000000" w:rsidDel="00000000" w:rsidP="00000000" w:rsidRDefault="00000000" w:rsidRPr="00000000" w14:paraId="00000026">
      <w:pPr>
        <w:numPr>
          <w:ilvl w:val="0"/>
          <w:numId w:val="1"/>
        </w:numPr>
        <w:spacing w:after="0" w:line="276" w:lineRule="auto"/>
        <w:ind w:left="360"/>
        <w:rPr>
          <w:rFonts w:ascii="Calibri" w:cs="Calibri" w:eastAsia="Calibri" w:hAnsi="Calibri"/>
          <w:sz w:val="20"/>
          <w:szCs w:val="20"/>
        </w:rPr>
      </w:pPr>
      <w:r w:rsidDel="00000000" w:rsidR="00000000" w:rsidRPr="00000000">
        <w:rPr>
          <w:sz w:val="20"/>
          <w:szCs w:val="20"/>
          <w:rtl w:val="0"/>
        </w:rPr>
        <w:t xml:space="preserve">Drove upsell and cross-sell of end-to-end IT/OT solutions — managed services, analytics, cybersecurity, and infrastructure — expanding the account footprint through repeat business.</w:t>
      </w:r>
    </w:p>
    <w:p w:rsidR="00000000" w:rsidDel="00000000" w:rsidP="00000000" w:rsidRDefault="00000000" w:rsidRPr="00000000" w14:paraId="00000027">
      <w:pPr>
        <w:numPr>
          <w:ilvl w:val="0"/>
          <w:numId w:val="1"/>
        </w:numPr>
        <w:spacing w:after="0" w:line="276" w:lineRule="auto"/>
        <w:ind w:left="360"/>
        <w:rPr>
          <w:rFonts w:ascii="Calibri" w:cs="Calibri" w:eastAsia="Calibri" w:hAnsi="Calibri"/>
          <w:sz w:val="20"/>
          <w:szCs w:val="20"/>
        </w:rPr>
      </w:pPr>
      <w:r w:rsidDel="00000000" w:rsidR="00000000" w:rsidRPr="00000000">
        <w:rPr>
          <w:sz w:val="20"/>
          <w:szCs w:val="20"/>
          <w:rtl w:val="0"/>
        </w:rPr>
        <w:t xml:space="preserve">Partnered with delivery teams to shape proposals, win competitive tenders, and provide executive oversight ensuring projects met contractual commitments and client KPIs.</w:t>
      </w:r>
    </w:p>
    <w:p w:rsidR="00000000" w:rsidDel="00000000" w:rsidP="00000000" w:rsidRDefault="00000000" w:rsidRPr="00000000" w14:paraId="00000028">
      <w:pPr>
        <w:numPr>
          <w:ilvl w:val="0"/>
          <w:numId w:val="1"/>
        </w:numPr>
        <w:spacing w:after="0" w:line="276" w:lineRule="auto"/>
        <w:ind w:left="360"/>
        <w:rPr>
          <w:rFonts w:ascii="Calibri" w:cs="Calibri" w:eastAsia="Calibri" w:hAnsi="Calibri"/>
          <w:sz w:val="20"/>
          <w:szCs w:val="20"/>
        </w:rPr>
      </w:pPr>
      <w:r w:rsidDel="00000000" w:rsidR="00000000" w:rsidRPr="00000000">
        <w:rPr>
          <w:sz w:val="20"/>
          <w:szCs w:val="20"/>
          <w:rtl w:val="0"/>
        </w:rPr>
        <w:t xml:space="preserve">Acted as an escalation point for key delivery challenges, ensuring programmes stayed on track and clients remained satisfied across multiple concurrent programmes.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pPr>
      <w:r w:rsidDel="00000000" w:rsidR="00000000" w:rsidRPr="00000000">
        <w:rPr>
          <w:sz w:val="20"/>
          <w:szCs w:val="20"/>
          <w:rtl w:val="0"/>
        </w:rPr>
        <w:t xml:space="preserve">Managed complex, multi-stakeholder engagements across government agencies, navigating formalised public sector procurement and tendering processes.</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color w:val="003366"/>
          <w:sz w:val="22"/>
          <w:szCs w:val="22"/>
          <w:rtl w:val="0"/>
        </w:rPr>
        <w:t xml:space="preserve">Actility SA</w:t>
      </w:r>
      <w:r w:rsidDel="00000000" w:rsidR="00000000" w:rsidRPr="00000000">
        <w:rPr>
          <w:sz w:val="20"/>
          <w:szCs w:val="20"/>
          <w:rtl w:val="0"/>
        </w:rPr>
        <w:t xml:space="preserve">  |  Business Development Director – Telco Solutions  |  2015 – 2016</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Acted as Regional Technical Sales Director for APAC, securing major IoT and Smart City projects, including IDA's Smart Nation initiative</w:t>
      </w:r>
      <w:r w:rsidDel="00000000" w:rsidR="00000000" w:rsidRPr="00000000">
        <w:rPr>
          <w:sz w:val="20"/>
          <w:szCs w:val="20"/>
          <w:rtl w:val="0"/>
        </w:rPr>
        <w:t xml:space="preserve">, working closely with CISCO and ST Engineering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Drove account growth through consultative engagement with government and enterprise stakeholders.</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color w:val="003366"/>
          <w:sz w:val="22"/>
          <w:szCs w:val="22"/>
          <w:rtl w:val="0"/>
        </w:rPr>
        <w:t xml:space="preserve">DigitalRoute AB</w:t>
      </w:r>
      <w:r w:rsidDel="00000000" w:rsidR="00000000" w:rsidRPr="00000000">
        <w:rPr>
          <w:sz w:val="20"/>
          <w:szCs w:val="20"/>
          <w:rtl w:val="0"/>
        </w:rPr>
        <w:t xml:space="preserve">  |  Business Development Director – Telco Solutions  |  2011 – 2015</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Managed regional technical sales across APAC, opening new markets in Greater China and ANZ.</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Won a major project with Jio Reliance, demonstrating ability to penetrate new markets and close large-scale deals.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Sold network infrastructure and data mediation solutions to Tier-1 Telcos across APAC, building deep expertise in telecommunications infrastructure and BSS/OSS platforms.</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color w:val="003366"/>
          <w:sz w:val="22"/>
          <w:szCs w:val="22"/>
          <w:rtl w:val="0"/>
        </w:rPr>
        <w:t xml:space="preserve">Comverse Inc (now Amdocs)</w:t>
      </w:r>
      <w:r w:rsidDel="00000000" w:rsidR="00000000" w:rsidRPr="00000000">
        <w:rPr>
          <w:sz w:val="20"/>
          <w:szCs w:val="20"/>
          <w:rtl w:val="0"/>
        </w:rPr>
        <w:t xml:space="preserve">  |  Business Development Manager – Telco Solutions  |  2008 – 2011</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a regional sales and presales team in Southeast Asia, achieving the largest global win for a new Mobile Advertising Platform at SingTel.</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Delivered network infrastructure and BSS/OSS solutions to major Telcos, building foundational expertise in telecommunications infrastructure sales.</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003366"/>
          <w:sz w:val="22"/>
          <w:szCs w:val="22"/>
          <w:rtl w:val="0"/>
        </w:rPr>
        <w:t xml:space="preserve">Logica (now CGI)</w:t>
      </w:r>
      <w:r w:rsidDel="00000000" w:rsidR="00000000" w:rsidRPr="00000000">
        <w:rPr>
          <w:sz w:val="20"/>
          <w:szCs w:val="20"/>
          <w:rtl w:val="0"/>
        </w:rPr>
        <w:t xml:space="preserve">  |  Senior Solution Consultant – Telco Solutions  |  2005 – 2008</w:t>
      </w:r>
      <w:r w:rsidDel="00000000" w:rsidR="00000000" w:rsidRPr="00000000">
        <w:rPr>
          <w:rtl w:val="0"/>
        </w:rPr>
      </w:r>
    </w:p>
    <w:p w:rsidR="00000000" w:rsidDel="00000000" w:rsidP="00000000" w:rsidRDefault="00000000" w:rsidRPr="00000000" w14:paraId="00000035">
      <w:pPr>
        <w:numPr>
          <w:ilvl w:val="0"/>
          <w:numId w:val="1"/>
        </w:numPr>
        <w:spacing w:after="0" w:lineRule="auto"/>
        <w:ind w:left="360"/>
      </w:pPr>
      <w:r w:rsidDel="00000000" w:rsidR="00000000" w:rsidRPr="00000000">
        <w:rPr>
          <w:sz w:val="20"/>
          <w:szCs w:val="20"/>
          <w:rtl w:val="0"/>
        </w:rPr>
        <w:t xml:space="preserve">Delivered technical consultancy and business analysis for large-scale enterprise system integrations.</w:t>
      </w:r>
      <w:r w:rsidDel="00000000" w:rsidR="00000000" w:rsidRPr="00000000">
        <w:rPr>
          <w:rtl w:val="0"/>
        </w:rPr>
      </w:r>
    </w:p>
    <w:p w:rsidR="00000000" w:rsidDel="00000000" w:rsidP="00000000" w:rsidRDefault="00000000" w:rsidRPr="00000000" w14:paraId="00000036">
      <w:pPr>
        <w:numPr>
          <w:ilvl w:val="0"/>
          <w:numId w:val="1"/>
        </w:numPr>
        <w:ind w:left="360"/>
      </w:pPr>
      <w:r w:rsidDel="00000000" w:rsidR="00000000" w:rsidRPr="00000000">
        <w:rPr>
          <w:sz w:val="20"/>
          <w:szCs w:val="20"/>
          <w:rtl w:val="0"/>
        </w:rPr>
        <w:t xml:space="preserve">Developed foundational expertise in complex system architecture and project governance.</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color w:val="003366"/>
          <w:sz w:val="22"/>
          <w:szCs w:val="22"/>
          <w:rtl w:val="0"/>
        </w:rPr>
        <w:t xml:space="preserve">SingTel &amp; Optus</w:t>
      </w:r>
      <w:r w:rsidDel="00000000" w:rsidR="00000000" w:rsidRPr="00000000">
        <w:rPr>
          <w:sz w:val="20"/>
          <w:szCs w:val="20"/>
          <w:rtl w:val="0"/>
        </w:rPr>
        <w:t xml:space="preserve">  |  Senior Manager in Group IT – Business Solutions  |  2003 – 2005</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Managed large-scale transformation projects and led functional requirement development for enterprise IT systems.</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color w:val="003366"/>
          <w:sz w:val="22"/>
          <w:szCs w:val="22"/>
          <w:rtl w:val="0"/>
        </w:rPr>
        <w:t xml:space="preserve">Capgemini</w:t>
      </w:r>
      <w:r w:rsidDel="00000000" w:rsidR="00000000" w:rsidRPr="00000000">
        <w:rPr>
          <w:sz w:val="20"/>
          <w:szCs w:val="20"/>
          <w:rtl w:val="0"/>
        </w:rPr>
        <w:t xml:space="preserve">  |  Senior Consultant / Account Manager – Telco &amp; Digital  |  2000 – 2003</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strategic accounts for Tier-1 Telco providers in APAC &amp; Europe, focusing on digital customer experience and BSS/OSS modernisation.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Orchestrated large-scale consulting engagements, moving clients from legacy hardware-centric models to software-defined architectures.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Managed complex delivery ecosystems involving third-party vendors and internal offshore delivery centres.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Delivered network infrastructure and system integration projects for Telco clients, including BSS/OSS transformation and infrastructure modernisation.</w:t>
      </w:r>
      <w:r w:rsidDel="00000000" w:rsidR="00000000" w:rsidRPr="00000000">
        <w:rPr>
          <w:rtl w:val="0"/>
        </w:rPr>
      </w:r>
    </w:p>
    <w:p w:rsidR="00000000" w:rsidDel="00000000" w:rsidP="00000000" w:rsidRDefault="00000000" w:rsidRPr="00000000" w14:paraId="0000003E">
      <w:pPr>
        <w:pStyle w:val="Heading2"/>
        <w:rPr>
          <w:color w:val="003366"/>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color w:val="003366"/>
          <w:rtl w:val="0"/>
        </w:rPr>
        <w:t xml:space="preserve">KEY INDUSTRY IMPACT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Strategic Stakeholder Management: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Orchestrated complex public sector engagements aligning internal technical squads with senior government stakeholders (MTI, MAS, GovTech, IMDA, Synapxe, JTC) to deliver bespoke solutions valued at over $15M.</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Consultative Tendering &amp; Solutions: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Successfully led multiple formalised tendering processes and pilot-to-production cycles, transforming off-the-shelf limitations into tailored, high-impact outcomes.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Data-Led Market Expansion: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Utilised CRM-driven insights to identify and cultivate new sector relationships, resulting in a 300% expansion of strategic client pipelines within the Singapore Public Sector and Malaysia GLCs.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color w:val="003366"/>
          <w:rtl w:val="0"/>
        </w:rPr>
        <w:t xml:space="preserve">EDUCATION &amp; CERTIFICATIONS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sz w:val="20"/>
          <w:szCs w:val="20"/>
          <w:rtl w:val="0"/>
        </w:rPr>
        <w:t xml:space="preserve">AIxTech </w:t>
      </w:r>
      <w:r w:rsidDel="00000000" w:rsidR="00000000" w:rsidRPr="00000000">
        <w:rPr>
          <w:sz w:val="20"/>
          <w:szCs w:val="20"/>
          <w:rtl w:val="0"/>
        </w:rPr>
        <w:t xml:space="preserve">— AI Singapore, Nanyang Technological University (NTU)</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sz w:val="20"/>
          <w:szCs w:val="20"/>
          <w:rtl w:val="0"/>
        </w:rPr>
        <w:t xml:space="preserve">FlexiMasters in Artificial Intelligence and AI Ethics — </w:t>
      </w:r>
      <w:r w:rsidDel="00000000" w:rsidR="00000000" w:rsidRPr="00000000">
        <w:rPr>
          <w:sz w:val="20"/>
          <w:szCs w:val="20"/>
          <w:rtl w:val="0"/>
        </w:rPr>
        <w:t xml:space="preserve">Nanyang Technological University (NTU)</w:t>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Coursework: LLMs, Deep Learning, Responsible and Ethical AI</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b w:val="1"/>
          <w:bCs w:val="1"/>
          <w:sz w:val="20"/>
          <w:szCs w:val="20"/>
          <w:rtl w:val="0"/>
        </w:rPr>
        <w:t xml:space="preserve">Specialist Diploma (Business and Big Data Analytics) — </w:t>
      </w:r>
      <w:r w:rsidDel="00000000" w:rsidR="00000000" w:rsidRPr="00000000">
        <w:rPr>
          <w:sz w:val="20"/>
          <w:szCs w:val="20"/>
          <w:rtl w:val="0"/>
        </w:rPr>
        <w:t xml:space="preserve">Nanyang Polytechnic</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Master of Technology (Software Engineering)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Institute of Systems Science (ISS), NUS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pPr>
      <w:r w:rsidDel="00000000" w:rsidR="00000000" w:rsidRPr="00000000">
        <w:rPr>
          <w:b w:val="1"/>
          <w:bCs w:val="1"/>
          <w:sz w:val="20"/>
          <w:szCs w:val="20"/>
          <w:rtl w:val="0"/>
        </w:rPr>
        <w:t xml:space="preserve">Bachelor of Science (Computer Science) — </w:t>
      </w:r>
      <w:r w:rsidDel="00000000" w:rsidR="00000000" w:rsidRPr="00000000">
        <w:rPr>
          <w:sz w:val="20"/>
          <w:szCs w:val="20"/>
          <w:rtl w:val="0"/>
        </w:rPr>
        <w:t xml:space="preserve">National University of Singapore (NUS)</w:t>
      </w:r>
    </w:p>
    <w:p w:rsidR="00000000" w:rsidDel="00000000" w:rsidP="00000000" w:rsidRDefault="00000000" w:rsidRPr="00000000" w14:paraId="00000049">
      <w:pPr>
        <w:pStyle w:val="Heading2"/>
        <w:rPr/>
      </w:pPr>
      <w:r w:rsidDel="00000000" w:rsidR="00000000" w:rsidRPr="00000000">
        <w:rPr>
          <w:color w:val="003366"/>
          <w:rtl w:val="0"/>
        </w:rPr>
        <w:t xml:space="preserve">TECHNICAL SKILLS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Cloud/AI: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Claude, OpenAI, </w:t>
      </w:r>
      <w:r w:rsidDel="00000000" w:rsidR="00000000" w:rsidRPr="00000000">
        <w:rPr>
          <w:sz w:val="20"/>
          <w:szCs w:val="20"/>
          <w:rtl w:val="0"/>
        </w:rPr>
        <w:t xml:space="preserve">GCP/AWS/Azure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AI Stack, Salesforce, Workato, Snowflake/D</w:t>
      </w:r>
      <w:r w:rsidDel="00000000" w:rsidR="00000000" w:rsidRPr="00000000">
        <w:rPr>
          <w:sz w:val="20"/>
          <w:szCs w:val="20"/>
          <w:rtl w:val="0"/>
        </w:rPr>
        <w:t xml:space="preserve">atabricks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MLOps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Methodologies: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Consultative Selling, MEDDPICC, Agile/Scrum, Design Thinking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Languages: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English (Fluent), Mandarin (Professional Working Proficiency)</w:t>
      </w: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