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B8E5" w14:textId="77777777" w:rsidR="006E1D84" w:rsidRDefault="006E1D84">
      <w:pPr>
        <w:jc w:val="center"/>
        <w:rPr>
          <w:b/>
          <w:color w:val="1F4E79"/>
          <w:sz w:val="44"/>
        </w:rPr>
      </w:pPr>
    </w:p>
    <w:p w14:paraId="5A93AAB1" w14:textId="77777777" w:rsidR="006E1D84" w:rsidRDefault="006E1D84">
      <w:pPr>
        <w:jc w:val="center"/>
        <w:rPr>
          <w:b/>
          <w:color w:val="1F4E79"/>
          <w:sz w:val="44"/>
        </w:rPr>
      </w:pPr>
    </w:p>
    <w:p w14:paraId="4B45F767" w14:textId="77777777" w:rsidR="006E1D84" w:rsidRDefault="006E1D84">
      <w:pPr>
        <w:jc w:val="center"/>
        <w:rPr>
          <w:b/>
          <w:color w:val="1F4E79"/>
          <w:sz w:val="44"/>
        </w:rPr>
      </w:pPr>
    </w:p>
    <w:p w14:paraId="31212DCA" w14:textId="77777777" w:rsidR="006E1D84" w:rsidRDefault="006E1D84">
      <w:pPr>
        <w:jc w:val="center"/>
        <w:rPr>
          <w:b/>
          <w:color w:val="1F4E79"/>
          <w:sz w:val="44"/>
        </w:rPr>
      </w:pPr>
    </w:p>
    <w:p w14:paraId="172B1EFE" w14:textId="563101DC" w:rsidR="00C66FC7" w:rsidRDefault="00000000">
      <w:pPr>
        <w:jc w:val="center"/>
      </w:pPr>
      <w:r>
        <w:rPr>
          <w:b/>
          <w:color w:val="1F4E79"/>
          <w:sz w:val="44"/>
        </w:rPr>
        <w:t>WEEK 3 TASK REPORT</w:t>
      </w:r>
    </w:p>
    <w:p w14:paraId="6C50BD4E" w14:textId="77777777" w:rsidR="00C66FC7" w:rsidRPr="006E1D84" w:rsidRDefault="00000000">
      <w:pPr>
        <w:jc w:val="center"/>
        <w:rPr>
          <w:sz w:val="40"/>
          <w:szCs w:val="40"/>
        </w:rPr>
      </w:pPr>
      <w:r w:rsidRPr="006E1D84">
        <w:rPr>
          <w:b/>
          <w:color w:val="1F4E79"/>
          <w:sz w:val="40"/>
          <w:szCs w:val="40"/>
        </w:rPr>
        <w:t>Advanced Data Analysis and Visualization in Logistics</w:t>
      </w:r>
    </w:p>
    <w:p w14:paraId="707B3AAA" w14:textId="77777777" w:rsidR="00C66FC7" w:rsidRPr="006E1D84" w:rsidRDefault="00000000">
      <w:pPr>
        <w:jc w:val="center"/>
        <w:rPr>
          <w:sz w:val="36"/>
          <w:szCs w:val="36"/>
        </w:rPr>
      </w:pPr>
      <w:r w:rsidRPr="006E1D84">
        <w:rPr>
          <w:b/>
          <w:color w:val="1F4E79"/>
          <w:sz w:val="36"/>
          <w:szCs w:val="36"/>
        </w:rPr>
        <w:t>Academic Year: 2026–2027</w:t>
      </w:r>
    </w:p>
    <w:p w14:paraId="42868A29" w14:textId="77777777" w:rsidR="00C66FC7" w:rsidRPr="006E1D84" w:rsidRDefault="00000000">
      <w:pPr>
        <w:jc w:val="center"/>
        <w:rPr>
          <w:sz w:val="36"/>
          <w:szCs w:val="36"/>
        </w:rPr>
      </w:pPr>
      <w:r w:rsidRPr="006E1D84">
        <w:rPr>
          <w:sz w:val="36"/>
          <w:szCs w:val="36"/>
        </w:rPr>
        <w:t>Internship Project: Logistics Data Analysis Internship</w:t>
      </w:r>
    </w:p>
    <w:p w14:paraId="3E6F3138" w14:textId="77777777" w:rsidR="00C66FC7" w:rsidRPr="006E1D84" w:rsidRDefault="00000000">
      <w:pPr>
        <w:jc w:val="center"/>
        <w:rPr>
          <w:sz w:val="36"/>
          <w:szCs w:val="36"/>
        </w:rPr>
      </w:pPr>
      <w:r w:rsidRPr="006E1D84">
        <w:rPr>
          <w:sz w:val="36"/>
          <w:szCs w:val="36"/>
        </w:rPr>
        <w:t>Institution: CMR Technical Campus, Hyderabad, Telangana</w:t>
      </w:r>
    </w:p>
    <w:p w14:paraId="4AC00184" w14:textId="77777777" w:rsidR="00C66FC7" w:rsidRPr="006E1D84" w:rsidRDefault="00000000">
      <w:pPr>
        <w:jc w:val="center"/>
        <w:rPr>
          <w:sz w:val="36"/>
          <w:szCs w:val="36"/>
        </w:rPr>
      </w:pPr>
      <w:r w:rsidRPr="006E1D84">
        <w:rPr>
          <w:sz w:val="36"/>
          <w:szCs w:val="36"/>
        </w:rPr>
        <w:t xml:space="preserve">Programme: </w:t>
      </w:r>
      <w:proofErr w:type="gramStart"/>
      <w:r w:rsidRPr="006E1D84">
        <w:rPr>
          <w:sz w:val="36"/>
          <w:szCs w:val="36"/>
        </w:rPr>
        <w:t>B.Tech</w:t>
      </w:r>
      <w:proofErr w:type="gramEnd"/>
      <w:r w:rsidRPr="006E1D84">
        <w:rPr>
          <w:sz w:val="36"/>
          <w:szCs w:val="36"/>
        </w:rPr>
        <w:t xml:space="preserve"> – Computer Science and Data Science</w:t>
      </w:r>
    </w:p>
    <w:p w14:paraId="43070C6E" w14:textId="77777777" w:rsidR="00C66FC7" w:rsidRPr="006E1D84" w:rsidRDefault="00000000">
      <w:pPr>
        <w:jc w:val="center"/>
        <w:rPr>
          <w:sz w:val="36"/>
          <w:szCs w:val="36"/>
        </w:rPr>
      </w:pPr>
      <w:r w:rsidRPr="006E1D84">
        <w:rPr>
          <w:sz w:val="36"/>
          <w:szCs w:val="36"/>
        </w:rPr>
        <w:t>Prepared by: Geetha Bonagiri</w:t>
      </w:r>
    </w:p>
    <w:p w14:paraId="7C3125B4" w14:textId="77777777" w:rsidR="006E1D84" w:rsidRPr="006E1D84" w:rsidRDefault="006E1D84">
      <w:pPr>
        <w:rPr>
          <w:sz w:val="36"/>
          <w:szCs w:val="36"/>
        </w:rPr>
      </w:pPr>
    </w:p>
    <w:p w14:paraId="4B00C809" w14:textId="77777777" w:rsidR="006E1D84" w:rsidRDefault="006E1D84"/>
    <w:p w14:paraId="3C3B59E2" w14:textId="77777777" w:rsidR="006E1D84" w:rsidRDefault="006E1D84"/>
    <w:p w14:paraId="6E1CBA26" w14:textId="77777777" w:rsidR="006E1D84" w:rsidRDefault="006E1D84"/>
    <w:p w14:paraId="260A1F26" w14:textId="77777777" w:rsidR="006E1D84" w:rsidRDefault="006E1D84"/>
    <w:p w14:paraId="279BD5A9" w14:textId="77777777" w:rsidR="006E1D84" w:rsidRDefault="006E1D84"/>
    <w:p w14:paraId="312C7D44" w14:textId="77777777" w:rsidR="006E1D84" w:rsidRDefault="006E1D84"/>
    <w:p w14:paraId="13C93D77" w14:textId="77777777" w:rsidR="006E1D84" w:rsidRDefault="006E1D84"/>
    <w:p w14:paraId="1E7B9BC5" w14:textId="77777777" w:rsidR="006E1D84" w:rsidRDefault="006E1D84"/>
    <w:p w14:paraId="147C127B" w14:textId="77777777" w:rsidR="006E1D84" w:rsidRDefault="006E1D84"/>
    <w:p w14:paraId="31507080" w14:textId="77777777" w:rsidR="006E1D84" w:rsidRDefault="006E1D84"/>
    <w:p w14:paraId="5D976363" w14:textId="77777777" w:rsidR="006E1D84" w:rsidRDefault="006E1D84"/>
    <w:p w14:paraId="21243869" w14:textId="77777777" w:rsidR="00D4426D" w:rsidRDefault="00D4426D" w:rsidP="00D4426D"/>
    <w:p w14:paraId="60E36257" w14:textId="402D33AD" w:rsidR="00C66FC7" w:rsidRPr="00D4426D" w:rsidRDefault="00000000" w:rsidP="00D4426D">
      <w:pPr>
        <w:rPr>
          <w:b/>
          <w:bCs/>
          <w:color w:val="244061" w:themeColor="accent1" w:themeShade="80"/>
          <w:sz w:val="28"/>
          <w:szCs w:val="28"/>
        </w:rPr>
      </w:pPr>
      <w:r w:rsidRPr="00D4426D">
        <w:rPr>
          <w:b/>
          <w:bCs/>
          <w:color w:val="244061" w:themeColor="accent1" w:themeShade="80"/>
          <w:sz w:val="28"/>
          <w:szCs w:val="28"/>
        </w:rPr>
        <w:lastRenderedPageBreak/>
        <w:t>Acknowledgement</w:t>
      </w:r>
    </w:p>
    <w:p w14:paraId="0E408F5B" w14:textId="77777777" w:rsidR="00C66FC7" w:rsidRDefault="00000000">
      <w:pPr>
        <w:spacing w:after="40"/>
        <w:ind w:left="288"/>
      </w:pPr>
      <w:r>
        <w:t>I would like to thank the internship team for providing an opportunity to practise data analysis in a logistics context. This report documents the data preparation, statistical summaries, visual exploration, interpretation, and recommendations completed for the Week 3 task.</w:t>
      </w:r>
    </w:p>
    <w:p w14:paraId="5DC8512D" w14:textId="77777777" w:rsidR="00C66FC7" w:rsidRDefault="00000000">
      <w:pPr>
        <w:pStyle w:val="Heading1"/>
      </w:pPr>
      <w:r>
        <w:t>Abstract</w:t>
      </w:r>
    </w:p>
    <w:p w14:paraId="68DF113F" w14:textId="77777777" w:rsidR="00C66FC7" w:rsidRDefault="00000000">
      <w:pPr>
        <w:spacing w:after="40"/>
        <w:ind w:left="288"/>
      </w:pPr>
      <w:r>
        <w:t>This report applies exploratory data analysis (EDA) and visualization to 250 simulated logistics shipments. It summarizes delivery time, transport cost, transport-mode performance, regional on-time delivery, and numeric relationships. The analysis identifies patterns that can guide monitoring and planning, while recognizing that simulated data cannot establish real-world performance or causality.</w:t>
      </w:r>
    </w:p>
    <w:p w14:paraId="50A59F4A" w14:textId="77777777" w:rsidR="00C66FC7" w:rsidRDefault="00000000">
      <w:pPr>
        <w:pStyle w:val="Heading1"/>
      </w:pPr>
      <w:r>
        <w:t>Contents</w:t>
      </w:r>
    </w:p>
    <w:p w14:paraId="7CDCA7F4" w14:textId="77777777" w:rsidR="00C66FC7" w:rsidRDefault="00000000">
      <w:pPr>
        <w:spacing w:after="40"/>
        <w:ind w:left="288"/>
      </w:pPr>
      <w:r>
        <w:t>Executive Summary</w:t>
      </w:r>
    </w:p>
    <w:p w14:paraId="3824462F" w14:textId="77777777" w:rsidR="00C66FC7" w:rsidRDefault="00000000">
      <w:pPr>
        <w:spacing w:after="40"/>
        <w:ind w:left="288"/>
      </w:pPr>
      <w:r>
        <w:t>Introduction and Objectives</w:t>
      </w:r>
    </w:p>
    <w:p w14:paraId="62A54D5E" w14:textId="77777777" w:rsidR="00C66FC7" w:rsidRDefault="00000000">
      <w:pPr>
        <w:spacing w:after="40"/>
        <w:ind w:left="288"/>
      </w:pPr>
      <w:r>
        <w:t>Dataset Design and Methodology</w:t>
      </w:r>
    </w:p>
    <w:p w14:paraId="7A95F63F" w14:textId="77777777" w:rsidR="00C66FC7" w:rsidRDefault="00000000">
      <w:pPr>
        <w:spacing w:after="40"/>
        <w:ind w:left="288"/>
      </w:pPr>
      <w:r>
        <w:t>Data Preparation and Exploratory Data Analysis</w:t>
      </w:r>
    </w:p>
    <w:p w14:paraId="6614CCB0" w14:textId="77777777" w:rsidR="00C66FC7" w:rsidRDefault="00000000">
      <w:pPr>
        <w:spacing w:after="40"/>
        <w:ind w:left="288"/>
      </w:pPr>
      <w:r>
        <w:t>Descriptive Statistics and Visualizations</w:t>
      </w:r>
    </w:p>
    <w:p w14:paraId="46FD7B3E" w14:textId="77777777" w:rsidR="00C66FC7" w:rsidRDefault="00000000">
      <w:pPr>
        <w:spacing w:after="40"/>
        <w:ind w:left="288"/>
      </w:pPr>
      <w:r>
        <w:t>Key Findings</w:t>
      </w:r>
    </w:p>
    <w:p w14:paraId="056DC44E" w14:textId="77777777" w:rsidR="00C66FC7" w:rsidRDefault="00000000">
      <w:pPr>
        <w:spacing w:after="40"/>
        <w:ind w:left="288"/>
      </w:pPr>
      <w:r>
        <w:t>Recommendations</w:t>
      </w:r>
    </w:p>
    <w:p w14:paraId="5F10A273" w14:textId="77777777" w:rsidR="00C66FC7" w:rsidRDefault="00000000">
      <w:pPr>
        <w:spacing w:after="40"/>
        <w:ind w:left="288"/>
      </w:pPr>
      <w:r>
        <w:t>How Visualizations Support Decisions</w:t>
      </w:r>
    </w:p>
    <w:p w14:paraId="1C3505DF" w14:textId="77777777" w:rsidR="00C66FC7" w:rsidRDefault="00000000">
      <w:pPr>
        <w:spacing w:after="40"/>
        <w:ind w:left="288"/>
      </w:pPr>
      <w:r>
        <w:t>Python Tools and Code</w:t>
      </w:r>
    </w:p>
    <w:p w14:paraId="392F0BA9" w14:textId="77777777" w:rsidR="00C66FC7" w:rsidRDefault="00000000">
      <w:pPr>
        <w:spacing w:after="40"/>
        <w:ind w:left="288"/>
      </w:pPr>
      <w:r>
        <w:t>Limitations</w:t>
      </w:r>
    </w:p>
    <w:p w14:paraId="5CDF2F74" w14:textId="77777777" w:rsidR="00C66FC7" w:rsidRDefault="00000000">
      <w:pPr>
        <w:spacing w:after="40"/>
        <w:ind w:left="288"/>
      </w:pPr>
      <w:r>
        <w:t>Conclusion</w:t>
      </w:r>
    </w:p>
    <w:p w14:paraId="792C65E8" w14:textId="77777777" w:rsidR="00C66FC7" w:rsidRDefault="00000000">
      <w:pPr>
        <w:spacing w:after="40"/>
        <w:ind w:left="288"/>
      </w:pPr>
      <w:r>
        <w:t>Appendix: Reproducibility</w:t>
      </w:r>
    </w:p>
    <w:p w14:paraId="374E5D48" w14:textId="77777777" w:rsidR="00C66FC7" w:rsidRDefault="00000000">
      <w:pPr>
        <w:pStyle w:val="Heading1"/>
      </w:pPr>
      <w:r>
        <w:t>Executive Summary</w:t>
      </w:r>
    </w:p>
    <w:p w14:paraId="545D717D" w14:textId="77777777" w:rsidR="00C66FC7" w:rsidRDefault="00000000">
      <w:r>
        <w:t>This report analyzes 250 simulated shipments to understand delivery speed, transportation costs, regional service levels, and relationships between shipment characteristics. The overall on-time delivery rate is 64.8%. Average delivery time is 2.45 days (median 2.21 days), and average transportation cost is ₹179.75 (median ₹173.31). The analysis uses descriptive statistics, grouped comparisons, histograms, scatter plots, a regional bar chart, and a correlation matrix. Since the data are hypothetical, results demonstrate a method and should not be treated as actual company performance.</w:t>
      </w:r>
    </w:p>
    <w:p w14:paraId="1FD7BC8D" w14:textId="77777777" w:rsidR="00C66FC7" w:rsidRDefault="00000000">
      <w:pPr>
        <w:pStyle w:val="Heading1"/>
      </w:pPr>
      <w:r>
        <w:lastRenderedPageBreak/>
        <w:t>Objectives</w:t>
      </w:r>
    </w:p>
    <w:p w14:paraId="32693588" w14:textId="77777777" w:rsidR="00C66FC7" w:rsidRDefault="00000000">
      <w:pPr>
        <w:pStyle w:val="ListBullet"/>
      </w:pPr>
      <w:r>
        <w:t>Create a realistic, reproducible hypothetical logistics dataset.</w:t>
      </w:r>
    </w:p>
    <w:p w14:paraId="093760C0" w14:textId="77777777" w:rsidR="00C66FC7" w:rsidRDefault="00000000">
      <w:pPr>
        <w:pStyle w:val="ListBullet"/>
      </w:pPr>
      <w:r>
        <w:t>Explore data structure, quality, central tendency, spread, distributions, and correlations.</w:t>
      </w:r>
    </w:p>
    <w:p w14:paraId="2C875E06" w14:textId="77777777" w:rsidR="00C66FC7" w:rsidRDefault="00000000">
      <w:pPr>
        <w:pStyle w:val="ListBullet"/>
      </w:pPr>
      <w:r>
        <w:t>Visualize delivery performance, cost patterns, transport-mode differences, and regional service levels.</w:t>
      </w:r>
    </w:p>
    <w:p w14:paraId="602ECF77" w14:textId="77777777" w:rsidR="00C66FC7" w:rsidRDefault="00000000">
      <w:pPr>
        <w:pStyle w:val="ListBullet"/>
      </w:pPr>
      <w:r>
        <w:t>Translate patterns into practical recommendations for logistics planning and monitoring.</w:t>
      </w:r>
    </w:p>
    <w:p w14:paraId="7ED9E669" w14:textId="77777777" w:rsidR="00C66FC7" w:rsidRDefault="00000000">
      <w:pPr>
        <w:pStyle w:val="Heading1"/>
      </w:pPr>
      <w:r>
        <w:t>Dataset Design and Methodology</w:t>
      </w:r>
    </w:p>
    <w:p w14:paraId="086956B7" w14:textId="77777777" w:rsidR="00C66FC7" w:rsidRDefault="00000000">
      <w:r>
        <w:t>The dataset contains 250 shipment records across five regions and three transport modes. Each row represents one shipment. The data were generated with a fixed random seed so the analysis can be reproduced. Delivery time and cost are simulated from distance, weight, volume, transport mode, and random variation; a small proportion of shipments receive additional delay.</w:t>
      </w:r>
    </w:p>
    <w:tbl>
      <w:tblPr>
        <w:tblStyle w:val="LightShading-Accent1"/>
        <w:tblW w:w="0" w:type="auto"/>
        <w:jc w:val="center"/>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90"/>
        <w:gridCol w:w="3669"/>
        <w:gridCol w:w="3933"/>
      </w:tblGrid>
      <w:tr w:rsidR="00C66FC7" w14:paraId="707EA051" w14:textId="77777777" w:rsidTr="00C66FC7">
        <w:trPr>
          <w:cnfStyle w:val="100000000000" w:firstRow="1" w:lastRow="0" w:firstColumn="0" w:lastColumn="0" w:oddVBand="0" w:evenVBand="0" w:oddHBand="0" w:evenHBand="0" w:firstRowFirstColumn="0" w:firstRowLastColumn="0" w:lastRowFirstColumn="0" w:lastRowLastColumn="0"/>
          <w:cantSplit/>
          <w:tblHeader/>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C3054AA" w14:textId="77777777" w:rsidR="00C66FC7" w:rsidRDefault="00000000">
            <w:pPr>
              <w:keepLines/>
              <w:spacing w:after="40"/>
            </w:pPr>
            <w:r>
              <w:rPr>
                <w:sz w:val="20"/>
              </w:rPr>
              <w:t>Variable</w:t>
            </w:r>
          </w:p>
        </w:tc>
        <w:tc>
          <w:tcPr>
            <w:tcW w:w="392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52CE1B6"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Meaning</w:t>
            </w:r>
          </w:p>
        </w:tc>
        <w:tc>
          <w:tcPr>
            <w:tcW w:w="424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5DBE8CB"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Type</w:t>
            </w:r>
          </w:p>
        </w:tc>
      </w:tr>
      <w:tr w:rsidR="00C66FC7" w14:paraId="696F9268"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44D924D5" w14:textId="77777777" w:rsidR="00C66FC7" w:rsidRDefault="00000000">
            <w:pPr>
              <w:keepLines/>
              <w:spacing w:after="40"/>
            </w:pPr>
            <w:r>
              <w:rPr>
                <w:sz w:val="20"/>
              </w:rPr>
              <w:t>Shipment_ID</w:t>
            </w:r>
          </w:p>
        </w:tc>
        <w:tc>
          <w:tcPr>
            <w:tcW w:w="3926" w:type="dxa"/>
            <w:tcBorders>
              <w:top w:val="single" w:sz="8" w:space="0" w:color="000000"/>
              <w:left w:val="single" w:sz="8" w:space="0" w:color="000000"/>
              <w:bottom w:val="single" w:sz="8" w:space="0" w:color="000000"/>
              <w:right w:val="single" w:sz="8" w:space="0" w:color="000000"/>
            </w:tcBorders>
            <w:vAlign w:val="center"/>
          </w:tcPr>
          <w:p w14:paraId="5966DE50"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Unique shipment identifier</w:t>
            </w:r>
          </w:p>
        </w:tc>
        <w:tc>
          <w:tcPr>
            <w:tcW w:w="4246" w:type="dxa"/>
            <w:tcBorders>
              <w:top w:val="single" w:sz="8" w:space="0" w:color="000000"/>
              <w:left w:val="single" w:sz="8" w:space="0" w:color="000000"/>
              <w:bottom w:val="single" w:sz="8" w:space="0" w:color="000000"/>
              <w:right w:val="single" w:sz="8" w:space="0" w:color="000000"/>
            </w:tcBorders>
            <w:vAlign w:val="center"/>
          </w:tcPr>
          <w:p w14:paraId="5A6B8238"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Categorical ID</w:t>
            </w:r>
          </w:p>
        </w:tc>
      </w:tr>
      <w:tr w:rsidR="00C66FC7" w14:paraId="22F9A917"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7850877B" w14:textId="77777777" w:rsidR="00C66FC7" w:rsidRDefault="00000000">
            <w:pPr>
              <w:keepLines/>
              <w:spacing w:after="40"/>
            </w:pPr>
            <w:r>
              <w:rPr>
                <w:sz w:val="20"/>
              </w:rPr>
              <w:t>Shipment_Date</w:t>
            </w:r>
          </w:p>
        </w:tc>
        <w:tc>
          <w:tcPr>
            <w:tcW w:w="3926" w:type="dxa"/>
            <w:tcBorders>
              <w:top w:val="single" w:sz="8" w:space="0" w:color="000000"/>
              <w:left w:val="single" w:sz="8" w:space="0" w:color="000000"/>
              <w:bottom w:val="single" w:sz="8" w:space="0" w:color="000000"/>
              <w:right w:val="single" w:sz="8" w:space="0" w:color="000000"/>
            </w:tcBorders>
            <w:vAlign w:val="center"/>
          </w:tcPr>
          <w:p w14:paraId="446A6282"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Simulated shipment date</w:t>
            </w:r>
          </w:p>
        </w:tc>
        <w:tc>
          <w:tcPr>
            <w:tcW w:w="4246" w:type="dxa"/>
            <w:tcBorders>
              <w:top w:val="single" w:sz="8" w:space="0" w:color="000000"/>
              <w:left w:val="single" w:sz="8" w:space="0" w:color="000000"/>
              <w:bottom w:val="single" w:sz="8" w:space="0" w:color="000000"/>
              <w:right w:val="single" w:sz="8" w:space="0" w:color="000000"/>
            </w:tcBorders>
            <w:vAlign w:val="center"/>
          </w:tcPr>
          <w:p w14:paraId="4051F390"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Date</w:t>
            </w:r>
          </w:p>
        </w:tc>
      </w:tr>
      <w:tr w:rsidR="00C66FC7" w14:paraId="5B4C7221"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5ED89FA9" w14:textId="77777777" w:rsidR="00C66FC7" w:rsidRDefault="00000000">
            <w:pPr>
              <w:keepLines/>
              <w:spacing w:after="40"/>
            </w:pPr>
            <w:r>
              <w:rPr>
                <w:sz w:val="20"/>
              </w:rPr>
              <w:t>Region</w:t>
            </w:r>
          </w:p>
        </w:tc>
        <w:tc>
          <w:tcPr>
            <w:tcW w:w="3926" w:type="dxa"/>
            <w:tcBorders>
              <w:top w:val="single" w:sz="8" w:space="0" w:color="000000"/>
              <w:left w:val="single" w:sz="8" w:space="0" w:color="000000"/>
              <w:bottom w:val="single" w:sz="8" w:space="0" w:color="000000"/>
              <w:right w:val="single" w:sz="8" w:space="0" w:color="000000"/>
            </w:tcBorders>
            <w:vAlign w:val="center"/>
          </w:tcPr>
          <w:p w14:paraId="3771FB19"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North, South, East, West, Central</w:t>
            </w:r>
          </w:p>
        </w:tc>
        <w:tc>
          <w:tcPr>
            <w:tcW w:w="4246" w:type="dxa"/>
            <w:tcBorders>
              <w:top w:val="single" w:sz="8" w:space="0" w:color="000000"/>
              <w:left w:val="single" w:sz="8" w:space="0" w:color="000000"/>
              <w:bottom w:val="single" w:sz="8" w:space="0" w:color="000000"/>
              <w:right w:val="single" w:sz="8" w:space="0" w:color="000000"/>
            </w:tcBorders>
            <w:vAlign w:val="center"/>
          </w:tcPr>
          <w:p w14:paraId="2ABACCB8"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Categorical</w:t>
            </w:r>
          </w:p>
        </w:tc>
      </w:tr>
      <w:tr w:rsidR="00C66FC7" w14:paraId="7F11147F"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1EC33A2D" w14:textId="77777777" w:rsidR="00C66FC7" w:rsidRDefault="00000000">
            <w:pPr>
              <w:keepLines/>
              <w:spacing w:after="40"/>
            </w:pPr>
            <w:r>
              <w:rPr>
                <w:sz w:val="20"/>
              </w:rPr>
              <w:t>Transport_Mode</w:t>
            </w:r>
          </w:p>
        </w:tc>
        <w:tc>
          <w:tcPr>
            <w:tcW w:w="3926" w:type="dxa"/>
            <w:tcBorders>
              <w:top w:val="single" w:sz="8" w:space="0" w:color="000000"/>
              <w:left w:val="single" w:sz="8" w:space="0" w:color="000000"/>
              <w:bottom w:val="single" w:sz="8" w:space="0" w:color="000000"/>
              <w:right w:val="single" w:sz="8" w:space="0" w:color="000000"/>
            </w:tcBorders>
            <w:vAlign w:val="center"/>
          </w:tcPr>
          <w:p w14:paraId="429B9030"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Road, Rail, or Air</w:t>
            </w:r>
          </w:p>
        </w:tc>
        <w:tc>
          <w:tcPr>
            <w:tcW w:w="4246" w:type="dxa"/>
            <w:tcBorders>
              <w:top w:val="single" w:sz="8" w:space="0" w:color="000000"/>
              <w:left w:val="single" w:sz="8" w:space="0" w:color="000000"/>
              <w:bottom w:val="single" w:sz="8" w:space="0" w:color="000000"/>
              <w:right w:val="single" w:sz="8" w:space="0" w:color="000000"/>
            </w:tcBorders>
            <w:vAlign w:val="center"/>
          </w:tcPr>
          <w:p w14:paraId="64F751FC"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Categorical</w:t>
            </w:r>
          </w:p>
        </w:tc>
      </w:tr>
      <w:tr w:rsidR="00C66FC7" w14:paraId="6B639B3A"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4D4C582D" w14:textId="77777777" w:rsidR="00C66FC7" w:rsidRDefault="00000000">
            <w:pPr>
              <w:keepLines/>
              <w:spacing w:after="40"/>
            </w:pPr>
            <w:r>
              <w:rPr>
                <w:sz w:val="20"/>
              </w:rPr>
              <w:t>Distance_km</w:t>
            </w:r>
          </w:p>
        </w:tc>
        <w:tc>
          <w:tcPr>
            <w:tcW w:w="3926" w:type="dxa"/>
            <w:tcBorders>
              <w:top w:val="single" w:sz="8" w:space="0" w:color="000000"/>
              <w:left w:val="single" w:sz="8" w:space="0" w:color="000000"/>
              <w:bottom w:val="single" w:sz="8" w:space="0" w:color="000000"/>
              <w:right w:val="single" w:sz="8" w:space="0" w:color="000000"/>
            </w:tcBorders>
            <w:vAlign w:val="center"/>
          </w:tcPr>
          <w:p w14:paraId="04DFA2EC"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Shipment distance in kilometres</w:t>
            </w:r>
          </w:p>
        </w:tc>
        <w:tc>
          <w:tcPr>
            <w:tcW w:w="4246" w:type="dxa"/>
            <w:tcBorders>
              <w:top w:val="single" w:sz="8" w:space="0" w:color="000000"/>
              <w:left w:val="single" w:sz="8" w:space="0" w:color="000000"/>
              <w:bottom w:val="single" w:sz="8" w:space="0" w:color="000000"/>
              <w:right w:val="single" w:sz="8" w:space="0" w:color="000000"/>
            </w:tcBorders>
            <w:vAlign w:val="center"/>
          </w:tcPr>
          <w:p w14:paraId="1279F2C8"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Numeric</w:t>
            </w:r>
          </w:p>
        </w:tc>
      </w:tr>
      <w:tr w:rsidR="00C66FC7" w14:paraId="028F9755"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6746DF3A" w14:textId="77777777" w:rsidR="00C66FC7" w:rsidRDefault="00000000">
            <w:pPr>
              <w:keepLines/>
              <w:spacing w:after="40"/>
            </w:pPr>
            <w:r>
              <w:rPr>
                <w:sz w:val="20"/>
              </w:rPr>
              <w:t>Weight_kg</w:t>
            </w:r>
          </w:p>
        </w:tc>
        <w:tc>
          <w:tcPr>
            <w:tcW w:w="3926" w:type="dxa"/>
            <w:tcBorders>
              <w:top w:val="single" w:sz="8" w:space="0" w:color="000000"/>
              <w:left w:val="single" w:sz="8" w:space="0" w:color="000000"/>
              <w:bottom w:val="single" w:sz="8" w:space="0" w:color="000000"/>
              <w:right w:val="single" w:sz="8" w:space="0" w:color="000000"/>
            </w:tcBorders>
            <w:vAlign w:val="center"/>
          </w:tcPr>
          <w:p w14:paraId="24EEA849"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Shipment weight in kilograms</w:t>
            </w:r>
          </w:p>
        </w:tc>
        <w:tc>
          <w:tcPr>
            <w:tcW w:w="4246" w:type="dxa"/>
            <w:tcBorders>
              <w:top w:val="single" w:sz="8" w:space="0" w:color="000000"/>
              <w:left w:val="single" w:sz="8" w:space="0" w:color="000000"/>
              <w:bottom w:val="single" w:sz="8" w:space="0" w:color="000000"/>
              <w:right w:val="single" w:sz="8" w:space="0" w:color="000000"/>
            </w:tcBorders>
            <w:vAlign w:val="center"/>
          </w:tcPr>
          <w:p w14:paraId="72BAC7CA"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Numeric</w:t>
            </w:r>
          </w:p>
        </w:tc>
      </w:tr>
      <w:tr w:rsidR="00C66FC7" w14:paraId="43C032DE"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59AD5099" w14:textId="77777777" w:rsidR="00C66FC7" w:rsidRDefault="00000000">
            <w:pPr>
              <w:keepLines/>
              <w:spacing w:after="40"/>
            </w:pPr>
            <w:r>
              <w:rPr>
                <w:sz w:val="20"/>
              </w:rPr>
              <w:t>Shipment_Volume_units</w:t>
            </w:r>
          </w:p>
        </w:tc>
        <w:tc>
          <w:tcPr>
            <w:tcW w:w="3926" w:type="dxa"/>
            <w:tcBorders>
              <w:top w:val="single" w:sz="8" w:space="0" w:color="000000"/>
              <w:left w:val="single" w:sz="8" w:space="0" w:color="000000"/>
              <w:bottom w:val="single" w:sz="8" w:space="0" w:color="000000"/>
              <w:right w:val="single" w:sz="8" w:space="0" w:color="000000"/>
            </w:tcBorders>
            <w:vAlign w:val="center"/>
          </w:tcPr>
          <w:p w14:paraId="68F9EAAE"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Number of units in shipment</w:t>
            </w:r>
          </w:p>
        </w:tc>
        <w:tc>
          <w:tcPr>
            <w:tcW w:w="4246" w:type="dxa"/>
            <w:tcBorders>
              <w:top w:val="single" w:sz="8" w:space="0" w:color="000000"/>
              <w:left w:val="single" w:sz="8" w:space="0" w:color="000000"/>
              <w:bottom w:val="single" w:sz="8" w:space="0" w:color="000000"/>
              <w:right w:val="single" w:sz="8" w:space="0" w:color="000000"/>
            </w:tcBorders>
            <w:vAlign w:val="center"/>
          </w:tcPr>
          <w:p w14:paraId="56ACF1AC"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Integer</w:t>
            </w:r>
          </w:p>
        </w:tc>
      </w:tr>
      <w:tr w:rsidR="00C66FC7" w14:paraId="48D3F5C4"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3F6C5141" w14:textId="77777777" w:rsidR="00C66FC7" w:rsidRDefault="00000000">
            <w:pPr>
              <w:keepLines/>
              <w:spacing w:after="40"/>
            </w:pPr>
            <w:r>
              <w:rPr>
                <w:sz w:val="20"/>
              </w:rPr>
              <w:t>Delivery_Time_days</w:t>
            </w:r>
          </w:p>
        </w:tc>
        <w:tc>
          <w:tcPr>
            <w:tcW w:w="3926" w:type="dxa"/>
            <w:tcBorders>
              <w:top w:val="single" w:sz="8" w:space="0" w:color="000000"/>
              <w:left w:val="single" w:sz="8" w:space="0" w:color="000000"/>
              <w:bottom w:val="single" w:sz="8" w:space="0" w:color="000000"/>
              <w:right w:val="single" w:sz="8" w:space="0" w:color="000000"/>
            </w:tcBorders>
            <w:vAlign w:val="center"/>
          </w:tcPr>
          <w:p w14:paraId="397605F4"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Elapsed delivery time in days</w:t>
            </w:r>
          </w:p>
        </w:tc>
        <w:tc>
          <w:tcPr>
            <w:tcW w:w="4246" w:type="dxa"/>
            <w:tcBorders>
              <w:top w:val="single" w:sz="8" w:space="0" w:color="000000"/>
              <w:left w:val="single" w:sz="8" w:space="0" w:color="000000"/>
              <w:bottom w:val="single" w:sz="8" w:space="0" w:color="000000"/>
              <w:right w:val="single" w:sz="8" w:space="0" w:color="000000"/>
            </w:tcBorders>
            <w:vAlign w:val="center"/>
          </w:tcPr>
          <w:p w14:paraId="7FCF2539"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Numeric</w:t>
            </w:r>
          </w:p>
        </w:tc>
      </w:tr>
      <w:tr w:rsidR="00C66FC7" w14:paraId="0D270ADE"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06883600" w14:textId="77777777" w:rsidR="00C66FC7" w:rsidRDefault="00000000">
            <w:pPr>
              <w:keepLines/>
              <w:spacing w:after="40"/>
            </w:pPr>
            <w:r>
              <w:rPr>
                <w:sz w:val="20"/>
              </w:rPr>
              <w:t>Transport_Cost_INR</w:t>
            </w:r>
          </w:p>
        </w:tc>
        <w:tc>
          <w:tcPr>
            <w:tcW w:w="3926" w:type="dxa"/>
            <w:tcBorders>
              <w:top w:val="single" w:sz="8" w:space="0" w:color="000000"/>
              <w:left w:val="single" w:sz="8" w:space="0" w:color="000000"/>
              <w:bottom w:val="single" w:sz="8" w:space="0" w:color="000000"/>
              <w:right w:val="single" w:sz="8" w:space="0" w:color="000000"/>
            </w:tcBorders>
            <w:vAlign w:val="center"/>
          </w:tcPr>
          <w:p w14:paraId="328C50A7"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Simulated transportation cost in rupees</w:t>
            </w:r>
          </w:p>
        </w:tc>
        <w:tc>
          <w:tcPr>
            <w:tcW w:w="4246" w:type="dxa"/>
            <w:tcBorders>
              <w:top w:val="single" w:sz="8" w:space="0" w:color="000000"/>
              <w:left w:val="single" w:sz="8" w:space="0" w:color="000000"/>
              <w:bottom w:val="single" w:sz="8" w:space="0" w:color="000000"/>
              <w:right w:val="single" w:sz="8" w:space="0" w:color="000000"/>
            </w:tcBorders>
            <w:vAlign w:val="center"/>
          </w:tcPr>
          <w:p w14:paraId="4BFEE86A"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Numeric</w:t>
            </w:r>
          </w:p>
        </w:tc>
      </w:tr>
      <w:tr w:rsidR="00C66FC7" w14:paraId="6037DB89"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2DD8B0C1" w14:textId="77777777" w:rsidR="00C66FC7" w:rsidRDefault="00000000">
            <w:pPr>
              <w:keepLines/>
              <w:spacing w:after="40"/>
            </w:pPr>
            <w:r>
              <w:rPr>
                <w:sz w:val="20"/>
              </w:rPr>
              <w:t>On_Time_Delivery</w:t>
            </w:r>
          </w:p>
        </w:tc>
        <w:tc>
          <w:tcPr>
            <w:tcW w:w="3926" w:type="dxa"/>
            <w:tcBorders>
              <w:top w:val="single" w:sz="8" w:space="0" w:color="000000"/>
              <w:left w:val="single" w:sz="8" w:space="0" w:color="000000"/>
              <w:bottom w:val="single" w:sz="8" w:space="0" w:color="000000"/>
              <w:right w:val="single" w:sz="8" w:space="0" w:color="000000"/>
            </w:tcBorders>
            <w:vAlign w:val="center"/>
          </w:tcPr>
          <w:p w14:paraId="6D01A83D"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Whether the shipment met a mode-specific target</w:t>
            </w:r>
          </w:p>
        </w:tc>
        <w:tc>
          <w:tcPr>
            <w:tcW w:w="4246" w:type="dxa"/>
            <w:tcBorders>
              <w:top w:val="single" w:sz="8" w:space="0" w:color="000000"/>
              <w:left w:val="single" w:sz="8" w:space="0" w:color="000000"/>
              <w:bottom w:val="single" w:sz="8" w:space="0" w:color="000000"/>
              <w:right w:val="single" w:sz="8" w:space="0" w:color="000000"/>
            </w:tcBorders>
            <w:vAlign w:val="center"/>
          </w:tcPr>
          <w:p w14:paraId="73A01AFA"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Categorical</w:t>
            </w:r>
          </w:p>
        </w:tc>
      </w:tr>
    </w:tbl>
    <w:p w14:paraId="59EDF434" w14:textId="77777777" w:rsidR="00C66FC7" w:rsidRDefault="00000000">
      <w:pPr>
        <w:pStyle w:val="Heading1"/>
      </w:pPr>
      <w:r>
        <w:t>Data Preparation and Exploratory Data Analysis</w:t>
      </w:r>
    </w:p>
    <w:p w14:paraId="18BE5C24" w14:textId="77777777" w:rsidR="00C66FC7" w:rsidRDefault="00000000">
      <w:r>
        <w:t>The dataset has 250 rows and 10 columns. The generated file contains 0 missing values. Shipment_ID is used as an identifier rather than a measurement. Numeric variables were summarized using count, mean, standard deviation, minimum, quartiles, and maximum. Pearson correlation was used to describe linear relationships among numeric variables. Correlation does not prove causation.</w:t>
      </w:r>
    </w:p>
    <w:p w14:paraId="59E17E1C" w14:textId="77777777" w:rsidR="00C66FC7" w:rsidRDefault="00000000">
      <w:pPr>
        <w:pStyle w:val="Heading2"/>
      </w:pPr>
      <w:r>
        <w:t>Descriptive statistics</w:t>
      </w:r>
    </w:p>
    <w:tbl>
      <w:tblPr>
        <w:tblStyle w:val="LightShading-Accent1"/>
        <w:tblW w:w="0" w:type="auto"/>
        <w:jc w:val="center"/>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34"/>
        <w:gridCol w:w="1550"/>
        <w:gridCol w:w="1556"/>
        <w:gridCol w:w="1550"/>
        <w:gridCol w:w="1499"/>
        <w:gridCol w:w="1503"/>
      </w:tblGrid>
      <w:tr w:rsidR="00C66FC7" w14:paraId="1F13C7AB" w14:textId="77777777" w:rsidTr="00C66FC7">
        <w:trPr>
          <w:cnfStyle w:val="100000000000" w:firstRow="1" w:lastRow="0" w:firstColumn="0" w:lastColumn="0" w:oddVBand="0" w:evenVBand="0" w:oddHBand="0" w:evenHBand="0" w:firstRowFirstColumn="0" w:firstRowLastColumn="0" w:lastRowFirstColumn="0" w:lastRowLastColumn="0"/>
          <w:cantSplit/>
          <w:tblHeader/>
          <w:tblCellSpacing w:w="0" w:type="dxa"/>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AAFD861" w14:textId="77777777" w:rsidR="00C66FC7" w:rsidRDefault="00000000">
            <w:pPr>
              <w:keepLines/>
              <w:spacing w:after="40"/>
            </w:pPr>
            <w:r>
              <w:rPr>
                <w:sz w:val="18"/>
              </w:rPr>
              <w:t>Metric</w:t>
            </w:r>
          </w:p>
        </w:tc>
        <w:tc>
          <w:tcPr>
            <w:tcW w:w="162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70CE3C6"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18"/>
              </w:rPr>
              <w:t>Mean</w:t>
            </w:r>
          </w:p>
        </w:tc>
        <w:tc>
          <w:tcPr>
            <w:tcW w:w="162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48AD0F0"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18"/>
              </w:rPr>
              <w:t>Median</w:t>
            </w:r>
          </w:p>
        </w:tc>
        <w:tc>
          <w:tcPr>
            <w:tcW w:w="162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C7E4EE5"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18"/>
              </w:rPr>
              <w:t>Std. dev.</w:t>
            </w:r>
          </w:p>
        </w:tc>
        <w:tc>
          <w:tcPr>
            <w:tcW w:w="154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4A57A84"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18"/>
              </w:rPr>
              <w:t>Minimum</w:t>
            </w:r>
          </w:p>
        </w:tc>
        <w:tc>
          <w:tcPr>
            <w:tcW w:w="154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B59CCD4"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18"/>
              </w:rPr>
              <w:t>Maximum</w:t>
            </w:r>
          </w:p>
        </w:tc>
      </w:tr>
      <w:tr w:rsidR="00C66FC7" w14:paraId="21309839"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8" w:space="0" w:color="000000"/>
              <w:left w:val="single" w:sz="8" w:space="0" w:color="000000"/>
              <w:bottom w:val="single" w:sz="8" w:space="0" w:color="000000"/>
              <w:right w:val="single" w:sz="8" w:space="0" w:color="000000"/>
            </w:tcBorders>
            <w:vAlign w:val="center"/>
          </w:tcPr>
          <w:p w14:paraId="54DFBF1D" w14:textId="77777777" w:rsidR="00C66FC7" w:rsidRDefault="00000000">
            <w:pPr>
              <w:keepLines/>
              <w:spacing w:after="40"/>
            </w:pPr>
            <w:r>
              <w:rPr>
                <w:sz w:val="18"/>
              </w:rPr>
              <w:t>Distance km</w:t>
            </w:r>
          </w:p>
        </w:tc>
        <w:tc>
          <w:tcPr>
            <w:tcW w:w="1627" w:type="dxa"/>
            <w:tcBorders>
              <w:top w:val="single" w:sz="8" w:space="0" w:color="000000"/>
              <w:left w:val="single" w:sz="8" w:space="0" w:color="000000"/>
              <w:bottom w:val="single" w:sz="8" w:space="0" w:color="000000"/>
              <w:right w:val="single" w:sz="8" w:space="0" w:color="000000"/>
            </w:tcBorders>
            <w:vAlign w:val="center"/>
          </w:tcPr>
          <w:p w14:paraId="26B3AD21"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434.46</w:t>
            </w:r>
          </w:p>
        </w:tc>
        <w:tc>
          <w:tcPr>
            <w:tcW w:w="1627" w:type="dxa"/>
            <w:tcBorders>
              <w:top w:val="single" w:sz="8" w:space="0" w:color="000000"/>
              <w:left w:val="single" w:sz="8" w:space="0" w:color="000000"/>
              <w:bottom w:val="single" w:sz="8" w:space="0" w:color="000000"/>
              <w:right w:val="single" w:sz="8" w:space="0" w:color="000000"/>
            </w:tcBorders>
            <w:vAlign w:val="center"/>
          </w:tcPr>
          <w:p w14:paraId="56058C8D"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378.90</w:t>
            </w:r>
          </w:p>
        </w:tc>
        <w:tc>
          <w:tcPr>
            <w:tcW w:w="1627" w:type="dxa"/>
            <w:tcBorders>
              <w:top w:val="single" w:sz="8" w:space="0" w:color="000000"/>
              <w:left w:val="single" w:sz="8" w:space="0" w:color="000000"/>
              <w:bottom w:val="single" w:sz="8" w:space="0" w:color="000000"/>
              <w:right w:val="single" w:sz="8" w:space="0" w:color="000000"/>
            </w:tcBorders>
            <w:vAlign w:val="center"/>
          </w:tcPr>
          <w:p w14:paraId="2DEDD497"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261.19</w:t>
            </w:r>
          </w:p>
        </w:tc>
        <w:tc>
          <w:tcPr>
            <w:tcW w:w="1546" w:type="dxa"/>
            <w:tcBorders>
              <w:top w:val="single" w:sz="8" w:space="0" w:color="000000"/>
              <w:left w:val="single" w:sz="8" w:space="0" w:color="000000"/>
              <w:bottom w:val="single" w:sz="8" w:space="0" w:color="000000"/>
              <w:right w:val="single" w:sz="8" w:space="0" w:color="000000"/>
            </w:tcBorders>
            <w:vAlign w:val="center"/>
          </w:tcPr>
          <w:p w14:paraId="180176C1"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72.80</w:t>
            </w:r>
          </w:p>
        </w:tc>
        <w:tc>
          <w:tcPr>
            <w:tcW w:w="1546" w:type="dxa"/>
            <w:tcBorders>
              <w:top w:val="single" w:sz="8" w:space="0" w:color="000000"/>
              <w:left w:val="single" w:sz="8" w:space="0" w:color="000000"/>
              <w:bottom w:val="single" w:sz="8" w:space="0" w:color="000000"/>
              <w:right w:val="single" w:sz="8" w:space="0" w:color="000000"/>
            </w:tcBorders>
            <w:vAlign w:val="center"/>
          </w:tcPr>
          <w:p w14:paraId="0B35920C"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1400.00</w:t>
            </w:r>
          </w:p>
        </w:tc>
      </w:tr>
      <w:tr w:rsidR="00C66FC7" w14:paraId="0A3BF6F1"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8" w:space="0" w:color="000000"/>
              <w:left w:val="single" w:sz="8" w:space="0" w:color="000000"/>
              <w:bottom w:val="single" w:sz="8" w:space="0" w:color="000000"/>
              <w:right w:val="single" w:sz="8" w:space="0" w:color="000000"/>
            </w:tcBorders>
            <w:vAlign w:val="center"/>
          </w:tcPr>
          <w:p w14:paraId="604C8F95" w14:textId="77777777" w:rsidR="00C66FC7" w:rsidRDefault="00000000">
            <w:pPr>
              <w:keepLines/>
              <w:spacing w:after="40"/>
            </w:pPr>
            <w:r>
              <w:rPr>
                <w:sz w:val="18"/>
              </w:rPr>
              <w:t>Weight kg</w:t>
            </w:r>
          </w:p>
        </w:tc>
        <w:tc>
          <w:tcPr>
            <w:tcW w:w="1627" w:type="dxa"/>
            <w:tcBorders>
              <w:top w:val="single" w:sz="8" w:space="0" w:color="000000"/>
              <w:left w:val="single" w:sz="8" w:space="0" w:color="000000"/>
              <w:bottom w:val="single" w:sz="8" w:space="0" w:color="000000"/>
              <w:right w:val="single" w:sz="8" w:space="0" w:color="000000"/>
            </w:tcBorders>
            <w:vAlign w:val="center"/>
          </w:tcPr>
          <w:p w14:paraId="742D2EE7"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33.64</w:t>
            </w:r>
          </w:p>
        </w:tc>
        <w:tc>
          <w:tcPr>
            <w:tcW w:w="1627" w:type="dxa"/>
            <w:tcBorders>
              <w:top w:val="single" w:sz="8" w:space="0" w:color="000000"/>
              <w:left w:val="single" w:sz="8" w:space="0" w:color="000000"/>
              <w:bottom w:val="single" w:sz="8" w:space="0" w:color="000000"/>
              <w:right w:val="single" w:sz="8" w:space="0" w:color="000000"/>
            </w:tcBorders>
            <w:vAlign w:val="center"/>
          </w:tcPr>
          <w:p w14:paraId="046D43B7"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28.00</w:t>
            </w:r>
          </w:p>
        </w:tc>
        <w:tc>
          <w:tcPr>
            <w:tcW w:w="1627" w:type="dxa"/>
            <w:tcBorders>
              <w:top w:val="single" w:sz="8" w:space="0" w:color="000000"/>
              <w:left w:val="single" w:sz="8" w:space="0" w:color="000000"/>
              <w:bottom w:val="single" w:sz="8" w:space="0" w:color="000000"/>
              <w:right w:val="single" w:sz="8" w:space="0" w:color="000000"/>
            </w:tcBorders>
            <w:vAlign w:val="center"/>
          </w:tcPr>
          <w:p w14:paraId="6ECB7741"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23.79</w:t>
            </w:r>
          </w:p>
        </w:tc>
        <w:tc>
          <w:tcPr>
            <w:tcW w:w="1546" w:type="dxa"/>
            <w:tcBorders>
              <w:top w:val="single" w:sz="8" w:space="0" w:color="000000"/>
              <w:left w:val="single" w:sz="8" w:space="0" w:color="000000"/>
              <w:bottom w:val="single" w:sz="8" w:space="0" w:color="000000"/>
              <w:right w:val="single" w:sz="8" w:space="0" w:color="000000"/>
            </w:tcBorders>
            <w:vAlign w:val="center"/>
          </w:tcPr>
          <w:p w14:paraId="0EAAE629"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3.30</w:t>
            </w:r>
          </w:p>
        </w:tc>
        <w:tc>
          <w:tcPr>
            <w:tcW w:w="1546" w:type="dxa"/>
            <w:tcBorders>
              <w:top w:val="single" w:sz="8" w:space="0" w:color="000000"/>
              <w:left w:val="single" w:sz="8" w:space="0" w:color="000000"/>
              <w:bottom w:val="single" w:sz="8" w:space="0" w:color="000000"/>
              <w:right w:val="single" w:sz="8" w:space="0" w:color="000000"/>
            </w:tcBorders>
            <w:vAlign w:val="center"/>
          </w:tcPr>
          <w:p w14:paraId="4D4C7BF3"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143.90</w:t>
            </w:r>
          </w:p>
        </w:tc>
      </w:tr>
      <w:tr w:rsidR="00C66FC7" w14:paraId="0200D3F3"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8" w:space="0" w:color="000000"/>
              <w:left w:val="single" w:sz="8" w:space="0" w:color="000000"/>
              <w:bottom w:val="single" w:sz="8" w:space="0" w:color="000000"/>
              <w:right w:val="single" w:sz="8" w:space="0" w:color="000000"/>
            </w:tcBorders>
            <w:vAlign w:val="center"/>
          </w:tcPr>
          <w:p w14:paraId="397D30FA" w14:textId="77777777" w:rsidR="00C66FC7" w:rsidRDefault="00000000">
            <w:pPr>
              <w:keepLines/>
              <w:spacing w:after="40"/>
            </w:pPr>
            <w:r>
              <w:rPr>
                <w:sz w:val="18"/>
              </w:rPr>
              <w:t>Shipment Volume units</w:t>
            </w:r>
          </w:p>
        </w:tc>
        <w:tc>
          <w:tcPr>
            <w:tcW w:w="1627" w:type="dxa"/>
            <w:tcBorders>
              <w:top w:val="single" w:sz="8" w:space="0" w:color="000000"/>
              <w:left w:val="single" w:sz="8" w:space="0" w:color="000000"/>
              <w:bottom w:val="single" w:sz="8" w:space="0" w:color="000000"/>
              <w:right w:val="single" w:sz="8" w:space="0" w:color="000000"/>
            </w:tcBorders>
            <w:vAlign w:val="center"/>
          </w:tcPr>
          <w:p w14:paraId="12CCADDB"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30.29</w:t>
            </w:r>
          </w:p>
        </w:tc>
        <w:tc>
          <w:tcPr>
            <w:tcW w:w="1627" w:type="dxa"/>
            <w:tcBorders>
              <w:top w:val="single" w:sz="8" w:space="0" w:color="000000"/>
              <w:left w:val="single" w:sz="8" w:space="0" w:color="000000"/>
              <w:bottom w:val="single" w:sz="8" w:space="0" w:color="000000"/>
              <w:right w:val="single" w:sz="8" w:space="0" w:color="000000"/>
            </w:tcBorders>
            <w:vAlign w:val="center"/>
          </w:tcPr>
          <w:p w14:paraId="51366587"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30.00</w:t>
            </w:r>
          </w:p>
        </w:tc>
        <w:tc>
          <w:tcPr>
            <w:tcW w:w="1627" w:type="dxa"/>
            <w:tcBorders>
              <w:top w:val="single" w:sz="8" w:space="0" w:color="000000"/>
              <w:left w:val="single" w:sz="8" w:space="0" w:color="000000"/>
              <w:bottom w:val="single" w:sz="8" w:space="0" w:color="000000"/>
              <w:right w:val="single" w:sz="8" w:space="0" w:color="000000"/>
            </w:tcBorders>
            <w:vAlign w:val="center"/>
          </w:tcPr>
          <w:p w14:paraId="2EE1C403"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17.10</w:t>
            </w:r>
          </w:p>
        </w:tc>
        <w:tc>
          <w:tcPr>
            <w:tcW w:w="1546" w:type="dxa"/>
            <w:tcBorders>
              <w:top w:val="single" w:sz="8" w:space="0" w:color="000000"/>
              <w:left w:val="single" w:sz="8" w:space="0" w:color="000000"/>
              <w:bottom w:val="single" w:sz="8" w:space="0" w:color="000000"/>
              <w:right w:val="single" w:sz="8" w:space="0" w:color="000000"/>
            </w:tcBorders>
            <w:vAlign w:val="center"/>
          </w:tcPr>
          <w:p w14:paraId="26296402"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1.00</w:t>
            </w:r>
          </w:p>
        </w:tc>
        <w:tc>
          <w:tcPr>
            <w:tcW w:w="1546" w:type="dxa"/>
            <w:tcBorders>
              <w:top w:val="single" w:sz="8" w:space="0" w:color="000000"/>
              <w:left w:val="single" w:sz="8" w:space="0" w:color="000000"/>
              <w:bottom w:val="single" w:sz="8" w:space="0" w:color="000000"/>
              <w:right w:val="single" w:sz="8" w:space="0" w:color="000000"/>
            </w:tcBorders>
            <w:vAlign w:val="center"/>
          </w:tcPr>
          <w:p w14:paraId="1CEE6E0E"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60.00</w:t>
            </w:r>
          </w:p>
        </w:tc>
      </w:tr>
      <w:tr w:rsidR="00C66FC7" w14:paraId="11218FAA"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8" w:space="0" w:color="000000"/>
              <w:left w:val="single" w:sz="8" w:space="0" w:color="000000"/>
              <w:bottom w:val="single" w:sz="8" w:space="0" w:color="000000"/>
              <w:right w:val="single" w:sz="8" w:space="0" w:color="000000"/>
            </w:tcBorders>
            <w:vAlign w:val="center"/>
          </w:tcPr>
          <w:p w14:paraId="74CFC1FA" w14:textId="77777777" w:rsidR="00C66FC7" w:rsidRDefault="00000000">
            <w:pPr>
              <w:keepLines/>
              <w:spacing w:after="40"/>
            </w:pPr>
            <w:r>
              <w:rPr>
                <w:sz w:val="18"/>
              </w:rPr>
              <w:lastRenderedPageBreak/>
              <w:t>Delivery Time days</w:t>
            </w:r>
          </w:p>
        </w:tc>
        <w:tc>
          <w:tcPr>
            <w:tcW w:w="1627" w:type="dxa"/>
            <w:tcBorders>
              <w:top w:val="single" w:sz="8" w:space="0" w:color="000000"/>
              <w:left w:val="single" w:sz="8" w:space="0" w:color="000000"/>
              <w:bottom w:val="single" w:sz="8" w:space="0" w:color="000000"/>
              <w:right w:val="single" w:sz="8" w:space="0" w:color="000000"/>
            </w:tcBorders>
            <w:vAlign w:val="center"/>
          </w:tcPr>
          <w:p w14:paraId="61519692"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2.45</w:t>
            </w:r>
          </w:p>
        </w:tc>
        <w:tc>
          <w:tcPr>
            <w:tcW w:w="1627" w:type="dxa"/>
            <w:tcBorders>
              <w:top w:val="single" w:sz="8" w:space="0" w:color="000000"/>
              <w:left w:val="single" w:sz="8" w:space="0" w:color="000000"/>
              <w:bottom w:val="single" w:sz="8" w:space="0" w:color="000000"/>
              <w:right w:val="single" w:sz="8" w:space="0" w:color="000000"/>
            </w:tcBorders>
            <w:vAlign w:val="center"/>
          </w:tcPr>
          <w:p w14:paraId="120A4E76"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2.21</w:t>
            </w:r>
          </w:p>
        </w:tc>
        <w:tc>
          <w:tcPr>
            <w:tcW w:w="1627" w:type="dxa"/>
            <w:tcBorders>
              <w:top w:val="single" w:sz="8" w:space="0" w:color="000000"/>
              <w:left w:val="single" w:sz="8" w:space="0" w:color="000000"/>
              <w:bottom w:val="single" w:sz="8" w:space="0" w:color="000000"/>
              <w:right w:val="single" w:sz="8" w:space="0" w:color="000000"/>
            </w:tcBorders>
            <w:vAlign w:val="center"/>
          </w:tcPr>
          <w:p w14:paraId="3070BC2A"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1.11</w:t>
            </w:r>
          </w:p>
        </w:tc>
        <w:tc>
          <w:tcPr>
            <w:tcW w:w="1546" w:type="dxa"/>
            <w:tcBorders>
              <w:top w:val="single" w:sz="8" w:space="0" w:color="000000"/>
              <w:left w:val="single" w:sz="8" w:space="0" w:color="000000"/>
              <w:bottom w:val="single" w:sz="8" w:space="0" w:color="000000"/>
              <w:right w:val="single" w:sz="8" w:space="0" w:color="000000"/>
            </w:tcBorders>
            <w:vAlign w:val="center"/>
          </w:tcPr>
          <w:p w14:paraId="6FEF730B"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0.30</w:t>
            </w:r>
          </w:p>
        </w:tc>
        <w:tc>
          <w:tcPr>
            <w:tcW w:w="1546" w:type="dxa"/>
            <w:tcBorders>
              <w:top w:val="single" w:sz="8" w:space="0" w:color="000000"/>
              <w:left w:val="single" w:sz="8" w:space="0" w:color="000000"/>
              <w:bottom w:val="single" w:sz="8" w:space="0" w:color="000000"/>
              <w:right w:val="single" w:sz="8" w:space="0" w:color="000000"/>
            </w:tcBorders>
            <w:vAlign w:val="center"/>
          </w:tcPr>
          <w:p w14:paraId="501D5A64"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18"/>
              </w:rPr>
              <w:t>5.85</w:t>
            </w:r>
          </w:p>
        </w:tc>
      </w:tr>
      <w:tr w:rsidR="00C66FC7" w14:paraId="65552A3E"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684" w:type="dxa"/>
            <w:tcBorders>
              <w:top w:val="single" w:sz="8" w:space="0" w:color="000000"/>
              <w:left w:val="single" w:sz="8" w:space="0" w:color="000000"/>
              <w:bottom w:val="single" w:sz="8" w:space="0" w:color="000000"/>
              <w:right w:val="single" w:sz="8" w:space="0" w:color="000000"/>
            </w:tcBorders>
            <w:vAlign w:val="center"/>
          </w:tcPr>
          <w:p w14:paraId="4F911E5C" w14:textId="77777777" w:rsidR="00C66FC7" w:rsidRDefault="00000000">
            <w:pPr>
              <w:keepLines/>
              <w:spacing w:after="40"/>
            </w:pPr>
            <w:r>
              <w:rPr>
                <w:sz w:val="18"/>
              </w:rPr>
              <w:t>Transport Cost INR</w:t>
            </w:r>
          </w:p>
        </w:tc>
        <w:tc>
          <w:tcPr>
            <w:tcW w:w="1627" w:type="dxa"/>
            <w:tcBorders>
              <w:top w:val="single" w:sz="8" w:space="0" w:color="000000"/>
              <w:left w:val="single" w:sz="8" w:space="0" w:color="000000"/>
              <w:bottom w:val="single" w:sz="8" w:space="0" w:color="000000"/>
              <w:right w:val="single" w:sz="8" w:space="0" w:color="000000"/>
            </w:tcBorders>
            <w:vAlign w:val="center"/>
          </w:tcPr>
          <w:p w14:paraId="0D4692B5"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179.75</w:t>
            </w:r>
          </w:p>
        </w:tc>
        <w:tc>
          <w:tcPr>
            <w:tcW w:w="1627" w:type="dxa"/>
            <w:tcBorders>
              <w:top w:val="single" w:sz="8" w:space="0" w:color="000000"/>
              <w:left w:val="single" w:sz="8" w:space="0" w:color="000000"/>
              <w:bottom w:val="single" w:sz="8" w:space="0" w:color="000000"/>
              <w:right w:val="single" w:sz="8" w:space="0" w:color="000000"/>
            </w:tcBorders>
            <w:vAlign w:val="center"/>
          </w:tcPr>
          <w:p w14:paraId="6776D0B7"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173.31</w:t>
            </w:r>
          </w:p>
        </w:tc>
        <w:tc>
          <w:tcPr>
            <w:tcW w:w="1627" w:type="dxa"/>
            <w:tcBorders>
              <w:top w:val="single" w:sz="8" w:space="0" w:color="000000"/>
              <w:left w:val="single" w:sz="8" w:space="0" w:color="000000"/>
              <w:bottom w:val="single" w:sz="8" w:space="0" w:color="000000"/>
              <w:right w:val="single" w:sz="8" w:space="0" w:color="000000"/>
            </w:tcBorders>
            <w:vAlign w:val="center"/>
          </w:tcPr>
          <w:p w14:paraId="5431E7B4"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60.28</w:t>
            </w:r>
          </w:p>
        </w:tc>
        <w:tc>
          <w:tcPr>
            <w:tcW w:w="1546" w:type="dxa"/>
            <w:tcBorders>
              <w:top w:val="single" w:sz="8" w:space="0" w:color="000000"/>
              <w:left w:val="single" w:sz="8" w:space="0" w:color="000000"/>
              <w:bottom w:val="single" w:sz="8" w:space="0" w:color="000000"/>
              <w:right w:val="single" w:sz="8" w:space="0" w:color="000000"/>
            </w:tcBorders>
            <w:vAlign w:val="center"/>
          </w:tcPr>
          <w:p w14:paraId="1992BB76"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60.00</w:t>
            </w:r>
          </w:p>
        </w:tc>
        <w:tc>
          <w:tcPr>
            <w:tcW w:w="1546" w:type="dxa"/>
            <w:tcBorders>
              <w:top w:val="single" w:sz="8" w:space="0" w:color="000000"/>
              <w:left w:val="single" w:sz="8" w:space="0" w:color="000000"/>
              <w:bottom w:val="single" w:sz="8" w:space="0" w:color="000000"/>
              <w:right w:val="single" w:sz="8" w:space="0" w:color="000000"/>
            </w:tcBorders>
            <w:vAlign w:val="center"/>
          </w:tcPr>
          <w:p w14:paraId="2D2E53E4"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18"/>
              </w:rPr>
              <w:t>409.36</w:t>
            </w:r>
          </w:p>
        </w:tc>
      </w:tr>
    </w:tbl>
    <w:p w14:paraId="0F427341" w14:textId="77777777" w:rsidR="00C66FC7" w:rsidRDefault="00000000">
      <w:r>
        <w:t>Interpretation: The mean and median provide complementary summaries. A mean higher than the median can indicate a right-skewed distribution, where a smaller number of long or expensive shipments pull the average upward. Standard deviation describes spread, while the minimum and maximum show the range and can help identify values for further checking.</w:t>
      </w:r>
    </w:p>
    <w:p w14:paraId="034C3938" w14:textId="77777777" w:rsidR="00C66FC7" w:rsidRDefault="00000000">
      <w:pPr>
        <w:pStyle w:val="Heading2"/>
      </w:pPr>
      <w:r>
        <w:t>Delivery time distribution</w:t>
      </w:r>
    </w:p>
    <w:p w14:paraId="1E3BBA17" w14:textId="77777777" w:rsidR="00C66FC7" w:rsidRDefault="00000000">
      <w:r>
        <w:rPr>
          <w:noProof/>
        </w:rPr>
        <w:drawing>
          <wp:inline distT="0" distB="0" distL="0" distR="0" wp14:anchorId="22CCBFE6" wp14:editId="23EA9AC5">
            <wp:extent cx="5669280" cy="3124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elivery_time_distribution.png"/>
                    <pic:cNvPicPr/>
                  </pic:nvPicPr>
                  <pic:blipFill>
                    <a:blip r:embed="rId8"/>
                    <a:stretch>
                      <a:fillRect/>
                    </a:stretch>
                  </pic:blipFill>
                  <pic:spPr>
                    <a:xfrm>
                      <a:off x="0" y="0"/>
                      <a:ext cx="5669280" cy="3124497"/>
                    </a:xfrm>
                    <a:prstGeom prst="rect">
                      <a:avLst/>
                    </a:prstGeom>
                  </pic:spPr>
                </pic:pic>
              </a:graphicData>
            </a:graphic>
          </wp:inline>
        </w:drawing>
      </w:r>
    </w:p>
    <w:p w14:paraId="745EC64B" w14:textId="77777777" w:rsidR="00C66FC7" w:rsidRDefault="00000000">
      <w:r>
        <w:t>The average delivery time is 2.45 days and the median is 2.21 days. The histogram shows how frequently shipments fall within different delivery-time intervals. A longer right tail represents relatively slow deliveries and may indicate exceptions, congestion, handoff delays, or long-distance routes that deserve investigation. Histogram bins are useful for spotting the typical range and unusually long delivery times.</w:t>
      </w:r>
    </w:p>
    <w:p w14:paraId="72EA1617" w14:textId="77777777" w:rsidR="00C66FC7" w:rsidRDefault="00000000">
      <w:pPr>
        <w:pStyle w:val="Heading2"/>
      </w:pPr>
      <w:r>
        <w:lastRenderedPageBreak/>
        <w:t>Transportation cost distribution</w:t>
      </w:r>
    </w:p>
    <w:p w14:paraId="195E7176" w14:textId="77777777" w:rsidR="00C66FC7" w:rsidRDefault="00000000">
      <w:r>
        <w:rPr>
          <w:noProof/>
        </w:rPr>
        <w:drawing>
          <wp:inline distT="0" distB="0" distL="0" distR="0" wp14:anchorId="7A404497" wp14:editId="0E944A92">
            <wp:extent cx="5669280" cy="3124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transport_cost_distribution.png"/>
                    <pic:cNvPicPr/>
                  </pic:nvPicPr>
                  <pic:blipFill>
                    <a:blip r:embed="rId9"/>
                    <a:stretch>
                      <a:fillRect/>
                    </a:stretch>
                  </pic:blipFill>
                  <pic:spPr>
                    <a:xfrm>
                      <a:off x="0" y="0"/>
                      <a:ext cx="5669280" cy="3124497"/>
                    </a:xfrm>
                    <a:prstGeom prst="rect">
                      <a:avLst/>
                    </a:prstGeom>
                  </pic:spPr>
                </pic:pic>
              </a:graphicData>
            </a:graphic>
          </wp:inline>
        </w:drawing>
      </w:r>
    </w:p>
    <w:p w14:paraId="57336E25" w14:textId="77777777" w:rsidR="00C66FC7" w:rsidRDefault="00000000">
      <w:r>
        <w:t>Average cost is ₹179.75 and median cost is ₹173.31. The histogram reveals the concentration and spread of shipment costs. A right tail suggests that a subset of shipments is substantially more expensive than typical shipments. Such cases should be reviewed alongside distance, weight, volume, and mode before deciding whether they represent avoidable cost or legitimate service needs.</w:t>
      </w:r>
    </w:p>
    <w:p w14:paraId="6B1556B5" w14:textId="77777777" w:rsidR="00C66FC7" w:rsidRDefault="00000000">
      <w:pPr>
        <w:pStyle w:val="Heading2"/>
      </w:pPr>
      <w:r>
        <w:t>Distance and transportation cost</w:t>
      </w:r>
    </w:p>
    <w:p w14:paraId="2CAC52B8" w14:textId="77777777" w:rsidR="00C66FC7" w:rsidRDefault="00000000">
      <w:r>
        <w:rPr>
          <w:noProof/>
        </w:rPr>
        <w:drawing>
          <wp:inline distT="0" distB="0" distL="0" distR="0" wp14:anchorId="69FD844D" wp14:editId="3DC95FD4">
            <wp:extent cx="5669280" cy="3122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istance_vs_cost.png"/>
                    <pic:cNvPicPr/>
                  </pic:nvPicPr>
                  <pic:blipFill>
                    <a:blip r:embed="rId10"/>
                    <a:stretch>
                      <a:fillRect/>
                    </a:stretch>
                  </pic:blipFill>
                  <pic:spPr>
                    <a:xfrm>
                      <a:off x="0" y="0"/>
                      <a:ext cx="5669280" cy="3122150"/>
                    </a:xfrm>
                    <a:prstGeom prst="rect">
                      <a:avLst/>
                    </a:prstGeom>
                  </pic:spPr>
                </pic:pic>
              </a:graphicData>
            </a:graphic>
          </wp:inline>
        </w:drawing>
      </w:r>
    </w:p>
    <w:p w14:paraId="69EE2526" w14:textId="77777777" w:rsidR="00C66FC7" w:rsidRDefault="00000000">
      <w:r>
        <w:t xml:space="preserve">The correlation between distance and cost is 0.20. The scatter plot is appropriate because it shows the relationship between two numeric variables and reveals spread, clusters, and potential outliers. Costs generally tend to rise with distance, but transport mode and shipment </w:t>
      </w:r>
      <w:r>
        <w:lastRenderedPageBreak/>
        <w:t>weight/volume also affect cost. Comparing modes helps avoid treating all shipments as if they have the same cost structure.</w:t>
      </w:r>
    </w:p>
    <w:p w14:paraId="70140781" w14:textId="77777777" w:rsidR="00C66FC7" w:rsidRDefault="00000000">
      <w:pPr>
        <w:pStyle w:val="Heading2"/>
      </w:pPr>
      <w:r>
        <w:t>Delivery time by transport mode</w:t>
      </w:r>
    </w:p>
    <w:p w14:paraId="4B70E4DC" w14:textId="77777777" w:rsidR="00C66FC7" w:rsidRDefault="00000000">
      <w:r>
        <w:rPr>
          <w:noProof/>
        </w:rPr>
        <w:drawing>
          <wp:inline distT="0" distB="0" distL="0" distR="0" wp14:anchorId="716E2A65" wp14:editId="2A5D517D">
            <wp:extent cx="5669280" cy="312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avg_delivery_by_mode.png"/>
                    <pic:cNvPicPr/>
                  </pic:nvPicPr>
                  <pic:blipFill>
                    <a:blip r:embed="rId11"/>
                    <a:stretch>
                      <a:fillRect/>
                    </a:stretch>
                  </pic:blipFill>
                  <pic:spPr>
                    <a:xfrm>
                      <a:off x="0" y="0"/>
                      <a:ext cx="5669280" cy="3122150"/>
                    </a:xfrm>
                    <a:prstGeom prst="rect">
                      <a:avLst/>
                    </a:prstGeom>
                  </pic:spPr>
                </pic:pic>
              </a:graphicData>
            </a:graphic>
          </wp:inline>
        </w:drawing>
      </w:r>
    </w:p>
    <w:p w14:paraId="4508B5A5" w14:textId="77777777" w:rsidR="00C66FC7" w:rsidRDefault="00000000">
      <w:r>
        <w:t>A bar chart compares mean delivery time across Road, Rail, and Air. It is easy to compare categories at a glance. The mode with the shortest average time may suit urgent shipments, while slower modes may remain appropriate for lower-cost or bulk movement. Mode selection should consider both time and cost, not speed alone.</w:t>
      </w:r>
    </w:p>
    <w:tbl>
      <w:tblPr>
        <w:tblStyle w:val="LightShading-Accent1"/>
        <w:tblW w:w="0" w:type="auto"/>
        <w:jc w:val="center"/>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81"/>
        <w:gridCol w:w="1699"/>
        <w:gridCol w:w="1657"/>
        <w:gridCol w:w="2229"/>
        <w:gridCol w:w="2226"/>
      </w:tblGrid>
      <w:tr w:rsidR="00C66FC7" w14:paraId="6324193C" w14:textId="77777777" w:rsidTr="00C66FC7">
        <w:trPr>
          <w:cnfStyle w:val="100000000000" w:firstRow="1" w:lastRow="0" w:firstColumn="0" w:lastColumn="0" w:oddVBand="0" w:evenVBand="0" w:oddHBand="0" w:evenHBand="0" w:firstRowFirstColumn="0" w:firstRowLastColumn="0" w:lastRowFirstColumn="0" w:lastRowLastColumn="0"/>
          <w:cantSplit/>
          <w:tblHeader/>
          <w:tblCellSpacing w:w="0" w:type="dxa"/>
          <w:jc w:val="center"/>
        </w:trPr>
        <w:tc>
          <w:tcPr>
            <w:cnfStyle w:val="001000000000" w:firstRow="0" w:lastRow="0" w:firstColumn="1" w:lastColumn="0" w:oddVBand="0" w:evenVBand="0" w:oddHBand="0" w:evenHBand="0" w:firstRowFirstColumn="0" w:firstRowLastColumn="0" w:lastRowFirstColumn="0" w:lastRowLastColumn="0"/>
            <w:tcW w:w="251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A2D6017" w14:textId="77777777" w:rsidR="00C66FC7" w:rsidRDefault="00000000">
            <w:pPr>
              <w:keepLines/>
              <w:spacing w:after="40"/>
            </w:pPr>
            <w:r>
              <w:rPr>
                <w:sz w:val="20"/>
              </w:rPr>
              <w:t>Mode</w:t>
            </w:r>
          </w:p>
        </w:tc>
        <w:tc>
          <w:tcPr>
            <w:tcW w:w="1733"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9CC5ACD"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Shipments</w:t>
            </w:r>
          </w:p>
        </w:tc>
        <w:tc>
          <w:tcPr>
            <w:tcW w:w="1733"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FC43B78"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Avg days</w:t>
            </w:r>
          </w:p>
        </w:tc>
        <w:tc>
          <w:tcPr>
            <w:tcW w:w="2339"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62A51FE"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Avg cost (₹)</w:t>
            </w:r>
          </w:p>
        </w:tc>
        <w:tc>
          <w:tcPr>
            <w:tcW w:w="2339"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0987097"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On-time (%)</w:t>
            </w:r>
          </w:p>
        </w:tc>
      </w:tr>
      <w:tr w:rsidR="00C66FC7" w14:paraId="3DA2EFB7"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512" w:type="dxa"/>
            <w:tcBorders>
              <w:top w:val="single" w:sz="8" w:space="0" w:color="000000"/>
              <w:left w:val="single" w:sz="8" w:space="0" w:color="000000"/>
              <w:bottom w:val="single" w:sz="8" w:space="0" w:color="000000"/>
              <w:right w:val="single" w:sz="8" w:space="0" w:color="000000"/>
            </w:tcBorders>
            <w:vAlign w:val="center"/>
          </w:tcPr>
          <w:p w14:paraId="7AE8FE77" w14:textId="77777777" w:rsidR="00C66FC7" w:rsidRDefault="00000000">
            <w:pPr>
              <w:keepLines/>
              <w:spacing w:after="40"/>
            </w:pPr>
            <w:r>
              <w:rPr>
                <w:sz w:val="20"/>
              </w:rPr>
              <w:t>Air</w:t>
            </w:r>
          </w:p>
        </w:tc>
        <w:tc>
          <w:tcPr>
            <w:tcW w:w="1733" w:type="dxa"/>
            <w:tcBorders>
              <w:top w:val="single" w:sz="8" w:space="0" w:color="000000"/>
              <w:left w:val="single" w:sz="8" w:space="0" w:color="000000"/>
              <w:bottom w:val="single" w:sz="8" w:space="0" w:color="000000"/>
              <w:right w:val="single" w:sz="8" w:space="0" w:color="000000"/>
            </w:tcBorders>
            <w:vAlign w:val="center"/>
          </w:tcPr>
          <w:p w14:paraId="57771C1B"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29</w:t>
            </w:r>
          </w:p>
        </w:tc>
        <w:tc>
          <w:tcPr>
            <w:tcW w:w="1733" w:type="dxa"/>
            <w:tcBorders>
              <w:top w:val="single" w:sz="8" w:space="0" w:color="000000"/>
              <w:left w:val="single" w:sz="8" w:space="0" w:color="000000"/>
              <w:bottom w:val="single" w:sz="8" w:space="0" w:color="000000"/>
              <w:right w:val="single" w:sz="8" w:space="0" w:color="000000"/>
            </w:tcBorders>
            <w:vAlign w:val="center"/>
          </w:tcPr>
          <w:p w14:paraId="0F7E21D6"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1.43</w:t>
            </w:r>
          </w:p>
        </w:tc>
        <w:tc>
          <w:tcPr>
            <w:tcW w:w="2339" w:type="dxa"/>
            <w:tcBorders>
              <w:top w:val="single" w:sz="8" w:space="0" w:color="000000"/>
              <w:left w:val="single" w:sz="8" w:space="0" w:color="000000"/>
              <w:bottom w:val="single" w:sz="8" w:space="0" w:color="000000"/>
              <w:right w:val="single" w:sz="8" w:space="0" w:color="000000"/>
            </w:tcBorders>
            <w:vAlign w:val="center"/>
          </w:tcPr>
          <w:p w14:paraId="74E4C30A"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274.99</w:t>
            </w:r>
          </w:p>
        </w:tc>
        <w:tc>
          <w:tcPr>
            <w:tcW w:w="2339" w:type="dxa"/>
            <w:tcBorders>
              <w:top w:val="single" w:sz="8" w:space="0" w:color="000000"/>
              <w:left w:val="single" w:sz="8" w:space="0" w:color="000000"/>
              <w:bottom w:val="single" w:sz="8" w:space="0" w:color="000000"/>
              <w:right w:val="single" w:sz="8" w:space="0" w:color="000000"/>
            </w:tcBorders>
            <w:vAlign w:val="center"/>
          </w:tcPr>
          <w:p w14:paraId="071B4E99"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65.5%</w:t>
            </w:r>
          </w:p>
        </w:tc>
      </w:tr>
      <w:tr w:rsidR="00C66FC7" w14:paraId="26E27D3A"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512" w:type="dxa"/>
            <w:tcBorders>
              <w:top w:val="single" w:sz="8" w:space="0" w:color="000000"/>
              <w:left w:val="single" w:sz="8" w:space="0" w:color="000000"/>
              <w:bottom w:val="single" w:sz="8" w:space="0" w:color="000000"/>
              <w:right w:val="single" w:sz="8" w:space="0" w:color="000000"/>
            </w:tcBorders>
            <w:vAlign w:val="center"/>
          </w:tcPr>
          <w:p w14:paraId="2ED318CC" w14:textId="77777777" w:rsidR="00C66FC7" w:rsidRDefault="00000000">
            <w:pPr>
              <w:keepLines/>
              <w:spacing w:after="40"/>
            </w:pPr>
            <w:r>
              <w:rPr>
                <w:sz w:val="20"/>
              </w:rPr>
              <w:t>Rail</w:t>
            </w:r>
          </w:p>
        </w:tc>
        <w:tc>
          <w:tcPr>
            <w:tcW w:w="1733" w:type="dxa"/>
            <w:tcBorders>
              <w:top w:val="single" w:sz="8" w:space="0" w:color="000000"/>
              <w:left w:val="single" w:sz="8" w:space="0" w:color="000000"/>
              <w:bottom w:val="single" w:sz="8" w:space="0" w:color="000000"/>
              <w:right w:val="single" w:sz="8" w:space="0" w:color="000000"/>
            </w:tcBorders>
            <w:vAlign w:val="center"/>
          </w:tcPr>
          <w:p w14:paraId="736B115D"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50</w:t>
            </w:r>
          </w:p>
        </w:tc>
        <w:tc>
          <w:tcPr>
            <w:tcW w:w="1733" w:type="dxa"/>
            <w:tcBorders>
              <w:top w:val="single" w:sz="8" w:space="0" w:color="000000"/>
              <w:left w:val="single" w:sz="8" w:space="0" w:color="000000"/>
              <w:bottom w:val="single" w:sz="8" w:space="0" w:color="000000"/>
              <w:right w:val="single" w:sz="8" w:space="0" w:color="000000"/>
            </w:tcBorders>
            <w:vAlign w:val="center"/>
          </w:tcPr>
          <w:p w14:paraId="6D861305"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3.16</w:t>
            </w:r>
          </w:p>
        </w:tc>
        <w:tc>
          <w:tcPr>
            <w:tcW w:w="2339" w:type="dxa"/>
            <w:tcBorders>
              <w:top w:val="single" w:sz="8" w:space="0" w:color="000000"/>
              <w:left w:val="single" w:sz="8" w:space="0" w:color="000000"/>
              <w:bottom w:val="single" w:sz="8" w:space="0" w:color="000000"/>
              <w:right w:val="single" w:sz="8" w:space="0" w:color="000000"/>
            </w:tcBorders>
            <w:vAlign w:val="center"/>
          </w:tcPr>
          <w:p w14:paraId="4B9498EF"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156.19</w:t>
            </w:r>
          </w:p>
        </w:tc>
        <w:tc>
          <w:tcPr>
            <w:tcW w:w="2339" w:type="dxa"/>
            <w:tcBorders>
              <w:top w:val="single" w:sz="8" w:space="0" w:color="000000"/>
              <w:left w:val="single" w:sz="8" w:space="0" w:color="000000"/>
              <w:bottom w:val="single" w:sz="8" w:space="0" w:color="000000"/>
              <w:right w:val="single" w:sz="8" w:space="0" w:color="000000"/>
            </w:tcBorders>
            <w:vAlign w:val="center"/>
          </w:tcPr>
          <w:p w14:paraId="1EBBD4E1"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64.0%</w:t>
            </w:r>
          </w:p>
        </w:tc>
      </w:tr>
      <w:tr w:rsidR="00C66FC7" w14:paraId="7607F192"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512" w:type="dxa"/>
            <w:tcBorders>
              <w:top w:val="single" w:sz="8" w:space="0" w:color="000000"/>
              <w:left w:val="single" w:sz="8" w:space="0" w:color="000000"/>
              <w:bottom w:val="single" w:sz="8" w:space="0" w:color="000000"/>
              <w:right w:val="single" w:sz="8" w:space="0" w:color="000000"/>
            </w:tcBorders>
            <w:vAlign w:val="center"/>
          </w:tcPr>
          <w:p w14:paraId="59EAEA78" w14:textId="77777777" w:rsidR="00C66FC7" w:rsidRDefault="00000000">
            <w:pPr>
              <w:keepLines/>
              <w:spacing w:after="40"/>
            </w:pPr>
            <w:r>
              <w:rPr>
                <w:sz w:val="20"/>
              </w:rPr>
              <w:t>Road</w:t>
            </w:r>
          </w:p>
        </w:tc>
        <w:tc>
          <w:tcPr>
            <w:tcW w:w="1733" w:type="dxa"/>
            <w:tcBorders>
              <w:top w:val="single" w:sz="8" w:space="0" w:color="000000"/>
              <w:left w:val="single" w:sz="8" w:space="0" w:color="000000"/>
              <w:bottom w:val="single" w:sz="8" w:space="0" w:color="000000"/>
              <w:right w:val="single" w:sz="8" w:space="0" w:color="000000"/>
            </w:tcBorders>
            <w:vAlign w:val="center"/>
          </w:tcPr>
          <w:p w14:paraId="2431D39D"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171</w:t>
            </w:r>
          </w:p>
        </w:tc>
        <w:tc>
          <w:tcPr>
            <w:tcW w:w="1733" w:type="dxa"/>
            <w:tcBorders>
              <w:top w:val="single" w:sz="8" w:space="0" w:color="000000"/>
              <w:left w:val="single" w:sz="8" w:space="0" w:color="000000"/>
              <w:bottom w:val="single" w:sz="8" w:space="0" w:color="000000"/>
              <w:right w:val="single" w:sz="8" w:space="0" w:color="000000"/>
            </w:tcBorders>
            <w:vAlign w:val="center"/>
          </w:tcPr>
          <w:p w14:paraId="268FF598"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2.41</w:t>
            </w:r>
          </w:p>
        </w:tc>
        <w:tc>
          <w:tcPr>
            <w:tcW w:w="2339" w:type="dxa"/>
            <w:tcBorders>
              <w:top w:val="single" w:sz="8" w:space="0" w:color="000000"/>
              <w:left w:val="single" w:sz="8" w:space="0" w:color="000000"/>
              <w:bottom w:val="single" w:sz="8" w:space="0" w:color="000000"/>
              <w:right w:val="single" w:sz="8" w:space="0" w:color="000000"/>
            </w:tcBorders>
            <w:vAlign w:val="center"/>
          </w:tcPr>
          <w:p w14:paraId="7BCD8D99"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170.49</w:t>
            </w:r>
          </w:p>
        </w:tc>
        <w:tc>
          <w:tcPr>
            <w:tcW w:w="2339" w:type="dxa"/>
            <w:tcBorders>
              <w:top w:val="single" w:sz="8" w:space="0" w:color="000000"/>
              <w:left w:val="single" w:sz="8" w:space="0" w:color="000000"/>
              <w:bottom w:val="single" w:sz="8" w:space="0" w:color="000000"/>
              <w:right w:val="single" w:sz="8" w:space="0" w:color="000000"/>
            </w:tcBorders>
            <w:vAlign w:val="center"/>
          </w:tcPr>
          <w:p w14:paraId="17BE2E6E"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64.9%</w:t>
            </w:r>
          </w:p>
        </w:tc>
      </w:tr>
    </w:tbl>
    <w:p w14:paraId="29CB7669" w14:textId="77777777" w:rsidR="00C66FC7" w:rsidRDefault="00000000">
      <w:pPr>
        <w:pStyle w:val="Heading2"/>
      </w:pPr>
      <w:r>
        <w:lastRenderedPageBreak/>
        <w:t>On-time delivery by region</w:t>
      </w:r>
    </w:p>
    <w:p w14:paraId="7D8A6418" w14:textId="77777777" w:rsidR="00C66FC7" w:rsidRDefault="00000000">
      <w:r>
        <w:rPr>
          <w:noProof/>
        </w:rPr>
        <w:drawing>
          <wp:inline distT="0" distB="0" distL="0" distR="0" wp14:anchorId="590BF85C" wp14:editId="3B43B3FE">
            <wp:extent cx="5669280" cy="31244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on_time_by_region.png"/>
                    <pic:cNvPicPr/>
                  </pic:nvPicPr>
                  <pic:blipFill>
                    <a:blip r:embed="rId12"/>
                    <a:stretch>
                      <a:fillRect/>
                    </a:stretch>
                  </pic:blipFill>
                  <pic:spPr>
                    <a:xfrm>
                      <a:off x="0" y="0"/>
                      <a:ext cx="5669280" cy="3124497"/>
                    </a:xfrm>
                    <a:prstGeom prst="rect">
                      <a:avLst/>
                    </a:prstGeom>
                  </pic:spPr>
                </pic:pic>
              </a:graphicData>
            </a:graphic>
          </wp:inline>
        </w:drawing>
      </w:r>
    </w:p>
    <w:p w14:paraId="412EF7A3" w14:textId="77777777" w:rsidR="00C66FC7" w:rsidRDefault="00000000">
      <w:r>
        <w:t>The horizontal bar chart ranks regions by on-time delivery rate. Horizontal bars make region labels readable and help locate comparatively strong or weak service areas. Regional differences should be investigated alongside route distance, transport-mode mix, shipment volume, and sample size. A lower rate is a signal for investigation rather than proof that a region is poorly managed.</w:t>
      </w:r>
    </w:p>
    <w:p w14:paraId="41DEF910" w14:textId="77777777" w:rsidR="00C66FC7" w:rsidRDefault="00000000">
      <w:pPr>
        <w:pStyle w:val="Heading2"/>
      </w:pPr>
      <w:r>
        <w:t>Correlation matrix</w:t>
      </w:r>
    </w:p>
    <w:p w14:paraId="2205B447" w14:textId="77777777" w:rsidR="00C66FC7" w:rsidRDefault="00000000">
      <w:r>
        <w:rPr>
          <w:noProof/>
        </w:rPr>
        <w:drawing>
          <wp:inline distT="0" distB="0" distL="0" distR="0" wp14:anchorId="2F5CF78F" wp14:editId="1C91EC16">
            <wp:extent cx="5669280" cy="3451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correlation_matrix.png"/>
                    <pic:cNvPicPr/>
                  </pic:nvPicPr>
                  <pic:blipFill>
                    <a:blip r:embed="rId13"/>
                    <a:stretch>
                      <a:fillRect/>
                    </a:stretch>
                  </pic:blipFill>
                  <pic:spPr>
                    <a:xfrm>
                      <a:off x="0" y="0"/>
                      <a:ext cx="5669280" cy="3451791"/>
                    </a:xfrm>
                    <a:prstGeom prst="rect">
                      <a:avLst/>
                    </a:prstGeom>
                  </pic:spPr>
                </pic:pic>
              </a:graphicData>
            </a:graphic>
          </wp:inline>
        </w:drawing>
      </w:r>
    </w:p>
    <w:p w14:paraId="4FE1DCFC" w14:textId="77777777" w:rsidR="00C66FC7" w:rsidRDefault="00000000">
      <w:r>
        <w:lastRenderedPageBreak/>
        <w:t>Distance and delivery time have a correlation of 0.47; cost and delivery time have a correlation of -0.16. The matrix summarizes pairwise linear relationships: values near +1 indicate positive association, values near −1 indicate negative association, and values near 0 indicate weak linear association. The matrix is a screening tool, not a causal model. Operational decisions should be validated with additional data and, where appropriate, regression or controlled comparisons.</w:t>
      </w:r>
    </w:p>
    <w:p w14:paraId="26E79D8B" w14:textId="77777777" w:rsidR="00C66FC7" w:rsidRDefault="00000000">
      <w:pPr>
        <w:pStyle w:val="Heading1"/>
      </w:pPr>
      <w:r>
        <w:t>Key Findings</w:t>
      </w:r>
    </w:p>
    <w:p w14:paraId="1E93A9DA" w14:textId="77777777" w:rsidR="00C66FC7" w:rsidRDefault="00000000">
      <w:pPr>
        <w:pStyle w:val="ListBullet"/>
      </w:pPr>
      <w:r>
        <w:t>Overall on-time delivery rate: 64.8% of simulated shipments.</w:t>
      </w:r>
    </w:p>
    <w:p w14:paraId="21E7C732" w14:textId="77777777" w:rsidR="00C66FC7" w:rsidRDefault="00000000">
      <w:pPr>
        <w:pStyle w:val="ListBullet"/>
      </w:pPr>
      <w:r>
        <w:t>Average delivery time: 2.45 days; median: 2.21 days.</w:t>
      </w:r>
    </w:p>
    <w:p w14:paraId="53D18914" w14:textId="77777777" w:rsidR="00C66FC7" w:rsidRDefault="00000000">
      <w:pPr>
        <w:pStyle w:val="ListBullet"/>
      </w:pPr>
      <w:r>
        <w:t>Average transportation cost: ₹179.75; median: ₹173.31.</w:t>
      </w:r>
    </w:p>
    <w:p w14:paraId="28849BC9" w14:textId="77777777" w:rsidR="00C66FC7" w:rsidRDefault="00000000">
      <w:pPr>
        <w:pStyle w:val="ListBullet"/>
      </w:pPr>
      <w:r>
        <w:t>Distance-cost correlation: 0.20; distance-delivery-time correlation: 0.47.</w:t>
      </w:r>
    </w:p>
    <w:p w14:paraId="0259277E" w14:textId="77777777" w:rsidR="00C66FC7" w:rsidRDefault="00000000">
      <w:pPr>
        <w:pStyle w:val="ListBullet"/>
      </w:pPr>
      <w:r>
        <w:t>Fastest mode by average delivery time in this sample: Air (1.43 days); slowest: Rail (3.16 days).</w:t>
      </w:r>
    </w:p>
    <w:p w14:paraId="314CCC77" w14:textId="77777777" w:rsidR="00C66FC7" w:rsidRDefault="00000000">
      <w:pPr>
        <w:pStyle w:val="ListBullet"/>
      </w:pPr>
      <w:r>
        <w:t>Highest regional on-time rate: Central (70.8%); lowest: South (56.5%).</w:t>
      </w:r>
    </w:p>
    <w:p w14:paraId="6A4CB3D8" w14:textId="77777777" w:rsidR="00C66FC7" w:rsidRDefault="00000000">
      <w:pPr>
        <w:pStyle w:val="Heading1"/>
      </w:pPr>
      <w:r>
        <w:t>Recommendations</w:t>
      </w:r>
    </w:p>
    <w:p w14:paraId="1B9C424F" w14:textId="77777777" w:rsidR="00C66FC7" w:rsidRDefault="00000000">
      <w:pPr>
        <w:pStyle w:val="ListNumber"/>
      </w:pPr>
      <w:r>
        <w:rPr>
          <w:b/>
        </w:rPr>
        <w:t xml:space="preserve">Monitor delivery exceptions: </w:t>
      </w:r>
      <w:r>
        <w:t>Track late shipments weekly and segment by route, carrier, mode, and reason code. Investigate the longest delivery-time tail first.</w:t>
      </w:r>
    </w:p>
    <w:p w14:paraId="54A88632" w14:textId="77777777" w:rsidR="00C66FC7" w:rsidRDefault="00000000">
      <w:pPr>
        <w:pStyle w:val="ListNumber"/>
      </w:pPr>
      <w:r>
        <w:rPr>
          <w:b/>
        </w:rPr>
        <w:t xml:space="preserve">Use mode-specific service rules: </w:t>
      </w:r>
      <w:r>
        <w:t>Choose transport mode by urgency, shipment size, and total landed cost. Compare on-time rate and cost together instead of optimizing only one metric.</w:t>
      </w:r>
    </w:p>
    <w:p w14:paraId="60312087" w14:textId="77777777" w:rsidR="00C66FC7" w:rsidRDefault="00000000">
      <w:pPr>
        <w:pStyle w:val="ListNumber"/>
      </w:pPr>
      <w:r>
        <w:rPr>
          <w:b/>
        </w:rPr>
        <w:t xml:space="preserve">Review high-cost shipments: </w:t>
      </w:r>
      <w:r>
        <w:t>Flag costs that are unusually high for their distance, weight, and mode. Confirm whether they are due to urgent service, special handling, poor load utilization, or pricing differences.</w:t>
      </w:r>
    </w:p>
    <w:p w14:paraId="57B9B841" w14:textId="77777777" w:rsidR="00C66FC7" w:rsidRDefault="00000000">
      <w:pPr>
        <w:pStyle w:val="ListNumber"/>
      </w:pPr>
      <w:r>
        <w:rPr>
          <w:b/>
        </w:rPr>
        <w:t xml:space="preserve">Improve regional visibility: </w:t>
      </w:r>
      <w:r>
        <w:t>Create a dashboard for on-time delivery, average delivery time, shipment count, and average cost by region. Investigate low-performing areas after adjusting for route mix.</w:t>
      </w:r>
    </w:p>
    <w:p w14:paraId="0ADE6DF5" w14:textId="77777777" w:rsidR="00C66FC7" w:rsidRDefault="00000000">
      <w:pPr>
        <w:pStyle w:val="ListNumber"/>
      </w:pPr>
      <w:r>
        <w:rPr>
          <w:b/>
        </w:rPr>
        <w:t xml:space="preserve">Improve data collection: </w:t>
      </w:r>
      <w:r>
        <w:t>Capture promised delivery date, actual delivery date, carrier, route, fuel surcharge, failed delivery reason, warehouse processing time, and customer priority.</w:t>
      </w:r>
    </w:p>
    <w:p w14:paraId="122D0967" w14:textId="77777777" w:rsidR="00C66FC7" w:rsidRDefault="00000000">
      <w:pPr>
        <w:pStyle w:val="ListNumber"/>
      </w:pPr>
      <w:r>
        <w:rPr>
          <w:b/>
        </w:rPr>
        <w:t xml:space="preserve">Validate with real data: </w:t>
      </w:r>
      <w:r>
        <w:t>Repeat the analysis on actual historical records and compare periods. Use adequate sample sizes and avoid making causal claims from correlations alone.</w:t>
      </w:r>
    </w:p>
    <w:p w14:paraId="64CE6D23" w14:textId="77777777" w:rsidR="00C66FC7" w:rsidRDefault="00000000">
      <w:pPr>
        <w:pStyle w:val="Heading1"/>
      </w:pPr>
      <w:r>
        <w:t>How the Visualizations Support Decisions</w:t>
      </w:r>
    </w:p>
    <w:tbl>
      <w:tblPr>
        <w:tblStyle w:val="LightShading-Accent1"/>
        <w:tblW w:w="0" w:type="auto"/>
        <w:jc w:val="center"/>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12"/>
        <w:gridCol w:w="3742"/>
        <w:gridCol w:w="4038"/>
      </w:tblGrid>
      <w:tr w:rsidR="00C66FC7" w14:paraId="2FBF277D" w14:textId="77777777" w:rsidTr="00C66FC7">
        <w:trPr>
          <w:cnfStyle w:val="100000000000" w:firstRow="1" w:lastRow="0" w:firstColumn="0" w:lastColumn="0" w:oddVBand="0" w:evenVBand="0" w:oddHBand="0" w:evenHBand="0" w:firstRowFirstColumn="0" w:firstRowLastColumn="0" w:lastRowFirstColumn="0" w:lastRowLastColumn="0"/>
          <w:cantSplit/>
          <w:tblHeader/>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E3DC4CF" w14:textId="77777777" w:rsidR="00C66FC7" w:rsidRDefault="00000000">
            <w:pPr>
              <w:keepLines/>
              <w:spacing w:after="40"/>
            </w:pPr>
            <w:r>
              <w:rPr>
                <w:sz w:val="20"/>
              </w:rPr>
              <w:t>Visualization</w:t>
            </w:r>
          </w:p>
        </w:tc>
        <w:tc>
          <w:tcPr>
            <w:tcW w:w="392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2B42506"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Why this method?</w:t>
            </w:r>
          </w:p>
        </w:tc>
        <w:tc>
          <w:tcPr>
            <w:tcW w:w="4246"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3FD1944" w14:textId="77777777" w:rsidR="00C66FC7" w:rsidRDefault="00000000">
            <w:pPr>
              <w:keepLines/>
              <w:spacing w:after="40"/>
              <w:cnfStyle w:val="100000000000" w:firstRow="1" w:lastRow="0" w:firstColumn="0" w:lastColumn="0" w:oddVBand="0" w:evenVBand="0" w:oddHBand="0" w:evenHBand="0" w:firstRowFirstColumn="0" w:firstRowLastColumn="0" w:lastRowFirstColumn="0" w:lastRowLastColumn="0"/>
            </w:pPr>
            <w:r>
              <w:rPr>
                <w:sz w:val="20"/>
              </w:rPr>
              <w:t>Decision supported</w:t>
            </w:r>
          </w:p>
        </w:tc>
      </w:tr>
      <w:tr w:rsidR="00C66FC7" w14:paraId="730B578A"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535AB276" w14:textId="77777777" w:rsidR="00C66FC7" w:rsidRDefault="00000000">
            <w:pPr>
              <w:keepLines/>
              <w:spacing w:after="40"/>
            </w:pPr>
            <w:r>
              <w:rPr>
                <w:sz w:val="20"/>
              </w:rPr>
              <w:t>Delivery-time histogram</w:t>
            </w:r>
          </w:p>
        </w:tc>
        <w:tc>
          <w:tcPr>
            <w:tcW w:w="3926" w:type="dxa"/>
            <w:tcBorders>
              <w:top w:val="single" w:sz="8" w:space="0" w:color="000000"/>
              <w:left w:val="single" w:sz="8" w:space="0" w:color="000000"/>
              <w:bottom w:val="single" w:sz="8" w:space="0" w:color="000000"/>
              <w:right w:val="single" w:sz="8" w:space="0" w:color="000000"/>
            </w:tcBorders>
            <w:vAlign w:val="center"/>
          </w:tcPr>
          <w:p w14:paraId="597D40B7"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Shows frequency distribution, skew, and tail behaviour</w:t>
            </w:r>
          </w:p>
        </w:tc>
        <w:tc>
          <w:tcPr>
            <w:tcW w:w="4246" w:type="dxa"/>
            <w:tcBorders>
              <w:top w:val="single" w:sz="8" w:space="0" w:color="000000"/>
              <w:left w:val="single" w:sz="8" w:space="0" w:color="000000"/>
              <w:bottom w:val="single" w:sz="8" w:space="0" w:color="000000"/>
              <w:right w:val="single" w:sz="8" w:space="0" w:color="000000"/>
            </w:tcBorders>
            <w:vAlign w:val="center"/>
          </w:tcPr>
          <w:p w14:paraId="3528A33E"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Find typical delivery window and long-delay cases</w:t>
            </w:r>
          </w:p>
        </w:tc>
      </w:tr>
      <w:tr w:rsidR="00C66FC7" w14:paraId="0CB7D2B3"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152A370E" w14:textId="77777777" w:rsidR="00C66FC7" w:rsidRDefault="00000000">
            <w:pPr>
              <w:keepLines/>
              <w:spacing w:after="40"/>
            </w:pPr>
            <w:r>
              <w:rPr>
                <w:sz w:val="20"/>
              </w:rPr>
              <w:lastRenderedPageBreak/>
              <w:t>Cost histogram</w:t>
            </w:r>
          </w:p>
        </w:tc>
        <w:tc>
          <w:tcPr>
            <w:tcW w:w="3926" w:type="dxa"/>
            <w:tcBorders>
              <w:top w:val="single" w:sz="8" w:space="0" w:color="000000"/>
              <w:left w:val="single" w:sz="8" w:space="0" w:color="000000"/>
              <w:bottom w:val="single" w:sz="8" w:space="0" w:color="000000"/>
              <w:right w:val="single" w:sz="8" w:space="0" w:color="000000"/>
            </w:tcBorders>
            <w:vAlign w:val="center"/>
          </w:tcPr>
          <w:p w14:paraId="0F8ED98C"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Shows spread and unusually expensive shipments</w:t>
            </w:r>
          </w:p>
        </w:tc>
        <w:tc>
          <w:tcPr>
            <w:tcW w:w="4246" w:type="dxa"/>
            <w:tcBorders>
              <w:top w:val="single" w:sz="8" w:space="0" w:color="000000"/>
              <w:left w:val="single" w:sz="8" w:space="0" w:color="000000"/>
              <w:bottom w:val="single" w:sz="8" w:space="0" w:color="000000"/>
              <w:right w:val="single" w:sz="8" w:space="0" w:color="000000"/>
            </w:tcBorders>
            <w:vAlign w:val="center"/>
          </w:tcPr>
          <w:p w14:paraId="763C91F1"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Prioritize cost exception reviews</w:t>
            </w:r>
          </w:p>
        </w:tc>
      </w:tr>
      <w:tr w:rsidR="00C66FC7" w14:paraId="077A1196"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031AD228" w14:textId="77777777" w:rsidR="00C66FC7" w:rsidRDefault="00000000">
            <w:pPr>
              <w:keepLines/>
              <w:spacing w:after="40"/>
            </w:pPr>
            <w:r>
              <w:rPr>
                <w:sz w:val="20"/>
              </w:rPr>
              <w:t>Distance-cost scatter plot</w:t>
            </w:r>
          </w:p>
        </w:tc>
        <w:tc>
          <w:tcPr>
            <w:tcW w:w="3926" w:type="dxa"/>
            <w:tcBorders>
              <w:top w:val="single" w:sz="8" w:space="0" w:color="000000"/>
              <w:left w:val="single" w:sz="8" w:space="0" w:color="000000"/>
              <w:bottom w:val="single" w:sz="8" w:space="0" w:color="000000"/>
              <w:right w:val="single" w:sz="8" w:space="0" w:color="000000"/>
            </w:tcBorders>
            <w:vAlign w:val="center"/>
          </w:tcPr>
          <w:p w14:paraId="36FCF3B1"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Shows relationship and variation between two numeric variables</w:t>
            </w:r>
          </w:p>
        </w:tc>
        <w:tc>
          <w:tcPr>
            <w:tcW w:w="4246" w:type="dxa"/>
            <w:tcBorders>
              <w:top w:val="single" w:sz="8" w:space="0" w:color="000000"/>
              <w:left w:val="single" w:sz="8" w:space="0" w:color="000000"/>
              <w:bottom w:val="single" w:sz="8" w:space="0" w:color="000000"/>
              <w:right w:val="single" w:sz="8" w:space="0" w:color="000000"/>
            </w:tcBorders>
            <w:vAlign w:val="center"/>
          </w:tcPr>
          <w:p w14:paraId="211D98C2"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Understand distance-related cost and compare modes</w:t>
            </w:r>
          </w:p>
        </w:tc>
      </w:tr>
      <w:tr w:rsidR="00C66FC7" w14:paraId="31391973"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7101696D" w14:textId="77777777" w:rsidR="00C66FC7" w:rsidRDefault="00000000">
            <w:pPr>
              <w:keepLines/>
              <w:spacing w:after="40"/>
            </w:pPr>
            <w:r>
              <w:rPr>
                <w:sz w:val="20"/>
              </w:rPr>
              <w:t>Mode average bar chart</w:t>
            </w:r>
          </w:p>
        </w:tc>
        <w:tc>
          <w:tcPr>
            <w:tcW w:w="3926" w:type="dxa"/>
            <w:tcBorders>
              <w:top w:val="single" w:sz="8" w:space="0" w:color="000000"/>
              <w:left w:val="single" w:sz="8" w:space="0" w:color="000000"/>
              <w:bottom w:val="single" w:sz="8" w:space="0" w:color="000000"/>
              <w:right w:val="single" w:sz="8" w:space="0" w:color="000000"/>
            </w:tcBorders>
            <w:vAlign w:val="center"/>
          </w:tcPr>
          <w:p w14:paraId="5E3674CE"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Makes categorical means easy to compare</w:t>
            </w:r>
          </w:p>
        </w:tc>
        <w:tc>
          <w:tcPr>
            <w:tcW w:w="4246" w:type="dxa"/>
            <w:tcBorders>
              <w:top w:val="single" w:sz="8" w:space="0" w:color="000000"/>
              <w:left w:val="single" w:sz="8" w:space="0" w:color="000000"/>
              <w:bottom w:val="single" w:sz="8" w:space="0" w:color="000000"/>
              <w:right w:val="single" w:sz="8" w:space="0" w:color="000000"/>
            </w:tcBorders>
            <w:vAlign w:val="center"/>
          </w:tcPr>
          <w:p w14:paraId="6A2BE690"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Balance speed against transport cost</w:t>
            </w:r>
          </w:p>
        </w:tc>
      </w:tr>
      <w:tr w:rsidR="00C66FC7" w14:paraId="1D56CCD1" w14:textId="77777777" w:rsidTr="00C66FC7">
        <w:trPr>
          <w:cnfStyle w:val="000000100000" w:firstRow="0" w:lastRow="0" w:firstColumn="0" w:lastColumn="0" w:oddVBand="0" w:evenVBand="0" w:oddHBand="1" w:evenHBand="0" w:firstRowFirstColumn="0" w:firstRowLastColumn="0" w:lastRowFirstColumn="0" w:lastRowLastColumn="0"/>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76922345" w14:textId="77777777" w:rsidR="00C66FC7" w:rsidRDefault="00000000">
            <w:pPr>
              <w:keepLines/>
              <w:spacing w:after="40"/>
            </w:pPr>
            <w:r>
              <w:rPr>
                <w:sz w:val="20"/>
              </w:rPr>
              <w:t>Regional on-time bar chart</w:t>
            </w:r>
          </w:p>
        </w:tc>
        <w:tc>
          <w:tcPr>
            <w:tcW w:w="3926" w:type="dxa"/>
            <w:tcBorders>
              <w:top w:val="single" w:sz="8" w:space="0" w:color="000000"/>
              <w:left w:val="single" w:sz="8" w:space="0" w:color="000000"/>
              <w:bottom w:val="single" w:sz="8" w:space="0" w:color="000000"/>
              <w:right w:val="single" w:sz="8" w:space="0" w:color="000000"/>
            </w:tcBorders>
            <w:vAlign w:val="center"/>
          </w:tcPr>
          <w:p w14:paraId="5F600DBE"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Ranks regions clearly</w:t>
            </w:r>
          </w:p>
        </w:tc>
        <w:tc>
          <w:tcPr>
            <w:tcW w:w="4246" w:type="dxa"/>
            <w:tcBorders>
              <w:top w:val="single" w:sz="8" w:space="0" w:color="000000"/>
              <w:left w:val="single" w:sz="8" w:space="0" w:color="000000"/>
              <w:bottom w:val="single" w:sz="8" w:space="0" w:color="000000"/>
              <w:right w:val="single" w:sz="8" w:space="0" w:color="000000"/>
            </w:tcBorders>
            <w:vAlign w:val="center"/>
          </w:tcPr>
          <w:p w14:paraId="02FC1FA6" w14:textId="77777777" w:rsidR="00C66FC7" w:rsidRDefault="00000000">
            <w:pPr>
              <w:keepLines/>
              <w:spacing w:after="40"/>
              <w:cnfStyle w:val="000000100000" w:firstRow="0" w:lastRow="0" w:firstColumn="0" w:lastColumn="0" w:oddVBand="0" w:evenVBand="0" w:oddHBand="1" w:evenHBand="0" w:firstRowFirstColumn="0" w:firstRowLastColumn="0" w:lastRowFirstColumn="0" w:lastRowLastColumn="0"/>
            </w:pPr>
            <w:r>
              <w:rPr>
                <w:sz w:val="20"/>
              </w:rPr>
              <w:t>Identify areas for operational investigation</w:t>
            </w:r>
          </w:p>
        </w:tc>
      </w:tr>
      <w:tr w:rsidR="00C66FC7" w14:paraId="4E853856" w14:textId="77777777" w:rsidTr="00C66FC7">
        <w:trPr>
          <w:cantSplit/>
          <w:tblCellSpacing w:w="0" w:type="dxa"/>
          <w:jc w:val="center"/>
        </w:trPr>
        <w:tc>
          <w:tcPr>
            <w:cnfStyle w:val="001000000000" w:firstRow="0" w:lastRow="0" w:firstColumn="1" w:lastColumn="0" w:oddVBand="0" w:evenVBand="0" w:oddHBand="0" w:evenHBand="0" w:firstRowFirstColumn="0" w:firstRowLastColumn="0" w:lastRowFirstColumn="0" w:lastRowLastColumn="0"/>
            <w:tcW w:w="2484" w:type="dxa"/>
            <w:tcBorders>
              <w:top w:val="single" w:sz="8" w:space="0" w:color="000000"/>
              <w:left w:val="single" w:sz="8" w:space="0" w:color="000000"/>
              <w:bottom w:val="single" w:sz="8" w:space="0" w:color="000000"/>
              <w:right w:val="single" w:sz="8" w:space="0" w:color="000000"/>
            </w:tcBorders>
            <w:vAlign w:val="center"/>
          </w:tcPr>
          <w:p w14:paraId="25FC3988" w14:textId="77777777" w:rsidR="00C66FC7" w:rsidRDefault="00000000">
            <w:pPr>
              <w:keepLines/>
              <w:spacing w:after="40"/>
            </w:pPr>
            <w:r>
              <w:rPr>
                <w:sz w:val="20"/>
              </w:rPr>
              <w:t>Correlation matrix</w:t>
            </w:r>
          </w:p>
        </w:tc>
        <w:tc>
          <w:tcPr>
            <w:tcW w:w="3926" w:type="dxa"/>
            <w:tcBorders>
              <w:top w:val="single" w:sz="8" w:space="0" w:color="000000"/>
              <w:left w:val="single" w:sz="8" w:space="0" w:color="000000"/>
              <w:bottom w:val="single" w:sz="8" w:space="0" w:color="000000"/>
              <w:right w:val="single" w:sz="8" w:space="0" w:color="000000"/>
            </w:tcBorders>
            <w:vAlign w:val="center"/>
          </w:tcPr>
          <w:p w14:paraId="5837EB73"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Summarizes pairwise linear relationships</w:t>
            </w:r>
          </w:p>
        </w:tc>
        <w:tc>
          <w:tcPr>
            <w:tcW w:w="4246" w:type="dxa"/>
            <w:tcBorders>
              <w:top w:val="single" w:sz="8" w:space="0" w:color="000000"/>
              <w:left w:val="single" w:sz="8" w:space="0" w:color="000000"/>
              <w:bottom w:val="single" w:sz="8" w:space="0" w:color="000000"/>
              <w:right w:val="single" w:sz="8" w:space="0" w:color="000000"/>
            </w:tcBorders>
            <w:vAlign w:val="center"/>
          </w:tcPr>
          <w:p w14:paraId="74507AD5" w14:textId="77777777" w:rsidR="00C66FC7" w:rsidRDefault="00000000">
            <w:pPr>
              <w:keepLines/>
              <w:spacing w:after="40"/>
              <w:cnfStyle w:val="000000000000" w:firstRow="0" w:lastRow="0" w:firstColumn="0" w:lastColumn="0" w:oddVBand="0" w:evenVBand="0" w:oddHBand="0" w:evenHBand="0" w:firstRowFirstColumn="0" w:firstRowLastColumn="0" w:lastRowFirstColumn="0" w:lastRowLastColumn="0"/>
            </w:pPr>
            <w:r>
              <w:rPr>
                <w:sz w:val="20"/>
              </w:rPr>
              <w:t>Select variables for deeper analysis</w:t>
            </w:r>
          </w:p>
        </w:tc>
      </w:tr>
    </w:tbl>
    <w:p w14:paraId="67CF17ED" w14:textId="77777777" w:rsidR="00C66FC7" w:rsidRDefault="00000000">
      <w:pPr>
        <w:pStyle w:val="Heading1"/>
      </w:pPr>
      <w:r>
        <w:t>Python Tools and Code Excerpt</w:t>
      </w:r>
    </w:p>
    <w:p w14:paraId="0ED5D364" w14:textId="77777777" w:rsidR="00C66FC7" w:rsidRDefault="00000000">
      <w:r>
        <w:t>pandas loads and groups the data, NumPy supports reproducible simulation, and Matplotlib creates the visualizations. The complete runnable script is supplied separately as week3_logistics_analysis.py.</w:t>
      </w:r>
    </w:p>
    <w:p w14:paraId="3C1B5335" w14:textId="77777777" w:rsidR="00C66FC7" w:rsidRDefault="00000000">
      <w:r>
        <w:rPr>
          <w:rFonts w:ascii="Consolas" w:hAnsi="Consolas"/>
          <w:sz w:val="16"/>
        </w:rPr>
        <w:t>import pandas as pd</w:t>
      </w:r>
      <w:r>
        <w:rPr>
          <w:rFonts w:ascii="Consolas" w:hAnsi="Consolas"/>
          <w:sz w:val="16"/>
        </w:rPr>
        <w:br/>
        <w:t>import matplotlib.pyplot as plt</w:t>
      </w:r>
      <w:r>
        <w:rPr>
          <w:rFonts w:ascii="Consolas" w:hAnsi="Consolas"/>
          <w:sz w:val="16"/>
        </w:rPr>
        <w:br/>
      </w:r>
      <w:r>
        <w:rPr>
          <w:rFonts w:ascii="Consolas" w:hAnsi="Consolas"/>
          <w:sz w:val="16"/>
        </w:rPr>
        <w:br/>
        <w:t>df = pd.read_csv("week3_logistics_hypothetical_dataset.csv")</w:t>
      </w:r>
      <w:r>
        <w:rPr>
          <w:rFonts w:ascii="Consolas" w:hAnsi="Consolas"/>
          <w:sz w:val="16"/>
        </w:rPr>
        <w:br/>
      </w:r>
      <w:r>
        <w:rPr>
          <w:rFonts w:ascii="Consolas" w:hAnsi="Consolas"/>
          <w:sz w:val="16"/>
        </w:rPr>
        <w:br/>
        <w:t>metrics = ["Distance_km", "Weight_kg", "Shipment_Volume_units",</w:t>
      </w:r>
      <w:r>
        <w:rPr>
          <w:rFonts w:ascii="Consolas" w:hAnsi="Consolas"/>
          <w:sz w:val="16"/>
        </w:rPr>
        <w:br/>
        <w:t xml:space="preserve">           "Delivery_Time_days", "Transport_Cost_INR"]</w:t>
      </w:r>
      <w:r>
        <w:rPr>
          <w:rFonts w:ascii="Consolas" w:hAnsi="Consolas"/>
          <w:sz w:val="16"/>
        </w:rPr>
        <w:br/>
        <w:t>print(df[metrics].describe().round(2))</w:t>
      </w:r>
      <w:r>
        <w:rPr>
          <w:rFonts w:ascii="Consolas" w:hAnsi="Consolas"/>
          <w:sz w:val="16"/>
        </w:rPr>
        <w:br/>
        <w:t>print(df[metrics].corr().round(2))</w:t>
      </w:r>
      <w:r>
        <w:rPr>
          <w:rFonts w:ascii="Consolas" w:hAnsi="Consolas"/>
          <w:sz w:val="16"/>
        </w:rPr>
        <w:br/>
      </w:r>
      <w:r>
        <w:rPr>
          <w:rFonts w:ascii="Consolas" w:hAnsi="Consolas"/>
          <w:sz w:val="16"/>
        </w:rPr>
        <w:br/>
        <w:t>plt.hist(df["Delivery_Time_days"], bins=18, edgecolor="black")</w:t>
      </w:r>
      <w:r>
        <w:rPr>
          <w:rFonts w:ascii="Consolas" w:hAnsi="Consolas"/>
          <w:sz w:val="16"/>
        </w:rPr>
        <w:br/>
        <w:t>plt.title("Distribution of Delivery Time")</w:t>
      </w:r>
      <w:r>
        <w:rPr>
          <w:rFonts w:ascii="Consolas" w:hAnsi="Consolas"/>
          <w:sz w:val="16"/>
        </w:rPr>
        <w:br/>
        <w:t>plt.xlabel("Delivery time (days)")</w:t>
      </w:r>
      <w:r>
        <w:rPr>
          <w:rFonts w:ascii="Consolas" w:hAnsi="Consolas"/>
          <w:sz w:val="16"/>
        </w:rPr>
        <w:br/>
        <w:t>plt.ylabel("Number of shipments")</w:t>
      </w:r>
      <w:r>
        <w:rPr>
          <w:rFonts w:ascii="Consolas" w:hAnsi="Consolas"/>
          <w:sz w:val="16"/>
        </w:rPr>
        <w:br/>
        <w:t>plt.tight_layout()</w:t>
      </w:r>
      <w:r>
        <w:rPr>
          <w:rFonts w:ascii="Consolas" w:hAnsi="Consolas"/>
          <w:sz w:val="16"/>
        </w:rPr>
        <w:br/>
        <w:t>plt.show()</w:t>
      </w:r>
      <w:r>
        <w:rPr>
          <w:rFonts w:ascii="Consolas" w:hAnsi="Consolas"/>
          <w:sz w:val="16"/>
        </w:rPr>
        <w:br/>
      </w:r>
    </w:p>
    <w:p w14:paraId="7F53F4B6" w14:textId="77777777" w:rsidR="00C66FC7" w:rsidRDefault="00000000">
      <w:pPr>
        <w:pStyle w:val="Heading1"/>
      </w:pPr>
      <w:r>
        <w:t>Limitations</w:t>
      </w:r>
    </w:p>
    <w:p w14:paraId="52DFEFDD" w14:textId="77777777" w:rsidR="00C66FC7" w:rsidRDefault="00000000">
      <w:pPr>
        <w:pStyle w:val="ListBullet"/>
      </w:pPr>
      <w:r>
        <w:t>All records are simulated for learning purposes and do not represent a real logistics company.</w:t>
      </w:r>
    </w:p>
    <w:p w14:paraId="7401D3F6" w14:textId="77777777" w:rsidR="00C66FC7" w:rsidRDefault="00000000">
      <w:pPr>
        <w:pStyle w:val="ListBullet"/>
      </w:pPr>
      <w:r>
        <w:t>The on-time flag is based on simplified mode-specific thresholds; real service-level agreements may differ.</w:t>
      </w:r>
    </w:p>
    <w:p w14:paraId="052D8D0A" w14:textId="77777777" w:rsidR="00C66FC7" w:rsidRDefault="00000000">
      <w:pPr>
        <w:pStyle w:val="ListBullet"/>
      </w:pPr>
      <w:r>
        <w:t>The analysis is descriptive. It does not control for all confounding factors or establish causality.</w:t>
      </w:r>
    </w:p>
    <w:p w14:paraId="3F887819" w14:textId="77777777" w:rsidR="00C66FC7" w:rsidRDefault="00000000">
      <w:pPr>
        <w:pStyle w:val="ListBullet"/>
      </w:pPr>
      <w:r>
        <w:t>Costs are simulated in INR and do not include a detailed breakdown of fuel, labour, warehousing, tolls, or surcharges.</w:t>
      </w:r>
    </w:p>
    <w:p w14:paraId="71742B26" w14:textId="77777777" w:rsidR="00C66FC7" w:rsidRDefault="00000000">
      <w:pPr>
        <w:pStyle w:val="Heading1"/>
      </w:pPr>
      <w:r>
        <w:lastRenderedPageBreak/>
        <w:t>Conclusion</w:t>
      </w:r>
    </w:p>
    <w:p w14:paraId="10A8495E" w14:textId="77777777" w:rsidR="00C66FC7" w:rsidRDefault="00000000">
      <w:r>
        <w:t>This exercise demonstrates how a structured EDA workflow can convert shipment records into operationally useful evidence. Descriptive statistics summarize typical performance, histograms reveal variation and long tails, scatter plots explore cost drivers, grouped bar charts compare modes and regions, and correlation analysis highlights relationships for further study. The recommended next step is to apply the same reproducible workflow to validated real shipment data, then build a recurring KPI dashboard and investigate late or high-cost exceptions.</w:t>
      </w:r>
    </w:p>
    <w:p w14:paraId="231358AB" w14:textId="77777777" w:rsidR="00C66FC7" w:rsidRDefault="00000000">
      <w:pPr>
        <w:pStyle w:val="Heading1"/>
      </w:pPr>
      <w:r>
        <w:t>Appendix A: Reproducibility</w:t>
      </w:r>
    </w:p>
    <w:p w14:paraId="383D5078" w14:textId="77777777" w:rsidR="00C66FC7" w:rsidRDefault="00000000">
      <w:r>
        <w:t>Files supplied: (1) week3_logistics_hypothetical_dataset.csv — 250-row simulated dataset; (2) week3_logistics_analysis.py — script for summary statistics and plots; (3) week3_logistics_analysis_report.docx — this report with embedded visualization outputs.</w:t>
      </w:r>
    </w:p>
    <w:p w14:paraId="2344D5DA" w14:textId="77777777" w:rsidR="00C66FC7" w:rsidRDefault="00000000">
      <w:r>
        <w:t>To run: install pandas, numpy, and matplotlib; place the CSV and Python script in the same folder; run `python week3_logistics_analysis.py`.</w:t>
      </w:r>
    </w:p>
    <w:sectPr w:rsidR="00C66FC7" w:rsidSect="00034616">
      <w:footerReference w:type="default" r:id="rId14"/>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23BC" w14:textId="77777777" w:rsidR="00B72C1D" w:rsidRDefault="00B72C1D">
      <w:pPr>
        <w:spacing w:after="0" w:line="240" w:lineRule="auto"/>
      </w:pPr>
      <w:r>
        <w:separator/>
      </w:r>
    </w:p>
  </w:endnote>
  <w:endnote w:type="continuationSeparator" w:id="0">
    <w:p w14:paraId="38B29F77" w14:textId="77777777" w:rsidR="00B72C1D" w:rsidRDefault="00B7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5D4D4" w14:textId="77777777" w:rsidR="00C66FC7" w:rsidRDefault="00000000">
    <w:pPr>
      <w:pStyle w:val="Footer"/>
      <w:jc w:val="center"/>
    </w:pPr>
    <w:r>
      <w:rPr>
        <w:color w:val="5A5A5A"/>
        <w:sz w:val="18"/>
      </w:rPr>
      <w:t xml:space="preserve">Logistics Data Analysis </w:t>
    </w:r>
    <w:proofErr w:type="gramStart"/>
    <w:r>
      <w:rPr>
        <w:color w:val="5A5A5A"/>
        <w:sz w:val="18"/>
      </w:rPr>
      <w:t>Internship  |</w:t>
    </w:r>
    <w:proofErr w:type="gramEnd"/>
    <w:r>
      <w:rPr>
        <w:color w:val="5A5A5A"/>
        <w:sz w:val="18"/>
      </w:rPr>
      <w:t xml:space="preserve">  Page </w:t>
    </w:r>
    <w:r>
      <w:fldChar w:fldCharType="begin"/>
    </w:r>
    <w:r>
      <w:instrText>PAGE</w:instrText>
    </w:r>
    <w:r>
      <w:fldChar w:fldCharType="separate"/>
    </w:r>
    <w:r w:rsidR="006E1D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6849A" w14:textId="77777777" w:rsidR="00B72C1D" w:rsidRDefault="00B72C1D">
      <w:pPr>
        <w:spacing w:after="0" w:line="240" w:lineRule="auto"/>
      </w:pPr>
      <w:r>
        <w:separator/>
      </w:r>
    </w:p>
  </w:footnote>
  <w:footnote w:type="continuationSeparator" w:id="0">
    <w:p w14:paraId="2E4ECBDE" w14:textId="77777777" w:rsidR="00B72C1D" w:rsidRDefault="00B72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17827">
    <w:abstractNumId w:val="8"/>
  </w:num>
  <w:num w:numId="2" w16cid:durableId="1917785730">
    <w:abstractNumId w:val="6"/>
  </w:num>
  <w:num w:numId="3" w16cid:durableId="1216042436">
    <w:abstractNumId w:val="5"/>
  </w:num>
  <w:num w:numId="4" w16cid:durableId="1763336921">
    <w:abstractNumId w:val="4"/>
  </w:num>
  <w:num w:numId="5" w16cid:durableId="362678862">
    <w:abstractNumId w:val="7"/>
  </w:num>
  <w:num w:numId="6" w16cid:durableId="2122457959">
    <w:abstractNumId w:val="3"/>
  </w:num>
  <w:num w:numId="7" w16cid:durableId="282880428">
    <w:abstractNumId w:val="2"/>
  </w:num>
  <w:num w:numId="8" w16cid:durableId="989485721">
    <w:abstractNumId w:val="1"/>
  </w:num>
  <w:num w:numId="9" w16cid:durableId="128522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1D84"/>
    <w:rsid w:val="00AA1D8D"/>
    <w:rsid w:val="00B47730"/>
    <w:rsid w:val="00B72C1D"/>
    <w:rsid w:val="00C66FC7"/>
    <w:rsid w:val="00CB0664"/>
    <w:rsid w:val="00D4375E"/>
    <w:rsid w:val="00D44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A9F8A"/>
  <w14:defaultImageDpi w14:val="300"/>
  <w15:docId w15:val="{2DBF1543-A23F-4A89-A16E-871708EC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BONAGIRI GEETHA</cp:lastModifiedBy>
  <cp:revision>3</cp:revision>
  <dcterms:created xsi:type="dcterms:W3CDTF">2013-12-23T23:15:00Z</dcterms:created>
  <dcterms:modified xsi:type="dcterms:W3CDTF">2026-10-28T13:34:00Z</dcterms:modified>
  <cp:category/>
</cp:coreProperties>
</file>