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Natural Key vs Surrogate Key in Data Modeling</w:t>
      </w:r>
    </w:p>
    <w:p>
      <w:r>
        <w:t>In data modeling, keys are used to uniquely identify records in a table. Two commonly used types of keys are Natural Keys and Surrogate Keys. Below is an explanation with a supporting diagram.</w:t>
      </w:r>
    </w:p>
    <w:p>
      <w:r>
        <w:drawing>
          <wp:inline xmlns:a="http://schemas.openxmlformats.org/drawingml/2006/main" xmlns:pic="http://schemas.openxmlformats.org/drawingml/2006/picture">
            <wp:extent cx="5486400" cy="3447834"/>
            <wp:docPr id="1" name="Picture 1"/>
            <wp:cNvGraphicFramePr>
              <a:graphicFrameLocks noChangeAspect="1"/>
            </wp:cNvGraphicFramePr>
            <a:graphic>
              <a:graphicData uri="http://schemas.openxmlformats.org/drawingml/2006/picture">
                <pic:pic>
                  <pic:nvPicPr>
                    <pic:cNvPr id="0" name="502e828b-8940-4742-9710-367bbe906146.png"/>
                    <pic:cNvPicPr/>
                  </pic:nvPicPr>
                  <pic:blipFill>
                    <a:blip r:embed="rId9"/>
                    <a:stretch>
                      <a:fillRect/>
                    </a:stretch>
                  </pic:blipFill>
                  <pic:spPr>
                    <a:xfrm>
                      <a:off x="0" y="0"/>
                      <a:ext cx="5486400" cy="3447834"/>
                    </a:xfrm>
                    <a:prstGeom prst="rect"/>
                  </pic:spPr>
                </pic:pic>
              </a:graphicData>
            </a:graphic>
          </wp:inline>
        </w:drawing>
      </w:r>
    </w:p>
    <w:p>
      <w:pPr>
        <w:pStyle w:val="Heading2"/>
      </w:pPr>
      <w:r>
        <w:t>Natural Key</w:t>
      </w:r>
    </w:p>
    <w:p>
      <w:r>
        <w:t>A natural key is a key that already exists in the source system and carries real-world meaning. Examples include product codes, email addresses, or invoice numbers. In the diagram above, the 'product_id' column (values like PX30, PT32) represents the natural key.</w:t>
      </w:r>
    </w:p>
    <w:p>
      <w:pPr>
        <w:pStyle w:val="Heading2"/>
      </w:pPr>
      <w:r>
        <w:t>Surrogate Key</w:t>
      </w:r>
    </w:p>
    <w:p>
      <w:r>
        <w:t>A surrogate key is an artificial key, typically generated by the database or ETL tool. It is an integer value with no business meaning, used internally for uniquely identifying records. In the diagram above, 'Product_PK' is the surrogate key (values like 1, 2, 3).</w:t>
      </w:r>
    </w:p>
    <w:p>
      <w:pPr>
        <w:pStyle w:val="Heading2"/>
      </w:pPr>
      <w:r>
        <w:t>Summary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Natural Key</w:t>
            </w:r>
          </w:p>
        </w:tc>
        <w:tc>
          <w:tcPr>
            <w:tcW w:type="dxa" w:w="2880"/>
          </w:tcPr>
          <w:p>
            <w:r>
              <w:t>Surrogate Key</w:t>
            </w:r>
          </w:p>
        </w:tc>
      </w:tr>
      <w:tr>
        <w:tc>
          <w:tcPr>
            <w:tcW w:type="dxa" w:w="2880"/>
          </w:tcPr>
          <w:p>
            <w:r>
              <w:t>Source</w:t>
            </w:r>
          </w:p>
        </w:tc>
        <w:tc>
          <w:tcPr>
            <w:tcW w:type="dxa" w:w="2880"/>
          </w:tcPr>
          <w:p>
            <w:r>
              <w:t>Comes from source system</w:t>
            </w:r>
          </w:p>
        </w:tc>
        <w:tc>
          <w:tcPr>
            <w:tcW w:type="dxa" w:w="2880"/>
          </w:tcPr>
          <w:p>
            <w:r>
              <w:t>Generated by ETL/database</w:t>
            </w:r>
          </w:p>
        </w:tc>
      </w:tr>
      <w:tr>
        <w:tc>
          <w:tcPr>
            <w:tcW w:type="dxa" w:w="2880"/>
          </w:tcPr>
          <w:p>
            <w:r>
              <w:t>Meaning</w:t>
            </w:r>
          </w:p>
        </w:tc>
        <w:tc>
          <w:tcPr>
            <w:tcW w:type="dxa" w:w="2880"/>
          </w:tcPr>
          <w:p>
            <w:r>
              <w:t>Has business meaning</w:t>
            </w:r>
          </w:p>
        </w:tc>
        <w:tc>
          <w:tcPr>
            <w:tcW w:type="dxa" w:w="2880"/>
          </w:tcPr>
          <w:p>
            <w:r>
              <w:t>No business meaning</w:t>
            </w:r>
          </w:p>
        </w:tc>
      </w:tr>
      <w:tr>
        <w:tc>
          <w:tcPr>
            <w:tcW w:type="dxa" w:w="2880"/>
          </w:tcPr>
          <w:p>
            <w:r>
              <w:t>Format</w:t>
            </w:r>
          </w:p>
        </w:tc>
        <w:tc>
          <w:tcPr>
            <w:tcW w:type="dxa" w:w="2880"/>
          </w:tcPr>
          <w:p>
            <w:r>
              <w:t>Often alphanumeric (e.g., PX30)</w:t>
            </w:r>
          </w:p>
        </w:tc>
        <w:tc>
          <w:tcPr>
            <w:tcW w:type="dxa" w:w="2880"/>
          </w:tcPr>
          <w:p>
            <w:r>
              <w:t>Integer</w:t>
            </w:r>
          </w:p>
        </w:tc>
      </w:tr>
      <w:tr>
        <w:tc>
          <w:tcPr>
            <w:tcW w:type="dxa" w:w="2880"/>
          </w:tcPr>
          <w:p>
            <w:r>
              <w:t>Stability</w:t>
            </w:r>
          </w:p>
        </w:tc>
        <w:tc>
          <w:tcPr>
            <w:tcW w:type="dxa" w:w="2880"/>
          </w:tcPr>
          <w:p>
            <w:r>
              <w:t>Can change if business changes</w:t>
            </w:r>
          </w:p>
        </w:tc>
        <w:tc>
          <w:tcPr>
            <w:tcW w:type="dxa" w:w="2880"/>
          </w:tcPr>
          <w:p>
            <w:r>
              <w:t>Stable and unchanging</w:t>
            </w:r>
          </w:p>
        </w:tc>
      </w:tr>
      <w:tr>
        <w:tc>
          <w:tcPr>
            <w:tcW w:type="dxa" w:w="2880"/>
          </w:tcPr>
          <w:p>
            <w:r>
              <w:t>Use Case</w:t>
            </w:r>
          </w:p>
        </w:tc>
        <w:tc>
          <w:tcPr>
            <w:tcW w:type="dxa" w:w="2880"/>
          </w:tcPr>
          <w:p>
            <w:r>
              <w:t>Represents real-world entities</w:t>
            </w:r>
          </w:p>
        </w:tc>
        <w:tc>
          <w:tcPr>
            <w:tcW w:type="dxa" w:w="2880"/>
          </w:tcPr>
          <w:p>
            <w:r>
              <w:t>Used internally for joins and uniqueness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