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B246" w14:textId="4460BCA7" w:rsidR="00CE6719" w:rsidRDefault="00CE6719">
      <w:r>
        <w:t xml:space="preserve">Source: </w:t>
      </w:r>
      <w:hyperlink r:id="rId5" w:history="1">
        <w:r w:rsidRPr="00AC7B91">
          <w:rPr>
            <w:rStyle w:val="Hyperlink"/>
          </w:rPr>
          <w:t>https://www.finra.org/rules-guidance/notices/26-10</w:t>
        </w:r>
      </w:hyperlink>
    </w:p>
    <w:p w14:paraId="0BA6D6CB" w14:textId="77777777" w:rsidR="00CE6719" w:rsidRDefault="00CE6719" w:rsidP="00CE6719">
      <w:pPr>
        <w:spacing w:line="360" w:lineRule="atLeast"/>
        <w:rPr>
          <w:rFonts w:ascii="Open Sans" w:hAnsi="Open Sans" w:cs="Open Sans"/>
          <w:color w:val="1E1E1E"/>
        </w:rPr>
      </w:pPr>
      <w:r>
        <w:rPr>
          <w:rStyle w:val="red-title"/>
          <w:rFonts w:ascii="Arial" w:hAnsi="Arial" w:cs="Arial"/>
          <w:color w:val="FB483D"/>
        </w:rPr>
        <w:t>Regulatory Notice 26-10</w:t>
      </w:r>
    </w:p>
    <w:p w14:paraId="1A8ADD72" w14:textId="77777777" w:rsidR="00CE6719" w:rsidRDefault="00CE6719" w:rsidP="00CE6719">
      <w:pPr>
        <w:pStyle w:val="Heading1"/>
        <w:spacing w:before="0" w:line="360" w:lineRule="atLeast"/>
        <w:rPr>
          <w:rFonts w:ascii="Regular" w:hAnsi="Regular" w:cs="Open Sans"/>
          <w:color w:val="1E1E1E"/>
          <w:spacing w:val="-26"/>
        </w:rPr>
      </w:pPr>
      <w:r>
        <w:rPr>
          <w:rFonts w:ascii="Regular" w:hAnsi="Regular" w:cs="Open Sans"/>
          <w:b/>
          <w:bCs/>
          <w:color w:val="1E1E1E"/>
          <w:spacing w:val="-26"/>
        </w:rPr>
        <w:t>FINRA Adopts New Intraday Margin Standards to Replace the Day Trading Margin Requirements</w:t>
      </w:r>
      <w:r>
        <w:rPr>
          <w:rStyle w:val="apple-converted-space"/>
          <w:rFonts w:ascii="Regular" w:hAnsi="Regular" w:cs="Open Sans"/>
          <w:b/>
          <w:bCs/>
          <w:color w:val="1E1E1E"/>
          <w:spacing w:val="-26"/>
        </w:rPr>
        <w:t> </w:t>
      </w:r>
    </w:p>
    <w:p w14:paraId="5C5E1701" w14:textId="77777777" w:rsidR="00CE6719" w:rsidRDefault="00CE6719" w:rsidP="00CE6719">
      <w:pPr>
        <w:spacing w:line="360" w:lineRule="atLeast"/>
        <w:rPr>
          <w:rFonts w:ascii="Open Sans" w:hAnsi="Open Sans" w:cs="Open Sans"/>
          <w:color w:val="5C594C"/>
          <w:sz w:val="29"/>
          <w:szCs w:val="29"/>
        </w:rPr>
      </w:pPr>
      <w:r>
        <w:rPr>
          <w:rFonts w:ascii="Open Sans" w:hAnsi="Open Sans" w:cs="Open Sans"/>
          <w:color w:val="5C594C"/>
          <w:sz w:val="29"/>
          <w:szCs w:val="29"/>
        </w:rPr>
        <w:t>Published Date:</w:t>
      </w:r>
    </w:p>
    <w:p w14:paraId="20A558AD" w14:textId="77777777" w:rsidR="00CE6719" w:rsidRDefault="00CE6719" w:rsidP="00CE6719">
      <w:pPr>
        <w:spacing w:line="360" w:lineRule="atLeast"/>
        <w:rPr>
          <w:rFonts w:ascii="Open Sans" w:hAnsi="Open Sans" w:cs="Open Sans"/>
          <w:color w:val="1E1E1E"/>
        </w:rPr>
      </w:pPr>
      <w:r>
        <w:rPr>
          <w:rStyle w:val="apple-converted-space"/>
          <w:rFonts w:ascii="Open Sans" w:hAnsi="Open Sans" w:cs="Open Sans"/>
          <w:color w:val="1E1E1E"/>
        </w:rPr>
        <w:t> </w:t>
      </w:r>
    </w:p>
    <w:p w14:paraId="0247A7EA" w14:textId="77777777" w:rsidR="00CE6719" w:rsidRDefault="00CE6719" w:rsidP="00CE6719">
      <w:pPr>
        <w:spacing w:line="360" w:lineRule="atLeast"/>
        <w:rPr>
          <w:rFonts w:ascii="Open Sans" w:hAnsi="Open Sans" w:cs="Open Sans"/>
          <w:color w:val="5C594C"/>
          <w:sz w:val="29"/>
          <w:szCs w:val="29"/>
        </w:rPr>
      </w:pPr>
      <w:r>
        <w:rPr>
          <w:rFonts w:ascii="Open Sans" w:hAnsi="Open Sans" w:cs="Open Sans"/>
          <w:color w:val="5C594C"/>
          <w:sz w:val="29"/>
          <w:szCs w:val="29"/>
        </w:rPr>
        <w:t>April 20, 2026</w:t>
      </w:r>
    </w:p>
    <w:p w14:paraId="12015EED" w14:textId="77777777" w:rsidR="00CE6719" w:rsidRDefault="00CE6719" w:rsidP="00CE6719">
      <w:pPr>
        <w:spacing w:line="360" w:lineRule="atLeast"/>
        <w:rPr>
          <w:rFonts w:ascii="Open Sans" w:hAnsi="Open Sans" w:cs="Open Sans"/>
          <w:color w:val="5C594C"/>
          <w:sz w:val="29"/>
          <w:szCs w:val="29"/>
        </w:rPr>
      </w:pPr>
      <w:r>
        <w:rPr>
          <w:rFonts w:ascii="Open Sans" w:hAnsi="Open Sans" w:cs="Open Sans"/>
          <w:color w:val="5C594C"/>
          <w:sz w:val="29"/>
          <w:szCs w:val="29"/>
        </w:rPr>
        <w:t>Effective Date: June 4, 2026; Phase-in Period: Ends October 20, 2027</w:t>
      </w:r>
    </w:p>
    <w:p w14:paraId="59A3764D" w14:textId="77777777" w:rsidR="00CE6719" w:rsidRDefault="00CE6719" w:rsidP="00CE6719">
      <w:pPr>
        <w:pStyle w:val="Heading2"/>
        <w:spacing w:before="300"/>
        <w:rPr>
          <w:rFonts w:ascii="Regular" w:hAnsi="Regular" w:cs="Open Sans"/>
          <w:color w:val="1E1E1E"/>
          <w:sz w:val="36"/>
          <w:szCs w:val="36"/>
        </w:rPr>
      </w:pPr>
      <w:r>
        <w:rPr>
          <w:rFonts w:ascii="Regular" w:hAnsi="Regular" w:cs="Open Sans"/>
          <w:b/>
          <w:bCs/>
          <w:color w:val="1E1E1E"/>
        </w:rPr>
        <w:t>Summary</w:t>
      </w:r>
    </w:p>
    <w:p w14:paraId="6EFE4E66"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FINRA has adopted new intraday margin standards to replace in their entirety the outdated day trading margin requirements, including the day trade count requirements for designating a customer as a “pattern day trader” and the $25,000 pattern day trader minimum equity requirement. The new standards—amendments to Rule 4210—will give customers more freedom to participate in the markets while also ensuring customers maintain equity in their margin account commensurate with the amount of market exposure they have at any given point in time during the trading day. This</w:t>
      </w:r>
      <w:r>
        <w:rPr>
          <w:rStyle w:val="apple-converted-space"/>
          <w:rFonts w:ascii="Open Sans" w:hAnsi="Open Sans" w:cs="Open Sans"/>
          <w:color w:val="1E1E1E"/>
        </w:rPr>
        <w:t> </w:t>
      </w:r>
      <w:r>
        <w:rPr>
          <w:rStyle w:val="Emphasis"/>
          <w:rFonts w:ascii="Open Sans" w:hAnsi="Open Sans" w:cs="Open Sans"/>
          <w:color w:val="1E1E1E"/>
        </w:rPr>
        <w:t>Notice</w:t>
      </w:r>
      <w:r>
        <w:rPr>
          <w:rStyle w:val="apple-converted-space"/>
          <w:rFonts w:ascii="Open Sans" w:hAnsi="Open Sans" w:cs="Open Sans"/>
          <w:i/>
          <w:iCs/>
          <w:color w:val="1E1E1E"/>
        </w:rPr>
        <w:t> </w:t>
      </w:r>
      <w:r>
        <w:rPr>
          <w:rFonts w:ascii="Open Sans" w:hAnsi="Open Sans" w:cs="Open Sans"/>
          <w:color w:val="1E1E1E"/>
        </w:rPr>
        <w:t>provides an overview of the new intraday margin standards. </w:t>
      </w:r>
    </w:p>
    <w:p w14:paraId="2D128482"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The effective date of the amendments is June 4, 2026, 45 days from publication of this</w:t>
      </w:r>
      <w:r>
        <w:rPr>
          <w:rStyle w:val="apple-converted-space"/>
          <w:rFonts w:ascii="Open Sans" w:hAnsi="Open Sans" w:cs="Open Sans"/>
          <w:color w:val="1E1E1E"/>
        </w:rPr>
        <w:t> </w:t>
      </w:r>
      <w:r>
        <w:rPr>
          <w:rStyle w:val="Emphasis"/>
          <w:rFonts w:ascii="Open Sans" w:hAnsi="Open Sans" w:cs="Open Sans"/>
          <w:color w:val="1E1E1E"/>
        </w:rPr>
        <w:t>Notice</w:t>
      </w:r>
      <w:r>
        <w:rPr>
          <w:rFonts w:ascii="Open Sans" w:hAnsi="Open Sans" w:cs="Open Sans"/>
          <w:color w:val="1E1E1E"/>
        </w:rPr>
        <w:t>. Members that need more time to implement the rule change will be permitted to phase in their implementation over a period of 18 months, until October 20, 2027. To assist members, FINRA is planning to issue shortly a separate</w:t>
      </w:r>
      <w:r>
        <w:rPr>
          <w:rStyle w:val="apple-converted-space"/>
          <w:rFonts w:ascii="Open Sans" w:hAnsi="Open Sans" w:cs="Open Sans"/>
          <w:color w:val="1E1E1E"/>
        </w:rPr>
        <w:t> </w:t>
      </w:r>
      <w:r>
        <w:rPr>
          <w:rStyle w:val="Emphasis"/>
          <w:rFonts w:ascii="Open Sans" w:hAnsi="Open Sans" w:cs="Open Sans"/>
          <w:color w:val="1E1E1E"/>
        </w:rPr>
        <w:t>Notice</w:t>
      </w:r>
      <w:r>
        <w:rPr>
          <w:rStyle w:val="apple-converted-space"/>
          <w:rFonts w:ascii="Open Sans" w:hAnsi="Open Sans" w:cs="Open Sans"/>
          <w:i/>
          <w:iCs/>
          <w:color w:val="1E1E1E"/>
        </w:rPr>
        <w:t> </w:t>
      </w:r>
      <w:r>
        <w:rPr>
          <w:rFonts w:ascii="Open Sans" w:hAnsi="Open Sans" w:cs="Open Sans"/>
          <w:color w:val="1E1E1E"/>
        </w:rPr>
        <w:t>announcing the availability of interpretive guidance and other resources.</w:t>
      </w:r>
    </w:p>
    <w:p w14:paraId="3A7246D2"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The text of the amendments is included as</w:t>
      </w:r>
      <w:r>
        <w:rPr>
          <w:rStyle w:val="apple-converted-space"/>
          <w:rFonts w:ascii="Open Sans" w:hAnsi="Open Sans" w:cs="Open Sans"/>
          <w:color w:val="1E1E1E"/>
        </w:rPr>
        <w:t> </w:t>
      </w:r>
      <w:hyperlink r:id="rId6" w:tgtFrame="pdf_cobrowse" w:history="1">
        <w:r>
          <w:rPr>
            <w:rStyle w:val="Hyperlink"/>
            <w:rFonts w:ascii="Open Sans" w:hAnsi="Open Sans" w:cs="Open Sans"/>
            <w:color w:val="0082D1"/>
            <w:u w:val="none"/>
          </w:rPr>
          <w:t>Attachment A</w:t>
        </w:r>
      </w:hyperlink>
      <w:r>
        <w:rPr>
          <w:rFonts w:ascii="Open Sans" w:hAnsi="Open Sans" w:cs="Open Sans"/>
          <w:color w:val="1E1E1E"/>
        </w:rPr>
        <w:t>. In this</w:t>
      </w:r>
      <w:r>
        <w:rPr>
          <w:rStyle w:val="apple-converted-space"/>
          <w:rFonts w:ascii="Open Sans" w:hAnsi="Open Sans" w:cs="Open Sans"/>
          <w:color w:val="1E1E1E"/>
        </w:rPr>
        <w:t> </w:t>
      </w:r>
      <w:r>
        <w:rPr>
          <w:rStyle w:val="Emphasis"/>
          <w:rFonts w:ascii="Open Sans" w:hAnsi="Open Sans" w:cs="Open Sans"/>
          <w:color w:val="1E1E1E"/>
        </w:rPr>
        <w:t>Notice</w:t>
      </w:r>
      <w:r>
        <w:rPr>
          <w:rFonts w:ascii="Open Sans" w:hAnsi="Open Sans" w:cs="Open Sans"/>
          <w:color w:val="1E1E1E"/>
        </w:rPr>
        <w:t>, all references to provisions of the amendments are to the rule text as shown in</w:t>
      </w:r>
      <w:r>
        <w:rPr>
          <w:rStyle w:val="apple-converted-space"/>
          <w:rFonts w:ascii="Open Sans" w:hAnsi="Open Sans" w:cs="Open Sans"/>
          <w:color w:val="1E1E1E"/>
        </w:rPr>
        <w:t> </w:t>
      </w:r>
      <w:hyperlink r:id="rId7" w:tgtFrame="pdf_cobrowse" w:history="1">
        <w:r>
          <w:rPr>
            <w:rStyle w:val="Hyperlink"/>
            <w:rFonts w:ascii="Open Sans" w:hAnsi="Open Sans" w:cs="Open Sans"/>
            <w:color w:val="0082D1"/>
            <w:u w:val="none"/>
          </w:rPr>
          <w:t>Attachment A</w:t>
        </w:r>
      </w:hyperlink>
      <w:r>
        <w:rPr>
          <w:rFonts w:ascii="Open Sans" w:hAnsi="Open Sans" w:cs="Open Sans"/>
          <w:color w:val="1E1E1E"/>
        </w:rPr>
        <w:t>.</w:t>
      </w:r>
    </w:p>
    <w:p w14:paraId="4D13A6BA"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Questions regarding this</w:t>
      </w:r>
      <w:r>
        <w:rPr>
          <w:rStyle w:val="apple-converted-space"/>
          <w:rFonts w:ascii="Open Sans" w:hAnsi="Open Sans" w:cs="Open Sans"/>
          <w:color w:val="1E1E1E"/>
        </w:rPr>
        <w:t> </w:t>
      </w:r>
      <w:r>
        <w:rPr>
          <w:rStyle w:val="Emphasis"/>
          <w:rFonts w:ascii="Open Sans" w:hAnsi="Open Sans" w:cs="Open Sans"/>
          <w:color w:val="1E1E1E"/>
        </w:rPr>
        <w:t>Notice</w:t>
      </w:r>
      <w:r>
        <w:rPr>
          <w:rStyle w:val="apple-converted-space"/>
          <w:rFonts w:ascii="Open Sans" w:hAnsi="Open Sans" w:cs="Open Sans"/>
          <w:i/>
          <w:iCs/>
          <w:color w:val="1E1E1E"/>
        </w:rPr>
        <w:t> </w:t>
      </w:r>
      <w:r>
        <w:rPr>
          <w:rFonts w:ascii="Open Sans" w:hAnsi="Open Sans" w:cs="Open Sans"/>
          <w:color w:val="1E1E1E"/>
        </w:rPr>
        <w:t>may be directed to:</w:t>
      </w:r>
    </w:p>
    <w:p w14:paraId="05F00F81" w14:textId="77777777" w:rsidR="00CE6719" w:rsidRDefault="00CE6719" w:rsidP="00CE6719">
      <w:pPr>
        <w:numPr>
          <w:ilvl w:val="0"/>
          <w:numId w:val="1"/>
        </w:numPr>
        <w:spacing w:before="100" w:beforeAutospacing="1" w:after="100" w:afterAutospacing="1" w:line="360" w:lineRule="atLeast"/>
        <w:rPr>
          <w:rFonts w:ascii="Open Sans" w:hAnsi="Open Sans" w:cs="Open Sans"/>
          <w:color w:val="1E1E1E"/>
        </w:rPr>
      </w:pPr>
      <w:r>
        <w:rPr>
          <w:rFonts w:ascii="Open Sans" w:hAnsi="Open Sans" w:cs="Open Sans"/>
          <w:color w:val="1E1E1E"/>
        </w:rPr>
        <w:lastRenderedPageBreak/>
        <w:t>James Barry, Director, Credit Regulation, Office of Financial and Operational Risk Policy (OFORP), at (646) 315-8347 or by</w:t>
      </w:r>
      <w:r>
        <w:rPr>
          <w:rStyle w:val="apple-converted-space"/>
          <w:rFonts w:ascii="Open Sans" w:hAnsi="Open Sans" w:cs="Open Sans"/>
          <w:color w:val="1E1E1E"/>
        </w:rPr>
        <w:t> </w:t>
      </w:r>
      <w:r>
        <w:rPr>
          <w:rFonts w:ascii="Open Sans" w:hAnsi="Open Sans" w:cs="Open Sans"/>
          <w:color w:val="1E1E1E"/>
        </w:rPr>
        <w:t>email;</w:t>
      </w:r>
    </w:p>
    <w:p w14:paraId="658F8AD9" w14:textId="77777777" w:rsidR="00CE6719" w:rsidRDefault="00CE6719" w:rsidP="00CE6719">
      <w:pPr>
        <w:numPr>
          <w:ilvl w:val="0"/>
          <w:numId w:val="1"/>
        </w:numPr>
        <w:spacing w:before="100" w:beforeAutospacing="1" w:after="100" w:afterAutospacing="1" w:line="360" w:lineRule="atLeast"/>
        <w:rPr>
          <w:rFonts w:ascii="Open Sans" w:hAnsi="Open Sans" w:cs="Open Sans"/>
          <w:color w:val="1E1E1E"/>
        </w:rPr>
      </w:pPr>
      <w:r>
        <w:rPr>
          <w:rFonts w:ascii="Open Sans" w:hAnsi="Open Sans" w:cs="Open Sans"/>
          <w:color w:val="1E1E1E"/>
        </w:rPr>
        <w:t>Joseph David, Senior Principal Specialist, Credit Regulation, OFORP, at (646) 315-8444 or by</w:t>
      </w:r>
      <w:r>
        <w:rPr>
          <w:rStyle w:val="apple-converted-space"/>
          <w:rFonts w:ascii="Open Sans" w:hAnsi="Open Sans" w:cs="Open Sans"/>
          <w:color w:val="1E1E1E"/>
        </w:rPr>
        <w:t> </w:t>
      </w:r>
      <w:r>
        <w:rPr>
          <w:rFonts w:ascii="Open Sans" w:hAnsi="Open Sans" w:cs="Open Sans"/>
          <w:color w:val="1E1E1E"/>
        </w:rPr>
        <w:t>email;</w:t>
      </w:r>
    </w:p>
    <w:p w14:paraId="4ECE8F82" w14:textId="77777777" w:rsidR="00CE6719" w:rsidRDefault="00CE6719" w:rsidP="00CE6719">
      <w:pPr>
        <w:numPr>
          <w:ilvl w:val="0"/>
          <w:numId w:val="1"/>
        </w:numPr>
        <w:spacing w:before="100" w:beforeAutospacing="1" w:after="100" w:afterAutospacing="1" w:line="360" w:lineRule="atLeast"/>
        <w:rPr>
          <w:rFonts w:ascii="Open Sans" w:hAnsi="Open Sans" w:cs="Open Sans"/>
          <w:color w:val="1E1E1E"/>
        </w:rPr>
      </w:pPr>
      <w:r>
        <w:rPr>
          <w:rFonts w:ascii="Open Sans" w:hAnsi="Open Sans" w:cs="Open Sans"/>
          <w:color w:val="1E1E1E"/>
        </w:rPr>
        <w:t>David Aman, Senior Advisor, OFORP, at (212) 858-5183 or by</w:t>
      </w:r>
      <w:r>
        <w:rPr>
          <w:rStyle w:val="apple-converted-space"/>
          <w:rFonts w:ascii="Open Sans" w:hAnsi="Open Sans" w:cs="Open Sans"/>
          <w:color w:val="1E1E1E"/>
        </w:rPr>
        <w:t> </w:t>
      </w:r>
      <w:r>
        <w:rPr>
          <w:rFonts w:ascii="Open Sans" w:hAnsi="Open Sans" w:cs="Open Sans"/>
          <w:color w:val="1E1E1E"/>
        </w:rPr>
        <w:t>email; or</w:t>
      </w:r>
    </w:p>
    <w:p w14:paraId="65643E8C" w14:textId="77777777" w:rsidR="00CE6719" w:rsidRDefault="00CE6719" w:rsidP="00CE6719">
      <w:pPr>
        <w:numPr>
          <w:ilvl w:val="0"/>
          <w:numId w:val="1"/>
        </w:numPr>
        <w:spacing w:before="100" w:beforeAutospacing="1" w:after="100" w:afterAutospacing="1" w:line="360" w:lineRule="atLeast"/>
        <w:rPr>
          <w:rFonts w:ascii="Open Sans" w:hAnsi="Open Sans" w:cs="Open Sans"/>
          <w:color w:val="1E1E1E"/>
        </w:rPr>
      </w:pPr>
      <w:r>
        <w:rPr>
          <w:rFonts w:ascii="Open Sans" w:hAnsi="Open Sans" w:cs="Open Sans"/>
          <w:color w:val="1E1E1E"/>
        </w:rPr>
        <w:t>Adam Arkel, Associate General Counsel, Office of General Counsel at (202) 728-6961 or by</w:t>
      </w:r>
      <w:r>
        <w:rPr>
          <w:rStyle w:val="apple-converted-space"/>
          <w:rFonts w:ascii="Open Sans" w:hAnsi="Open Sans" w:cs="Open Sans"/>
          <w:color w:val="1E1E1E"/>
        </w:rPr>
        <w:t> </w:t>
      </w:r>
      <w:r>
        <w:rPr>
          <w:rFonts w:ascii="Open Sans" w:hAnsi="Open Sans" w:cs="Open Sans"/>
          <w:color w:val="1E1E1E"/>
        </w:rPr>
        <w:t>email.</w:t>
      </w:r>
    </w:p>
    <w:p w14:paraId="51C07645"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Questions may also be directed to</w:t>
      </w:r>
      <w:r>
        <w:rPr>
          <w:rStyle w:val="apple-converted-space"/>
          <w:rFonts w:ascii="Open Sans" w:hAnsi="Open Sans" w:cs="Open Sans"/>
          <w:color w:val="1E1E1E"/>
        </w:rPr>
        <w:t> </w:t>
      </w:r>
      <w:hyperlink r:id="rId8" w:history="1">
        <w:r>
          <w:rPr>
            <w:rStyle w:val="Hyperlink"/>
            <w:rFonts w:ascii="Open Sans" w:hAnsi="Open Sans" w:cs="Open Sans"/>
            <w:color w:val="0082D1"/>
            <w:u w:val="none"/>
          </w:rPr>
          <w:t>idm@finra.org</w:t>
        </w:r>
      </w:hyperlink>
      <w:r>
        <w:rPr>
          <w:rFonts w:ascii="Open Sans" w:hAnsi="Open Sans" w:cs="Open Sans"/>
          <w:color w:val="1E1E1E"/>
        </w:rPr>
        <w:t>.</w:t>
      </w:r>
    </w:p>
    <w:p w14:paraId="5F86271B" w14:textId="77777777" w:rsidR="00CE6719" w:rsidRDefault="00CE6719" w:rsidP="00CE6719">
      <w:pPr>
        <w:pStyle w:val="Heading2"/>
        <w:spacing w:before="300"/>
        <w:rPr>
          <w:rFonts w:ascii="Regular" w:hAnsi="Regular" w:cs="Open Sans"/>
          <w:color w:val="1E1E1E"/>
        </w:rPr>
      </w:pPr>
      <w:r>
        <w:rPr>
          <w:rFonts w:ascii="Regular" w:hAnsi="Regular" w:cs="Open Sans"/>
          <w:b/>
          <w:bCs/>
          <w:color w:val="1E1E1E"/>
        </w:rPr>
        <w:t>Background &amp; Discussion</w:t>
      </w:r>
    </w:p>
    <w:p w14:paraId="3897222E"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The SEC has approved</w:t>
      </w:r>
      <w:hyperlink r:id="rId9" w:anchor="_edn1" w:history="1">
        <w:r>
          <w:rPr>
            <w:rStyle w:val="Hyperlink"/>
            <w:rFonts w:ascii="Open Sans" w:hAnsi="Open Sans" w:cs="Open Sans"/>
            <w:color w:val="0082D1"/>
            <w:sz w:val="18"/>
            <w:szCs w:val="18"/>
            <w:u w:val="none"/>
            <w:vertAlign w:val="superscript"/>
          </w:rPr>
          <w:t>1</w:t>
        </w:r>
      </w:hyperlink>
      <w:r>
        <w:rPr>
          <w:rStyle w:val="apple-converted-space"/>
          <w:rFonts w:ascii="Open Sans" w:hAnsi="Open Sans" w:cs="Open Sans"/>
          <w:color w:val="1E1E1E"/>
        </w:rPr>
        <w:t> </w:t>
      </w:r>
      <w:r>
        <w:rPr>
          <w:rFonts w:ascii="Open Sans" w:hAnsi="Open Sans" w:cs="Open Sans"/>
          <w:color w:val="1E1E1E"/>
        </w:rPr>
        <w:t>FINRA’s amendments</w:t>
      </w:r>
      <w:hyperlink r:id="rId10" w:anchor="_edn2" w:history="1">
        <w:r>
          <w:rPr>
            <w:rStyle w:val="Hyperlink"/>
            <w:rFonts w:ascii="Open Sans" w:hAnsi="Open Sans" w:cs="Open Sans"/>
            <w:color w:val="0082D1"/>
            <w:sz w:val="18"/>
            <w:szCs w:val="18"/>
            <w:u w:val="none"/>
            <w:vertAlign w:val="superscript"/>
          </w:rPr>
          <w:t>2</w:t>
        </w:r>
      </w:hyperlink>
      <w:r>
        <w:rPr>
          <w:rStyle w:val="apple-converted-space"/>
          <w:rFonts w:ascii="Open Sans" w:hAnsi="Open Sans" w:cs="Open Sans"/>
          <w:color w:val="1E1E1E"/>
        </w:rPr>
        <w:t> </w:t>
      </w:r>
      <w:r>
        <w:rPr>
          <w:rFonts w:ascii="Open Sans" w:hAnsi="Open Sans" w:cs="Open Sans"/>
          <w:color w:val="1E1E1E"/>
        </w:rPr>
        <w:t>to replace the outdated rules, adopted nearly a quarter of a century ago, that govern day trading in customer margin accounts. In this</w:t>
      </w:r>
      <w:r>
        <w:rPr>
          <w:rStyle w:val="apple-converted-space"/>
          <w:rFonts w:ascii="Open Sans" w:hAnsi="Open Sans" w:cs="Open Sans"/>
          <w:color w:val="1E1E1E"/>
        </w:rPr>
        <w:t> </w:t>
      </w:r>
      <w:r>
        <w:rPr>
          <w:rStyle w:val="Emphasis"/>
          <w:rFonts w:ascii="Open Sans" w:hAnsi="Open Sans" w:cs="Open Sans"/>
          <w:color w:val="1E1E1E"/>
        </w:rPr>
        <w:t>Notice</w:t>
      </w:r>
      <w:r>
        <w:rPr>
          <w:rFonts w:ascii="Open Sans" w:hAnsi="Open Sans" w:cs="Open Sans"/>
          <w:color w:val="1E1E1E"/>
        </w:rPr>
        <w:t>, the new requirements are referred to as the “intraday margin rule” and the old requirements are referred to as the “day trading margin requirements.” Up until now, the day trading margin requirements imposed, among other things, day trade count requirements for designating a customer a “pattern day trader” and applied a minimum equity requirement of $25,000 to pattern day traders. Customers and members have for some time voiced concern that the day trading margin requirements are restrictive, onerous and unnecessary in today’s markets.</w:t>
      </w:r>
      <w:hyperlink r:id="rId11" w:anchor="_edn3" w:history="1">
        <w:r>
          <w:rPr>
            <w:rStyle w:val="Hyperlink"/>
            <w:rFonts w:ascii="Open Sans" w:hAnsi="Open Sans" w:cs="Open Sans"/>
            <w:color w:val="0082D1"/>
            <w:sz w:val="18"/>
            <w:szCs w:val="18"/>
            <w:u w:val="none"/>
            <w:vertAlign w:val="superscript"/>
          </w:rPr>
          <w:t>3</w:t>
        </w:r>
      </w:hyperlink>
      <w:r>
        <w:rPr>
          <w:rStyle w:val="apple-converted-space"/>
          <w:rFonts w:ascii="Open Sans" w:hAnsi="Open Sans" w:cs="Open Sans"/>
          <w:color w:val="1E1E1E"/>
        </w:rPr>
        <w:t> </w:t>
      </w:r>
      <w:r>
        <w:rPr>
          <w:rFonts w:ascii="Open Sans" w:hAnsi="Open Sans" w:cs="Open Sans"/>
          <w:color w:val="1E1E1E"/>
        </w:rPr>
        <w:t>In response to these concerns, FINRA launched a retrospective review</w:t>
      </w:r>
      <w:hyperlink r:id="rId12" w:anchor="_edn4" w:history="1">
        <w:r>
          <w:rPr>
            <w:rStyle w:val="Hyperlink"/>
            <w:rFonts w:ascii="Open Sans" w:hAnsi="Open Sans" w:cs="Open Sans"/>
            <w:color w:val="0082D1"/>
            <w:sz w:val="18"/>
            <w:szCs w:val="18"/>
            <w:u w:val="none"/>
            <w:vertAlign w:val="superscript"/>
          </w:rPr>
          <w:t>4</w:t>
        </w:r>
      </w:hyperlink>
      <w:r>
        <w:rPr>
          <w:rStyle w:val="apple-converted-space"/>
          <w:rFonts w:ascii="Open Sans" w:hAnsi="Open Sans" w:cs="Open Sans"/>
          <w:color w:val="1E1E1E"/>
        </w:rPr>
        <w:t> </w:t>
      </w:r>
      <w:r>
        <w:rPr>
          <w:rFonts w:ascii="Open Sans" w:hAnsi="Open Sans" w:cs="Open Sans"/>
          <w:color w:val="1E1E1E"/>
        </w:rPr>
        <w:t>and engaged in extensive outreach to develop new intraday margin standards.</w:t>
      </w:r>
    </w:p>
    <w:p w14:paraId="190723B8"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The new intraday margin rule replaces the outdated requirements in their entirety. The new rule is designed to give customers more freedom to participate in the markets while ensuring customers maintain equity in their margin account commensurate with the amount of market exposure they have at any given point in time during the trading day. The new rule does not change the regular maintenance margin requirements as they exist today, but rather supplements them. Below is an overview of the new requirements.</w:t>
      </w:r>
    </w:p>
    <w:p w14:paraId="41F1F7A0" w14:textId="77777777" w:rsidR="00CE6719" w:rsidRDefault="00CE6719" w:rsidP="00CE6719">
      <w:pPr>
        <w:pStyle w:val="Heading3"/>
        <w:spacing w:before="0"/>
        <w:rPr>
          <w:rFonts w:ascii="Regular" w:hAnsi="Regular" w:cs="Open Sans"/>
          <w:color w:val="1E1E1E"/>
        </w:rPr>
      </w:pPr>
      <w:r>
        <w:rPr>
          <w:rFonts w:ascii="Regular" w:hAnsi="Regular" w:cs="Open Sans"/>
          <w:b/>
          <w:bCs/>
          <w:color w:val="1E1E1E"/>
        </w:rPr>
        <w:t>Intraday Margin: The Basics</w:t>
      </w:r>
    </w:p>
    <w:p w14:paraId="7AB58E49"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 xml:space="preserve">The core, operative provisions of the new requirements are set forth in new paragraph (d)(2) of Rule 4210, which establishes the requirement on each member to determine the “intraday margin deficit” for each margin account of a </w:t>
      </w:r>
      <w:r>
        <w:rPr>
          <w:rFonts w:ascii="Open Sans" w:hAnsi="Open Sans" w:cs="Open Sans"/>
          <w:color w:val="1E1E1E"/>
        </w:rPr>
        <w:lastRenderedPageBreak/>
        <w:t>customer</w:t>
      </w:r>
      <w:hyperlink r:id="rId13" w:anchor="_edn5" w:history="1">
        <w:r>
          <w:rPr>
            <w:rStyle w:val="Hyperlink"/>
            <w:rFonts w:ascii="Open Sans" w:hAnsi="Open Sans" w:cs="Open Sans"/>
            <w:color w:val="0082D1"/>
            <w:sz w:val="18"/>
            <w:szCs w:val="18"/>
            <w:u w:val="none"/>
            <w:vertAlign w:val="superscript"/>
          </w:rPr>
          <w:t>5</w:t>
        </w:r>
      </w:hyperlink>
      <w:r>
        <w:rPr>
          <w:rStyle w:val="apple-converted-space"/>
          <w:rFonts w:ascii="Open Sans" w:hAnsi="Open Sans" w:cs="Open Sans"/>
          <w:color w:val="1E1E1E"/>
        </w:rPr>
        <w:t> </w:t>
      </w:r>
      <w:r>
        <w:rPr>
          <w:rFonts w:ascii="Open Sans" w:hAnsi="Open Sans" w:cs="Open Sans"/>
          <w:color w:val="1E1E1E"/>
        </w:rPr>
        <w:t>that it maintains, other than a good faith account or portfolio margin account, and for each day in which there is any “intraday margin level (or ‘IML’) reducing transaction.” The term “intraday margin deficit” refers, broadly, to the highest deficiency following an IML-reducing transaction between the margin to be maintained and the equity in the account. The term “IML-reducing transaction” refers, broadly, to any transaction that reduces the amount that the customer could withdraw while still meeting the maintenance margin requirement (for example, the execution of a short sale or the purchase of a security other than to cover a short position would generally be IML-reducing transactions). The terms “intraday margin level” (or IML), “IML-reducing transaction,” and “intraday margin deficit” are all defined in further detail under the new amendments.</w:t>
      </w:r>
      <w:hyperlink r:id="rId14" w:anchor="_edn6" w:history="1">
        <w:r>
          <w:rPr>
            <w:rStyle w:val="Hyperlink"/>
            <w:rFonts w:ascii="Open Sans" w:hAnsi="Open Sans" w:cs="Open Sans"/>
            <w:color w:val="0082D1"/>
            <w:sz w:val="18"/>
            <w:szCs w:val="18"/>
            <w:u w:val="none"/>
            <w:vertAlign w:val="superscript"/>
          </w:rPr>
          <w:t>6</w:t>
        </w:r>
      </w:hyperlink>
    </w:p>
    <w:p w14:paraId="22208C92"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The new rule is designed so that members may implement real-time monitoring of customer positions and blocking transactions that would otherwise create or increase intraday margin deficits. However, real-time monitoring is not a requirement under the rule and, rather than monitoring the account’s IML throughout the day, members are permitted to make a single calculation of an account’s intraday margin deficit as they currently do for maintenance margin requirements. The rule sets several key parameters for members to take into account in determining an IML or intraday margin deficit:</w:t>
      </w:r>
    </w:p>
    <w:p w14:paraId="55BD6EDE" w14:textId="77777777" w:rsidR="00CE6719" w:rsidRDefault="00CE6719" w:rsidP="00CE6719">
      <w:pPr>
        <w:numPr>
          <w:ilvl w:val="0"/>
          <w:numId w:val="2"/>
        </w:numPr>
        <w:spacing w:before="100" w:beforeAutospacing="1" w:after="100" w:afterAutospacing="1" w:line="360" w:lineRule="atLeast"/>
        <w:rPr>
          <w:rFonts w:ascii="Open Sans" w:hAnsi="Open Sans" w:cs="Open Sans"/>
          <w:color w:val="1E1E1E"/>
        </w:rPr>
      </w:pPr>
      <w:r>
        <w:rPr>
          <w:rFonts w:ascii="Open Sans" w:hAnsi="Open Sans" w:cs="Open Sans"/>
          <w:color w:val="1E1E1E"/>
          <w:u w:val="single"/>
        </w:rPr>
        <w:t>Sweep Programs</w:t>
      </w:r>
      <w:r>
        <w:rPr>
          <w:rFonts w:ascii="Open Sans" w:hAnsi="Open Sans" w:cs="Open Sans"/>
          <w:color w:val="1E1E1E"/>
        </w:rPr>
        <w:t>:</w:t>
      </w:r>
      <w:hyperlink r:id="rId15" w:anchor="_edn7" w:history="1">
        <w:r>
          <w:rPr>
            <w:rStyle w:val="Hyperlink"/>
            <w:rFonts w:ascii="Open Sans" w:hAnsi="Open Sans" w:cs="Open Sans"/>
            <w:color w:val="0082D1"/>
            <w:sz w:val="18"/>
            <w:szCs w:val="18"/>
            <w:u w:val="none"/>
            <w:vertAlign w:val="superscript"/>
          </w:rPr>
          <w:t>7</w:t>
        </w:r>
      </w:hyperlink>
      <w:r>
        <w:rPr>
          <w:rStyle w:val="apple-converted-space"/>
          <w:rFonts w:ascii="Open Sans" w:hAnsi="Open Sans" w:cs="Open Sans"/>
          <w:color w:val="1E1E1E"/>
        </w:rPr>
        <w:t> </w:t>
      </w:r>
      <w:r>
        <w:rPr>
          <w:rFonts w:ascii="Open Sans" w:hAnsi="Open Sans" w:cs="Open Sans"/>
          <w:color w:val="1E1E1E"/>
        </w:rPr>
        <w:t>A member may treat a customer’s deposits at FDIC-insured banks under a Sweep Program, operated by the member, as a credit balance in the customer’s account for purposes of computing an IML or intraday margin deficit.</w:t>
      </w:r>
      <w:hyperlink r:id="rId16" w:anchor="_edn8" w:history="1">
        <w:r>
          <w:rPr>
            <w:rStyle w:val="Hyperlink"/>
            <w:rFonts w:ascii="Open Sans" w:hAnsi="Open Sans" w:cs="Open Sans"/>
            <w:color w:val="0082D1"/>
            <w:sz w:val="18"/>
            <w:szCs w:val="18"/>
            <w:u w:val="none"/>
            <w:vertAlign w:val="superscript"/>
          </w:rPr>
          <w:t>8</w:t>
        </w:r>
      </w:hyperlink>
      <w:r>
        <w:rPr>
          <w:rStyle w:val="apple-converted-space"/>
          <w:rFonts w:ascii="Open Sans" w:hAnsi="Open Sans" w:cs="Open Sans"/>
          <w:color w:val="1E1E1E"/>
        </w:rPr>
        <w:t> </w:t>
      </w:r>
      <w:r>
        <w:rPr>
          <w:rFonts w:ascii="Open Sans" w:hAnsi="Open Sans" w:cs="Open Sans"/>
          <w:color w:val="1E1E1E"/>
        </w:rPr>
        <w:t>FINRA notes members are permitted to apply such treatment regardless of whether the customer does any day trading.</w:t>
      </w:r>
      <w:r>
        <w:rPr>
          <w:rFonts w:ascii="Open Sans" w:hAnsi="Open Sans" w:cs="Open Sans"/>
          <w:color w:val="1E1E1E"/>
        </w:rPr>
        <w:br/>
        <w:t> </w:t>
      </w:r>
    </w:p>
    <w:p w14:paraId="5F530C78" w14:textId="77777777" w:rsidR="00CE6719" w:rsidRDefault="00CE6719" w:rsidP="00CE6719">
      <w:pPr>
        <w:numPr>
          <w:ilvl w:val="0"/>
          <w:numId w:val="2"/>
        </w:numPr>
        <w:spacing w:before="100" w:beforeAutospacing="1" w:after="100" w:afterAutospacing="1" w:line="360" w:lineRule="atLeast"/>
        <w:rPr>
          <w:rFonts w:ascii="Open Sans" w:hAnsi="Open Sans" w:cs="Open Sans"/>
          <w:color w:val="1E1E1E"/>
        </w:rPr>
      </w:pPr>
      <w:r>
        <w:rPr>
          <w:rFonts w:ascii="Open Sans" w:hAnsi="Open Sans" w:cs="Open Sans"/>
          <w:color w:val="1E1E1E"/>
          <w:u w:val="single"/>
        </w:rPr>
        <w:t>Market value</w:t>
      </w:r>
      <w:r>
        <w:rPr>
          <w:rFonts w:ascii="Open Sans" w:hAnsi="Open Sans" w:cs="Open Sans"/>
          <w:color w:val="1E1E1E"/>
        </w:rPr>
        <w:t>: The new rule permits a member to use values more recent than the execution price or previous day’s closing price to determine the current market value of a position. FINRA notes, for example, a member that makes a single end-of-day calculation of its customers’ intraday margin deficits could use the same end-of-day prices for that calculation as it uses for determining whether the customer has a maintenance margin deficiency as of the end of the day.</w:t>
      </w:r>
      <w:hyperlink r:id="rId17" w:anchor="_edn9" w:history="1">
        <w:r>
          <w:rPr>
            <w:rStyle w:val="Hyperlink"/>
            <w:rFonts w:ascii="Open Sans" w:hAnsi="Open Sans" w:cs="Open Sans"/>
            <w:color w:val="0082D1"/>
            <w:sz w:val="18"/>
            <w:szCs w:val="18"/>
            <w:u w:val="none"/>
            <w:vertAlign w:val="superscript"/>
          </w:rPr>
          <w:t>9</w:t>
        </w:r>
      </w:hyperlink>
      <w:r>
        <w:rPr>
          <w:rFonts w:ascii="Open Sans" w:hAnsi="Open Sans" w:cs="Open Sans"/>
          <w:color w:val="1E1E1E"/>
        </w:rPr>
        <w:br/>
        <w:t> </w:t>
      </w:r>
    </w:p>
    <w:p w14:paraId="10123EEC" w14:textId="77777777" w:rsidR="00CE6719" w:rsidRDefault="00CE6719" w:rsidP="00CE6719">
      <w:pPr>
        <w:numPr>
          <w:ilvl w:val="0"/>
          <w:numId w:val="2"/>
        </w:numPr>
        <w:spacing w:before="100" w:beforeAutospacing="1" w:after="100" w:afterAutospacing="1" w:line="360" w:lineRule="atLeast"/>
        <w:rPr>
          <w:rFonts w:ascii="Open Sans" w:hAnsi="Open Sans" w:cs="Open Sans"/>
          <w:color w:val="1E1E1E"/>
        </w:rPr>
      </w:pPr>
      <w:r>
        <w:rPr>
          <w:rFonts w:ascii="Open Sans" w:hAnsi="Open Sans" w:cs="Open Sans"/>
          <w:color w:val="1E1E1E"/>
          <w:u w:val="single"/>
        </w:rPr>
        <w:lastRenderedPageBreak/>
        <w:t>“As of” actions</w:t>
      </w:r>
      <w:r>
        <w:rPr>
          <w:rFonts w:ascii="Open Sans" w:hAnsi="Open Sans" w:cs="Open Sans"/>
          <w:color w:val="1E1E1E"/>
        </w:rPr>
        <w:t>: Members are permitted to allocate “as of” actions either to the approximate time and day during which they are processed or to the earlier time or day recorded for their occurrence.</w:t>
      </w:r>
      <w:hyperlink r:id="rId18" w:anchor="_edn10" w:history="1">
        <w:r>
          <w:rPr>
            <w:rStyle w:val="Hyperlink"/>
            <w:rFonts w:ascii="Open Sans" w:hAnsi="Open Sans" w:cs="Open Sans"/>
            <w:color w:val="0082D1"/>
            <w:sz w:val="18"/>
            <w:szCs w:val="18"/>
            <w:u w:val="none"/>
            <w:vertAlign w:val="superscript"/>
          </w:rPr>
          <w:t>10</w:t>
        </w:r>
      </w:hyperlink>
      <w:r>
        <w:rPr>
          <w:rFonts w:ascii="Open Sans" w:hAnsi="Open Sans" w:cs="Open Sans"/>
          <w:color w:val="1E1E1E"/>
        </w:rPr>
        <w:br/>
        <w:t> </w:t>
      </w:r>
    </w:p>
    <w:p w14:paraId="2704A9B8" w14:textId="77777777" w:rsidR="00CE6719" w:rsidRDefault="00CE6719" w:rsidP="00CE6719">
      <w:pPr>
        <w:numPr>
          <w:ilvl w:val="0"/>
          <w:numId w:val="2"/>
        </w:numPr>
        <w:spacing w:before="100" w:beforeAutospacing="1" w:after="100" w:afterAutospacing="1" w:line="360" w:lineRule="atLeast"/>
        <w:rPr>
          <w:rFonts w:ascii="Open Sans" w:hAnsi="Open Sans" w:cs="Open Sans"/>
          <w:color w:val="1E1E1E"/>
        </w:rPr>
      </w:pPr>
      <w:r>
        <w:rPr>
          <w:rFonts w:ascii="Open Sans" w:hAnsi="Open Sans" w:cs="Open Sans"/>
          <w:color w:val="1E1E1E"/>
          <w:u w:val="single"/>
        </w:rPr>
        <w:t>Treatment of deposits and withdrawals</w:t>
      </w:r>
      <w:r>
        <w:rPr>
          <w:rFonts w:ascii="Open Sans" w:hAnsi="Open Sans" w:cs="Open Sans"/>
          <w:color w:val="1E1E1E"/>
        </w:rPr>
        <w:t>: Members are permitted to treat all deposits and withdrawals of cash or securities into a margin account during the day as occurring simultaneously and immediately after the beginning of the day, notwithstanding the time of occurrence. The same is permitted for any transaction that closes a position that was open at the beginning of the day. FINRA notes this allows net deposits, and margin released by closing positions existing at the end of the day, to reduce or eliminate intraday margin deficits that otherwise would have occurred as a result of activity before the deposits or liquidations took place.</w:t>
      </w:r>
      <w:hyperlink r:id="rId19" w:anchor="_edn11" w:history="1">
        <w:r>
          <w:rPr>
            <w:rStyle w:val="Hyperlink"/>
            <w:rFonts w:ascii="Open Sans" w:hAnsi="Open Sans" w:cs="Open Sans"/>
            <w:color w:val="0082D1"/>
            <w:sz w:val="18"/>
            <w:szCs w:val="18"/>
            <w:u w:val="none"/>
            <w:vertAlign w:val="superscript"/>
          </w:rPr>
          <w:t>11</w:t>
        </w:r>
      </w:hyperlink>
      <w:r>
        <w:rPr>
          <w:rFonts w:ascii="Open Sans" w:hAnsi="Open Sans" w:cs="Open Sans"/>
          <w:color w:val="1E1E1E"/>
        </w:rPr>
        <w:br/>
        <w:t> </w:t>
      </w:r>
    </w:p>
    <w:p w14:paraId="78EFC458" w14:textId="77777777" w:rsidR="00CE6719" w:rsidRDefault="00CE6719" w:rsidP="00CE6719">
      <w:pPr>
        <w:numPr>
          <w:ilvl w:val="0"/>
          <w:numId w:val="2"/>
        </w:numPr>
        <w:spacing w:before="100" w:beforeAutospacing="1" w:after="100" w:afterAutospacing="1" w:line="360" w:lineRule="atLeast"/>
        <w:rPr>
          <w:rFonts w:ascii="Open Sans" w:hAnsi="Open Sans" w:cs="Open Sans"/>
          <w:color w:val="1E1E1E"/>
        </w:rPr>
      </w:pPr>
      <w:r>
        <w:rPr>
          <w:rFonts w:ascii="Open Sans" w:hAnsi="Open Sans" w:cs="Open Sans"/>
          <w:color w:val="1E1E1E"/>
          <w:u w:val="single"/>
        </w:rPr>
        <w:t>Multiple legs of a strategy and options exercised and liquidated on the same day</w:t>
      </w:r>
      <w:r>
        <w:rPr>
          <w:rFonts w:ascii="Open Sans" w:hAnsi="Open Sans" w:cs="Open Sans"/>
          <w:color w:val="1E1E1E"/>
        </w:rPr>
        <w:t>: Members are permitted to treat as occurring simultaneously the substantially contemporaneous execution of multiple legs of a spread or other strategy with a reduced maintenance margin requirement, or the creation of a position by the assignment or exercise of an option and the liquidation of such position during the same day.</w:t>
      </w:r>
      <w:hyperlink r:id="rId20" w:anchor="_edn12" w:history="1">
        <w:r>
          <w:rPr>
            <w:rStyle w:val="Hyperlink"/>
            <w:rFonts w:ascii="Open Sans" w:hAnsi="Open Sans" w:cs="Open Sans"/>
            <w:color w:val="0082D1"/>
            <w:sz w:val="18"/>
            <w:szCs w:val="18"/>
            <w:u w:val="none"/>
            <w:vertAlign w:val="superscript"/>
          </w:rPr>
          <w:t>12</w:t>
        </w:r>
      </w:hyperlink>
      <w:r>
        <w:rPr>
          <w:rFonts w:ascii="Open Sans" w:hAnsi="Open Sans" w:cs="Open Sans"/>
          <w:color w:val="1E1E1E"/>
        </w:rPr>
        <w:br/>
        <w:t> </w:t>
      </w:r>
    </w:p>
    <w:p w14:paraId="214C4F45" w14:textId="77777777" w:rsidR="00CE6719" w:rsidRDefault="00CE6719" w:rsidP="00CE6719">
      <w:pPr>
        <w:numPr>
          <w:ilvl w:val="0"/>
          <w:numId w:val="2"/>
        </w:numPr>
        <w:spacing w:before="100" w:beforeAutospacing="1" w:after="100" w:afterAutospacing="1" w:line="360" w:lineRule="atLeast"/>
        <w:rPr>
          <w:rFonts w:ascii="Open Sans" w:hAnsi="Open Sans" w:cs="Open Sans"/>
          <w:color w:val="1E1E1E"/>
        </w:rPr>
      </w:pPr>
      <w:r>
        <w:rPr>
          <w:rFonts w:ascii="Open Sans" w:hAnsi="Open Sans" w:cs="Open Sans"/>
          <w:color w:val="1E1E1E"/>
          <w:u w:val="single"/>
        </w:rPr>
        <w:t>Computing IML</w:t>
      </w:r>
      <w:r>
        <w:rPr>
          <w:rFonts w:ascii="Open Sans" w:hAnsi="Open Sans" w:cs="Open Sans"/>
          <w:color w:val="1E1E1E"/>
        </w:rPr>
        <w:t>: The new rule provides that if two or more activities in a margin account occurred during a day and the member cannot demonstrate that one activity occurred before another activity, then the IML with respect to such activities must be computed on the assumption that the activities occurred in an order that results in the highest intraday margin deficit for such day.</w:t>
      </w:r>
      <w:hyperlink r:id="rId21" w:anchor="_edn13" w:history="1">
        <w:r>
          <w:rPr>
            <w:rStyle w:val="Hyperlink"/>
            <w:rFonts w:ascii="Open Sans" w:hAnsi="Open Sans" w:cs="Open Sans"/>
            <w:color w:val="0082D1"/>
            <w:sz w:val="18"/>
            <w:szCs w:val="18"/>
            <w:u w:val="none"/>
            <w:vertAlign w:val="superscript"/>
          </w:rPr>
          <w:t>13</w:t>
        </w:r>
      </w:hyperlink>
    </w:p>
    <w:p w14:paraId="0789C1BE" w14:textId="77777777" w:rsidR="00CE6719" w:rsidRDefault="00CE6719" w:rsidP="00CE6719">
      <w:pPr>
        <w:pStyle w:val="Heading3"/>
        <w:spacing w:before="0"/>
        <w:rPr>
          <w:rFonts w:ascii="Regular" w:hAnsi="Regular" w:cs="Open Sans"/>
          <w:color w:val="1E1E1E"/>
        </w:rPr>
      </w:pPr>
      <w:r>
        <w:rPr>
          <w:rFonts w:ascii="Regular" w:hAnsi="Regular" w:cs="Open Sans"/>
          <w:b/>
          <w:bCs/>
          <w:color w:val="1E1E1E"/>
        </w:rPr>
        <w:t>Satisfaction of Intraday Margin Deficits; 90 Day Freeze</w:t>
      </w:r>
    </w:p>
    <w:p w14:paraId="4ADA47ED"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The new rule’s provisions governing satisfaction of intraday margin deficits and the conditions for imposing a 90 day freeze on a customer margin account are designed to help support a disciplined approach to intraday margin.   </w:t>
      </w:r>
    </w:p>
    <w:p w14:paraId="330627E4" w14:textId="77777777" w:rsidR="00CE6719" w:rsidRDefault="00CE6719" w:rsidP="00CE6719">
      <w:pPr>
        <w:numPr>
          <w:ilvl w:val="0"/>
          <w:numId w:val="3"/>
        </w:numPr>
        <w:spacing w:before="100" w:beforeAutospacing="1" w:after="100" w:afterAutospacing="1" w:line="360" w:lineRule="atLeast"/>
        <w:rPr>
          <w:rFonts w:ascii="Open Sans" w:hAnsi="Open Sans" w:cs="Open Sans"/>
          <w:color w:val="1E1E1E"/>
        </w:rPr>
      </w:pPr>
      <w:r>
        <w:rPr>
          <w:rFonts w:ascii="Open Sans" w:hAnsi="Open Sans" w:cs="Open Sans"/>
          <w:color w:val="1E1E1E"/>
          <w:u w:val="single"/>
        </w:rPr>
        <w:t>Satisfaction of intraday margin deficit</w:t>
      </w:r>
      <w:r>
        <w:rPr>
          <w:rFonts w:ascii="Open Sans" w:hAnsi="Open Sans" w:cs="Open Sans"/>
          <w:color w:val="1E1E1E"/>
        </w:rPr>
        <w:t xml:space="preserve">: If a margin account (other than a good faith account or portfolio margin account) has an intraday margin deficit with respect to a day in which there is an IML-reducing transaction in such </w:t>
      </w:r>
      <w:r>
        <w:rPr>
          <w:rFonts w:ascii="Open Sans" w:hAnsi="Open Sans" w:cs="Open Sans"/>
          <w:color w:val="1E1E1E"/>
        </w:rPr>
        <w:lastRenderedPageBreak/>
        <w:t>account, then the member must require such intraday margin deficit to be satisfied as promptly as possible.</w:t>
      </w:r>
      <w:hyperlink r:id="rId22" w:anchor="_edn14" w:history="1">
        <w:r>
          <w:rPr>
            <w:rStyle w:val="Hyperlink"/>
            <w:rFonts w:ascii="Open Sans" w:hAnsi="Open Sans" w:cs="Open Sans"/>
            <w:color w:val="0082D1"/>
            <w:sz w:val="18"/>
            <w:szCs w:val="18"/>
            <w:u w:val="none"/>
            <w:vertAlign w:val="superscript"/>
          </w:rPr>
          <w:t>14</w:t>
        </w:r>
      </w:hyperlink>
      <w:r>
        <w:rPr>
          <w:rStyle w:val="apple-converted-space"/>
          <w:rFonts w:ascii="Open Sans" w:hAnsi="Open Sans" w:cs="Open Sans"/>
          <w:color w:val="1E1E1E"/>
        </w:rPr>
        <w:t> </w:t>
      </w:r>
      <w:r>
        <w:rPr>
          <w:rFonts w:ascii="Open Sans" w:hAnsi="Open Sans" w:cs="Open Sans"/>
          <w:color w:val="1E1E1E"/>
        </w:rPr>
        <w:t>Further:</w:t>
      </w:r>
      <w:r>
        <w:rPr>
          <w:rFonts w:ascii="Open Sans" w:hAnsi="Open Sans" w:cs="Open Sans"/>
          <w:color w:val="1E1E1E"/>
        </w:rPr>
        <w:br/>
        <w:t> </w:t>
      </w:r>
    </w:p>
    <w:p w14:paraId="0E3512AC" w14:textId="77777777" w:rsidR="00CE6719" w:rsidRDefault="00CE6719" w:rsidP="00CE6719">
      <w:pPr>
        <w:numPr>
          <w:ilvl w:val="1"/>
          <w:numId w:val="3"/>
        </w:numPr>
        <w:spacing w:before="100" w:beforeAutospacing="1" w:after="100" w:afterAutospacing="1" w:line="360" w:lineRule="atLeast"/>
        <w:rPr>
          <w:rFonts w:ascii="Open Sans" w:hAnsi="Open Sans" w:cs="Open Sans"/>
          <w:color w:val="1E1E1E"/>
        </w:rPr>
      </w:pPr>
      <w:r>
        <w:rPr>
          <w:rFonts w:ascii="Open Sans" w:hAnsi="Open Sans" w:cs="Open Sans"/>
          <w:color w:val="1E1E1E"/>
        </w:rPr>
        <w:t>An intraday margin deficit for a day is “satisfied” for purposes of the rule if, from the end of such day to the end of a subsequent day, the customer has made net deposits, or otherwise caused an increase in the account’s IML, sufficient to equal such intraday margin deficit. The rule provides that net deposits or increases in IMLs may satisfy multiple outstanding intraday margin deficits for the same margin account.</w:t>
      </w:r>
      <w:hyperlink r:id="rId23" w:anchor="_edn15" w:history="1">
        <w:r>
          <w:rPr>
            <w:rStyle w:val="Hyperlink"/>
            <w:rFonts w:ascii="Open Sans" w:hAnsi="Open Sans" w:cs="Open Sans"/>
            <w:color w:val="0082D1"/>
            <w:sz w:val="18"/>
            <w:szCs w:val="18"/>
            <w:u w:val="none"/>
            <w:vertAlign w:val="superscript"/>
          </w:rPr>
          <w:t>15</w:t>
        </w:r>
      </w:hyperlink>
      <w:r>
        <w:rPr>
          <w:rFonts w:ascii="Open Sans" w:hAnsi="Open Sans" w:cs="Open Sans"/>
          <w:color w:val="1E1E1E"/>
        </w:rPr>
        <w:br/>
        <w:t> </w:t>
      </w:r>
    </w:p>
    <w:p w14:paraId="251A16D8" w14:textId="77777777" w:rsidR="00CE6719" w:rsidRDefault="00CE6719" w:rsidP="00CE6719">
      <w:pPr>
        <w:numPr>
          <w:ilvl w:val="1"/>
          <w:numId w:val="3"/>
        </w:numPr>
        <w:spacing w:before="100" w:beforeAutospacing="1" w:after="100" w:afterAutospacing="1" w:line="360" w:lineRule="atLeast"/>
        <w:rPr>
          <w:rFonts w:ascii="Open Sans" w:hAnsi="Open Sans" w:cs="Open Sans"/>
          <w:color w:val="1E1E1E"/>
        </w:rPr>
      </w:pPr>
      <w:r>
        <w:rPr>
          <w:rFonts w:ascii="Open Sans" w:hAnsi="Open Sans" w:cs="Open Sans"/>
          <w:color w:val="1E1E1E"/>
        </w:rPr>
        <w:t>An intraday margin deficit remains outstanding until satisfied or until immediately after the close of business on the 15th business day after the date of the intraday margin deficit.</w:t>
      </w:r>
      <w:hyperlink r:id="rId24" w:anchor="_edn16" w:history="1">
        <w:r>
          <w:rPr>
            <w:rStyle w:val="Hyperlink"/>
            <w:rFonts w:ascii="Open Sans" w:hAnsi="Open Sans" w:cs="Open Sans"/>
            <w:color w:val="0082D1"/>
            <w:sz w:val="18"/>
            <w:szCs w:val="18"/>
            <w:u w:val="none"/>
            <w:vertAlign w:val="superscript"/>
          </w:rPr>
          <w:t>16</w:t>
        </w:r>
      </w:hyperlink>
      <w:r>
        <w:rPr>
          <w:rFonts w:ascii="Open Sans" w:hAnsi="Open Sans" w:cs="Open Sans"/>
          <w:color w:val="1E1E1E"/>
        </w:rPr>
        <w:br/>
        <w:t> </w:t>
      </w:r>
    </w:p>
    <w:p w14:paraId="74EB2572" w14:textId="77777777" w:rsidR="00CE6719" w:rsidRDefault="00CE6719" w:rsidP="00CE6719">
      <w:pPr>
        <w:numPr>
          <w:ilvl w:val="0"/>
          <w:numId w:val="3"/>
        </w:numPr>
        <w:spacing w:before="100" w:beforeAutospacing="1" w:after="100" w:afterAutospacing="1" w:line="360" w:lineRule="atLeast"/>
        <w:rPr>
          <w:rFonts w:ascii="Open Sans" w:hAnsi="Open Sans" w:cs="Open Sans"/>
          <w:color w:val="1E1E1E"/>
        </w:rPr>
      </w:pPr>
      <w:r>
        <w:rPr>
          <w:rFonts w:ascii="Open Sans" w:hAnsi="Open Sans" w:cs="Open Sans"/>
          <w:color w:val="1E1E1E"/>
          <w:u w:val="single"/>
        </w:rPr>
        <w:t>90 Day Freeze</w:t>
      </w:r>
      <w:r>
        <w:rPr>
          <w:rFonts w:ascii="Open Sans" w:hAnsi="Open Sans" w:cs="Open Sans"/>
          <w:color w:val="1E1E1E"/>
        </w:rPr>
        <w:t>: If a customer makes a practice of failing to satisfy intraday margin deficits as promptly as possible and fails to satisfy an intraday margin deficit by the close of business on the fifth business day after it occurs, the member must enforce written policies and procedures reasonably designed to prevent the customer from creating or increasing a short position or debit balance (other than by closing a short position) for 90 calendar days after such fifth business day or until the intraday margin deficit has been satisfied.</w:t>
      </w:r>
      <w:hyperlink r:id="rId25" w:anchor="_edn17" w:history="1">
        <w:r>
          <w:rPr>
            <w:rStyle w:val="Hyperlink"/>
            <w:rFonts w:ascii="Open Sans" w:hAnsi="Open Sans" w:cs="Open Sans"/>
            <w:color w:val="0082D1"/>
            <w:sz w:val="18"/>
            <w:szCs w:val="18"/>
            <w:u w:val="none"/>
            <w:vertAlign w:val="superscript"/>
          </w:rPr>
          <w:t>17</w:t>
        </w:r>
      </w:hyperlink>
      <w:r>
        <w:rPr>
          <w:rStyle w:val="apple-converted-space"/>
          <w:rFonts w:ascii="Open Sans" w:hAnsi="Open Sans" w:cs="Open Sans"/>
          <w:color w:val="1E1E1E"/>
        </w:rPr>
        <w:t> </w:t>
      </w:r>
      <w:r>
        <w:rPr>
          <w:rFonts w:ascii="Open Sans" w:hAnsi="Open Sans" w:cs="Open Sans"/>
          <w:color w:val="1E1E1E"/>
        </w:rPr>
        <w:t>The rule provides a customer shall not be considered to be making a practice of failing to satisfy intraday margin deficits as promptly as possible due to intraday margin deficits that:</w:t>
      </w:r>
      <w:r>
        <w:rPr>
          <w:rFonts w:ascii="Open Sans" w:hAnsi="Open Sans" w:cs="Open Sans"/>
          <w:color w:val="1E1E1E"/>
        </w:rPr>
        <w:br/>
        <w:t> </w:t>
      </w:r>
    </w:p>
    <w:p w14:paraId="7C088377" w14:textId="77777777" w:rsidR="00CE6719" w:rsidRDefault="00CE6719" w:rsidP="00CE6719">
      <w:pPr>
        <w:numPr>
          <w:ilvl w:val="1"/>
          <w:numId w:val="3"/>
        </w:numPr>
        <w:spacing w:before="100" w:beforeAutospacing="1" w:after="100" w:afterAutospacing="1" w:line="360" w:lineRule="atLeast"/>
        <w:rPr>
          <w:rFonts w:ascii="Open Sans" w:hAnsi="Open Sans" w:cs="Open Sans"/>
          <w:color w:val="1E1E1E"/>
        </w:rPr>
      </w:pPr>
      <w:r>
        <w:rPr>
          <w:rFonts w:ascii="Open Sans" w:hAnsi="Open Sans" w:cs="Open Sans"/>
          <w:color w:val="1E1E1E"/>
        </w:rPr>
        <w:t>do not exceed the lesser of 5 percent of the equity in the margin account or $1,000; or</w:t>
      </w:r>
      <w:r>
        <w:rPr>
          <w:rFonts w:ascii="Open Sans" w:hAnsi="Open Sans" w:cs="Open Sans"/>
          <w:color w:val="1E1E1E"/>
        </w:rPr>
        <w:br/>
        <w:t> </w:t>
      </w:r>
    </w:p>
    <w:p w14:paraId="6DA87293" w14:textId="77777777" w:rsidR="00CE6719" w:rsidRDefault="00CE6719" w:rsidP="00CE6719">
      <w:pPr>
        <w:numPr>
          <w:ilvl w:val="1"/>
          <w:numId w:val="3"/>
        </w:numPr>
        <w:spacing w:before="100" w:beforeAutospacing="1" w:after="100" w:afterAutospacing="1" w:line="360" w:lineRule="atLeast"/>
        <w:rPr>
          <w:rFonts w:ascii="Open Sans" w:hAnsi="Open Sans" w:cs="Open Sans"/>
          <w:color w:val="1E1E1E"/>
        </w:rPr>
      </w:pPr>
      <w:r>
        <w:rPr>
          <w:rFonts w:ascii="Open Sans" w:hAnsi="Open Sans" w:cs="Open Sans"/>
          <w:color w:val="1E1E1E"/>
        </w:rPr>
        <w:t>are reasonably determined by the member to have occurred under extraordinary circumstances such that failures to satisfy such intraday margin deficits do not reflect a practice of failing to satisfy intraday margin deficits as promptly as possible.</w:t>
      </w:r>
      <w:hyperlink r:id="rId26" w:anchor="_edn18" w:history="1">
        <w:r>
          <w:rPr>
            <w:rStyle w:val="Hyperlink"/>
            <w:rFonts w:ascii="Open Sans" w:hAnsi="Open Sans" w:cs="Open Sans"/>
            <w:color w:val="0082D1"/>
            <w:sz w:val="18"/>
            <w:szCs w:val="18"/>
            <w:u w:val="none"/>
            <w:vertAlign w:val="superscript"/>
          </w:rPr>
          <w:t>18</w:t>
        </w:r>
      </w:hyperlink>
    </w:p>
    <w:p w14:paraId="72406577" w14:textId="77777777" w:rsidR="00CE6719" w:rsidRDefault="00CE6719" w:rsidP="00CE6719">
      <w:pPr>
        <w:pStyle w:val="Heading3"/>
        <w:spacing w:before="0"/>
        <w:rPr>
          <w:rFonts w:ascii="Regular" w:hAnsi="Regular" w:cs="Open Sans"/>
          <w:color w:val="1E1E1E"/>
        </w:rPr>
      </w:pPr>
      <w:r>
        <w:rPr>
          <w:rFonts w:ascii="Regular" w:hAnsi="Regular" w:cs="Open Sans"/>
          <w:b/>
          <w:bCs/>
          <w:color w:val="1E1E1E"/>
        </w:rPr>
        <w:lastRenderedPageBreak/>
        <w:t>Portfolio Margin</w:t>
      </w:r>
    </w:p>
    <w:p w14:paraId="2B816E02"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The amendments update the portfolio margin provisions under paragraph (g) of Rule 4210 to take account of the new intraday margin standards.</w:t>
      </w:r>
      <w:hyperlink r:id="rId27" w:anchor="_edn19" w:history="1">
        <w:r>
          <w:rPr>
            <w:rStyle w:val="Hyperlink"/>
            <w:rFonts w:ascii="Open Sans" w:hAnsi="Open Sans" w:cs="Open Sans"/>
            <w:color w:val="0082D1"/>
            <w:sz w:val="18"/>
            <w:szCs w:val="18"/>
            <w:u w:val="none"/>
            <w:vertAlign w:val="superscript"/>
          </w:rPr>
          <w:t>19</w:t>
        </w:r>
      </w:hyperlink>
      <w:r>
        <w:rPr>
          <w:rStyle w:val="apple-converted-space"/>
          <w:rFonts w:ascii="Open Sans" w:hAnsi="Open Sans" w:cs="Open Sans"/>
          <w:color w:val="1E1E1E"/>
        </w:rPr>
        <w:t> </w:t>
      </w:r>
      <w:r>
        <w:rPr>
          <w:rFonts w:ascii="Open Sans" w:hAnsi="Open Sans" w:cs="Open Sans"/>
          <w:color w:val="1E1E1E"/>
        </w:rPr>
        <w:t>Specifically, the amendments add new paragraphs (g)(1)(J) and (g)(1)(K), which provide that, among the other monitoring provisions for portfolio margin, a member needs to include in its written risk analysis methodology procedures and guidelines for determining and monitoring intraday risk created by activity in each portfolio margin account,</w:t>
      </w:r>
      <w:hyperlink r:id="rId28" w:anchor="_edn20" w:history="1">
        <w:r>
          <w:rPr>
            <w:rStyle w:val="Hyperlink"/>
            <w:rFonts w:ascii="Open Sans" w:hAnsi="Open Sans" w:cs="Open Sans"/>
            <w:color w:val="0082D1"/>
            <w:sz w:val="18"/>
            <w:szCs w:val="18"/>
            <w:u w:val="none"/>
            <w:vertAlign w:val="superscript"/>
          </w:rPr>
          <w:t>20</w:t>
        </w:r>
      </w:hyperlink>
      <w:r>
        <w:rPr>
          <w:rStyle w:val="apple-converted-space"/>
          <w:rFonts w:ascii="Open Sans" w:hAnsi="Open Sans" w:cs="Open Sans"/>
          <w:color w:val="1E1E1E"/>
        </w:rPr>
        <w:t> </w:t>
      </w:r>
      <w:r>
        <w:rPr>
          <w:rFonts w:ascii="Open Sans" w:hAnsi="Open Sans" w:cs="Open Sans"/>
          <w:color w:val="1E1E1E"/>
        </w:rPr>
        <w:t>and requiring each portfolio margin account that maintains less than $5 million in equity to maintain margin for intraday risk that is substantially similar to the margin the member requires for positions existing at the end of the day.</w:t>
      </w:r>
      <w:hyperlink r:id="rId29" w:anchor="_edn21" w:history="1">
        <w:r>
          <w:rPr>
            <w:rStyle w:val="Hyperlink"/>
            <w:rFonts w:ascii="Open Sans" w:hAnsi="Open Sans" w:cs="Open Sans"/>
            <w:color w:val="0082D1"/>
            <w:sz w:val="18"/>
            <w:szCs w:val="18"/>
            <w:u w:val="none"/>
            <w:vertAlign w:val="superscript"/>
          </w:rPr>
          <w:t>21</w:t>
        </w:r>
      </w:hyperlink>
      <w:r>
        <w:rPr>
          <w:rStyle w:val="apple-converted-space"/>
          <w:rFonts w:ascii="Open Sans" w:hAnsi="Open Sans" w:cs="Open Sans"/>
          <w:color w:val="1E1E1E"/>
        </w:rPr>
        <w:t> </w:t>
      </w:r>
      <w:r>
        <w:rPr>
          <w:rFonts w:ascii="Open Sans" w:hAnsi="Open Sans" w:cs="Open Sans"/>
          <w:color w:val="1E1E1E"/>
        </w:rPr>
        <w:t>FINRA notes this approach preserves the $5 million threshold that currently applies under the portfolio margin provisions.</w:t>
      </w:r>
    </w:p>
    <w:p w14:paraId="1F660C3C" w14:textId="77777777" w:rsidR="00CE6719" w:rsidRDefault="00CE6719" w:rsidP="00CE6719">
      <w:pPr>
        <w:pStyle w:val="Heading3"/>
        <w:spacing w:before="0"/>
        <w:rPr>
          <w:rFonts w:ascii="Regular" w:hAnsi="Regular" w:cs="Open Sans"/>
          <w:color w:val="1E1E1E"/>
        </w:rPr>
      </w:pPr>
      <w:r>
        <w:rPr>
          <w:rFonts w:ascii="Regular" w:hAnsi="Regular" w:cs="Open Sans"/>
          <w:b/>
          <w:bCs/>
          <w:color w:val="1E1E1E"/>
        </w:rPr>
        <w:t>Implementation; Availability of Interpretive Materials and Other Resources</w:t>
      </w:r>
    </w:p>
    <w:p w14:paraId="28F0148B"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The effective date of the amendments is June 4, 2026, 45 days from publication of this</w:t>
      </w:r>
      <w:r>
        <w:rPr>
          <w:rStyle w:val="apple-converted-space"/>
          <w:rFonts w:ascii="Open Sans" w:hAnsi="Open Sans" w:cs="Open Sans"/>
          <w:color w:val="1E1E1E"/>
        </w:rPr>
        <w:t> </w:t>
      </w:r>
      <w:r>
        <w:rPr>
          <w:rStyle w:val="Emphasis"/>
          <w:rFonts w:ascii="Open Sans" w:hAnsi="Open Sans" w:cs="Open Sans"/>
          <w:color w:val="1E1E1E"/>
        </w:rPr>
        <w:t>Notice</w:t>
      </w:r>
      <w:r>
        <w:rPr>
          <w:rFonts w:ascii="Open Sans" w:hAnsi="Open Sans" w:cs="Open Sans"/>
          <w:color w:val="1E1E1E"/>
        </w:rPr>
        <w:t>. Members that need more time to implement the rule change will be permitted to phase in their implementation over a period of 18 months, until October 20, 2027.  </w:t>
      </w:r>
    </w:p>
    <w:p w14:paraId="1D50DB8F" w14:textId="77777777" w:rsidR="00CE6719" w:rsidRDefault="00CE6719" w:rsidP="00CE6719">
      <w:pPr>
        <w:pStyle w:val="NormalWeb"/>
        <w:spacing w:before="0" w:beforeAutospacing="0" w:line="360" w:lineRule="atLeast"/>
        <w:rPr>
          <w:rFonts w:ascii="Open Sans" w:hAnsi="Open Sans" w:cs="Open Sans"/>
          <w:color w:val="1E1E1E"/>
        </w:rPr>
      </w:pPr>
      <w:r>
        <w:rPr>
          <w:rFonts w:ascii="Open Sans" w:hAnsi="Open Sans" w:cs="Open Sans"/>
          <w:color w:val="1E1E1E"/>
        </w:rPr>
        <w:t>To assist members, FINRA is planning to issue shortly a separate Notice announcing the availability of interpretive guidance and other resources relating to the new intraday margin standards. Questions may also be directed to</w:t>
      </w:r>
      <w:r>
        <w:rPr>
          <w:rStyle w:val="apple-converted-space"/>
          <w:rFonts w:ascii="Open Sans" w:hAnsi="Open Sans" w:cs="Open Sans"/>
          <w:color w:val="1E1E1E"/>
        </w:rPr>
        <w:t> </w:t>
      </w:r>
      <w:r>
        <w:rPr>
          <w:rFonts w:ascii="Open Sans" w:hAnsi="Open Sans" w:cs="Open Sans"/>
          <w:color w:val="1E1E1E"/>
        </w:rPr>
        <w:t>idm@finra.org</w:t>
      </w:r>
      <w:r>
        <w:rPr>
          <w:rStyle w:val="apple-converted-space"/>
          <w:rFonts w:ascii="Open Sans" w:hAnsi="Open Sans" w:cs="Open Sans"/>
          <w:color w:val="1E1E1E"/>
        </w:rPr>
        <w:t> </w:t>
      </w:r>
      <w:r>
        <w:rPr>
          <w:rFonts w:ascii="Open Sans" w:hAnsi="Open Sans" w:cs="Open Sans"/>
          <w:color w:val="1E1E1E"/>
        </w:rPr>
        <w:t>or the FINRA staff identified above.</w:t>
      </w:r>
    </w:p>
    <w:p w14:paraId="4203C63B" w14:textId="77777777" w:rsidR="00CE6719" w:rsidRDefault="00CE6719" w:rsidP="00CE6719">
      <w:pPr>
        <w:pStyle w:val="Heading2"/>
        <w:spacing w:before="300"/>
        <w:rPr>
          <w:rFonts w:ascii="Regular" w:hAnsi="Regular" w:cs="Open Sans"/>
          <w:color w:val="1E1E1E"/>
        </w:rPr>
      </w:pPr>
      <w:r>
        <w:rPr>
          <w:rFonts w:ascii="Regular" w:hAnsi="Regular" w:cs="Open Sans"/>
          <w:b/>
          <w:bCs/>
          <w:color w:val="1E1E1E"/>
        </w:rPr>
        <w:t>Endnotes</w:t>
      </w:r>
    </w:p>
    <w:p w14:paraId="25D891A3" w14:textId="77777777" w:rsidR="00CE6719" w:rsidRDefault="005F6341" w:rsidP="00CE6719">
      <w:pPr>
        <w:spacing w:line="360" w:lineRule="atLeast"/>
        <w:rPr>
          <w:rFonts w:ascii="Open Sans" w:hAnsi="Open Sans" w:cs="Open Sans"/>
          <w:color w:val="1E1E1E"/>
        </w:rPr>
      </w:pPr>
      <w:r>
        <w:rPr>
          <w:rFonts w:ascii="Open Sans" w:hAnsi="Open Sans" w:cs="Open Sans"/>
          <w:noProof/>
          <w:color w:val="1E1E1E"/>
        </w:rPr>
        <w:pict w14:anchorId="77BBAB81">
          <v:rect id="_x0000_i1025" alt="" style="width:468pt;height:.05pt;mso-width-percent:0;mso-height-percent:0;mso-width-percent:0;mso-height-percent:0" o:hralign="center" o:hrstd="t" o:hr="t" fillcolor="#a0a0a0" stroked="f"/>
        </w:pict>
      </w:r>
    </w:p>
    <w:p w14:paraId="0057E9A5" w14:textId="77777777" w:rsidR="00CE6719" w:rsidRDefault="00CE6719" w:rsidP="00CE6719">
      <w:pPr>
        <w:pStyle w:val="NormalWeb"/>
        <w:spacing w:before="0" w:beforeAutospacing="0" w:line="360" w:lineRule="atLeast"/>
        <w:rPr>
          <w:rFonts w:ascii="Open Sans" w:hAnsi="Open Sans" w:cs="Open Sans"/>
          <w:color w:val="1E1E1E"/>
        </w:rPr>
      </w:pPr>
      <w:hyperlink r:id="rId30" w:anchor="_ednref1" w:history="1">
        <w:r>
          <w:rPr>
            <w:rStyle w:val="Hyperlink"/>
            <w:rFonts w:ascii="Open Sans" w:hAnsi="Open Sans" w:cs="Open Sans"/>
            <w:color w:val="0082D1"/>
            <w:u w:val="none"/>
          </w:rPr>
          <w:t>1</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Securities Exchange Act Release No. 105226 (April 14, 2026), 91 FR 20731 (April 17, 2026) (Notice of Filing of Amendment No. 1 and Order Granting Accelerated Approval of a Proposed Rule Change, as Modified by Amendment No. 1, to Amend FINRA Rule 4210 (Margin Requirements) to Replace the Day Trading Margin Provisions with Intraday Margin Standards; File No. SR-FINRA-2025-017).</w:t>
      </w:r>
    </w:p>
    <w:p w14:paraId="47AB00BC" w14:textId="77777777" w:rsidR="00CE6719" w:rsidRDefault="00CE6719" w:rsidP="00CE6719">
      <w:pPr>
        <w:pStyle w:val="NormalWeb"/>
        <w:spacing w:before="0" w:beforeAutospacing="0" w:line="360" w:lineRule="atLeast"/>
        <w:rPr>
          <w:rFonts w:ascii="Open Sans" w:hAnsi="Open Sans" w:cs="Open Sans"/>
          <w:color w:val="1E1E1E"/>
        </w:rPr>
      </w:pPr>
      <w:hyperlink r:id="rId31" w:anchor="_ednref2" w:history="1">
        <w:r>
          <w:rPr>
            <w:rStyle w:val="Hyperlink"/>
            <w:rFonts w:ascii="Open Sans" w:hAnsi="Open Sans" w:cs="Open Sans"/>
            <w:color w:val="0082D1"/>
            <w:u w:val="none"/>
          </w:rPr>
          <w:t>2</w:t>
        </w:r>
      </w:hyperlink>
      <w:r>
        <w:rPr>
          <w:rStyle w:val="apple-converted-space"/>
          <w:rFonts w:ascii="Open Sans" w:hAnsi="Open Sans" w:cs="Open Sans"/>
          <w:color w:val="1E1E1E"/>
        </w:rPr>
        <w:t> </w:t>
      </w:r>
      <w:r>
        <w:rPr>
          <w:rFonts w:ascii="Open Sans" w:hAnsi="Open Sans" w:cs="Open Sans"/>
          <w:color w:val="1E1E1E"/>
        </w:rPr>
        <w:t xml:space="preserve">Specifically, the amendments establish under Rule 4210 new paragraphs (a)(17) through (a)(19), new paragraph (d)(2) and new paragraphs (g)(1)(J) and (g)(1)(K). The </w:t>
      </w:r>
      <w:r>
        <w:rPr>
          <w:rFonts w:ascii="Open Sans" w:hAnsi="Open Sans" w:cs="Open Sans"/>
          <w:color w:val="1E1E1E"/>
        </w:rPr>
        <w:lastRenderedPageBreak/>
        <w:t>amendments eliminate paragraph (f)(8)(B) together with associated provisions relating to the day trading margin requirements under paragraphs (b), (f)(10) and (g)(13), and make some minor conforming amendments. In alignment with the amendments, FINRA is also revising the interpretations of Rule 4210 that FINRA maintains on its website by deleting interpretations of the former day trading margin requirements and other references to those requirements. The affected interpretations include Interpretations /023, /025 and /034 under Rule 4210(b)(4); Interpretation /03 under Rule 4210(f)(5); Interpretations /01, /02 and /03 under Rule 4210(f)(8)(B)(ii); and all interpretations under Rule 4210(f)(8)(B) and Rule 4210(g)(13). </w:t>
      </w:r>
    </w:p>
    <w:p w14:paraId="06480312" w14:textId="77777777" w:rsidR="00CE6719" w:rsidRDefault="00CE6719" w:rsidP="00CE6719">
      <w:pPr>
        <w:pStyle w:val="NormalWeb"/>
        <w:spacing w:before="0" w:beforeAutospacing="0" w:line="360" w:lineRule="atLeast"/>
        <w:rPr>
          <w:rFonts w:ascii="Open Sans" w:hAnsi="Open Sans" w:cs="Open Sans"/>
          <w:color w:val="1E1E1E"/>
        </w:rPr>
      </w:pPr>
      <w:hyperlink r:id="rId32" w:anchor="_ednref3" w:history="1">
        <w:r>
          <w:rPr>
            <w:rStyle w:val="Hyperlink"/>
            <w:rFonts w:ascii="Open Sans" w:hAnsi="Open Sans" w:cs="Open Sans"/>
            <w:color w:val="0082D1"/>
            <w:u w:val="none"/>
          </w:rPr>
          <w:t>3</w:t>
        </w:r>
      </w:hyperlink>
      <w:r>
        <w:rPr>
          <w:rStyle w:val="apple-converted-space"/>
          <w:rFonts w:ascii="Open Sans" w:hAnsi="Open Sans" w:cs="Open Sans"/>
          <w:color w:val="1E1E1E"/>
        </w:rPr>
        <w:t> </w:t>
      </w:r>
      <w:r>
        <w:rPr>
          <w:rFonts w:ascii="Open Sans" w:hAnsi="Open Sans" w:cs="Open Sans"/>
          <w:color w:val="1E1E1E"/>
        </w:rPr>
        <w:t>For further background on the history of the former day trading margin requirements, and feedback received from customers and members,</w:t>
      </w:r>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Securities Exchange Act Release No. 104572 (January 9, 2026), 91 FR 1580 (January 14, 2026) (Notice of Filing of a Proposed Rule Change to Amend FINRA Rule 4210 (Margin Requirements) to Replace the Day Trading Margin Provisions with Intraday Margin Standards; File No. SR-FINRA-2025-017).</w:t>
      </w:r>
    </w:p>
    <w:p w14:paraId="13AA7214" w14:textId="77777777" w:rsidR="00CE6719" w:rsidRDefault="00CE6719" w:rsidP="00CE6719">
      <w:pPr>
        <w:pStyle w:val="NormalWeb"/>
        <w:spacing w:before="0" w:beforeAutospacing="0" w:line="360" w:lineRule="atLeast"/>
        <w:rPr>
          <w:rFonts w:ascii="Open Sans" w:hAnsi="Open Sans" w:cs="Open Sans"/>
          <w:color w:val="1E1E1E"/>
        </w:rPr>
      </w:pPr>
      <w:hyperlink r:id="rId33" w:anchor="_ednref4" w:history="1">
        <w:r>
          <w:rPr>
            <w:rStyle w:val="Hyperlink"/>
            <w:rFonts w:ascii="Open Sans" w:hAnsi="Open Sans" w:cs="Open Sans"/>
            <w:color w:val="0082D1"/>
            <w:u w:val="none"/>
          </w:rPr>
          <w:t>4</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hyperlink r:id="rId34" w:history="1">
        <w:r>
          <w:rPr>
            <w:rStyle w:val="Emphasis"/>
            <w:rFonts w:ascii="Open Sans" w:hAnsi="Open Sans" w:cs="Open Sans"/>
            <w:color w:val="0082D1"/>
          </w:rPr>
          <w:t>Regulatory Notice 24-13</w:t>
        </w:r>
      </w:hyperlink>
      <w:r>
        <w:rPr>
          <w:rStyle w:val="apple-converted-space"/>
          <w:rFonts w:ascii="Open Sans" w:hAnsi="Open Sans" w:cs="Open Sans"/>
          <w:color w:val="1E1E1E"/>
        </w:rPr>
        <w:t> </w:t>
      </w:r>
      <w:r>
        <w:rPr>
          <w:rFonts w:ascii="Open Sans" w:hAnsi="Open Sans" w:cs="Open Sans"/>
          <w:color w:val="1E1E1E"/>
        </w:rPr>
        <w:t>(October 2024) (FINRA Requests Comment on the Effectiveness and Efficiency of its Requirements Relating to Day Trading).</w:t>
      </w:r>
    </w:p>
    <w:p w14:paraId="0CE72703" w14:textId="77777777" w:rsidR="00CE6719" w:rsidRDefault="00CE6719" w:rsidP="00CE6719">
      <w:pPr>
        <w:pStyle w:val="NormalWeb"/>
        <w:spacing w:before="0" w:beforeAutospacing="0" w:line="360" w:lineRule="atLeast"/>
        <w:rPr>
          <w:rFonts w:ascii="Open Sans" w:hAnsi="Open Sans" w:cs="Open Sans"/>
          <w:color w:val="1E1E1E"/>
        </w:rPr>
      </w:pPr>
      <w:hyperlink r:id="rId35" w:anchor="_ednref5" w:history="1">
        <w:r>
          <w:rPr>
            <w:rStyle w:val="Hyperlink"/>
            <w:rFonts w:ascii="Open Sans" w:hAnsi="Open Sans" w:cs="Open Sans"/>
            <w:color w:val="0082D1"/>
            <w:u w:val="none"/>
          </w:rPr>
          <w:t>5</w:t>
        </w:r>
      </w:hyperlink>
      <w:r>
        <w:rPr>
          <w:rStyle w:val="apple-converted-space"/>
          <w:rFonts w:ascii="Open Sans" w:hAnsi="Open Sans" w:cs="Open Sans"/>
          <w:color w:val="1E1E1E"/>
        </w:rPr>
        <w:t> </w:t>
      </w:r>
      <w:r>
        <w:rPr>
          <w:rFonts w:ascii="Open Sans" w:hAnsi="Open Sans" w:cs="Open Sans"/>
          <w:color w:val="1E1E1E"/>
        </w:rPr>
        <w:t>The term “customer” is defined under Rule 4210(a)(3).</w:t>
      </w:r>
    </w:p>
    <w:p w14:paraId="1AD044FB" w14:textId="77777777" w:rsidR="00CE6719" w:rsidRDefault="00CE6719" w:rsidP="00CE6719">
      <w:pPr>
        <w:pStyle w:val="NormalWeb"/>
        <w:spacing w:before="0" w:beforeAutospacing="0" w:line="360" w:lineRule="atLeast"/>
        <w:rPr>
          <w:rFonts w:ascii="Open Sans" w:hAnsi="Open Sans" w:cs="Open Sans"/>
          <w:color w:val="1E1E1E"/>
        </w:rPr>
      </w:pPr>
      <w:hyperlink r:id="rId36" w:anchor="_ednref6" w:history="1">
        <w:r>
          <w:rPr>
            <w:rStyle w:val="Hyperlink"/>
            <w:rFonts w:ascii="Open Sans" w:hAnsi="Open Sans" w:cs="Open Sans"/>
            <w:color w:val="0082D1"/>
            <w:u w:val="none"/>
          </w:rPr>
          <w:t>6</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new paragraphs (a)(17), (a)(18) and (a)(19) of Rule 4210, respectively, in Attachment A for the specific rule language.</w:t>
      </w:r>
    </w:p>
    <w:p w14:paraId="42F30F13" w14:textId="77777777" w:rsidR="00CE6719" w:rsidRDefault="00CE6719" w:rsidP="00CE6719">
      <w:pPr>
        <w:pStyle w:val="NormalWeb"/>
        <w:spacing w:before="0" w:beforeAutospacing="0" w:line="360" w:lineRule="atLeast"/>
        <w:rPr>
          <w:rFonts w:ascii="Open Sans" w:hAnsi="Open Sans" w:cs="Open Sans"/>
          <w:color w:val="1E1E1E"/>
        </w:rPr>
      </w:pPr>
      <w:hyperlink r:id="rId37" w:anchor="_ednref7" w:history="1">
        <w:r>
          <w:rPr>
            <w:rStyle w:val="Hyperlink"/>
            <w:rFonts w:ascii="Open Sans" w:hAnsi="Open Sans" w:cs="Open Sans"/>
            <w:color w:val="0082D1"/>
            <w:u w:val="none"/>
          </w:rPr>
          <w:t>7</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the provisions under SEA Rule 15c3-3(j) governing “Sweep Programs” as defined under SEA Rule 15c3-3(a)(17).</w:t>
      </w:r>
    </w:p>
    <w:p w14:paraId="01962718" w14:textId="77777777" w:rsidR="00CE6719" w:rsidRDefault="00CE6719" w:rsidP="00CE6719">
      <w:pPr>
        <w:pStyle w:val="NormalWeb"/>
        <w:spacing w:before="0" w:beforeAutospacing="0" w:line="360" w:lineRule="atLeast"/>
        <w:rPr>
          <w:rFonts w:ascii="Open Sans" w:hAnsi="Open Sans" w:cs="Open Sans"/>
          <w:color w:val="1E1E1E"/>
        </w:rPr>
      </w:pPr>
      <w:hyperlink r:id="rId38" w:anchor="_ednref8" w:history="1">
        <w:r>
          <w:rPr>
            <w:rStyle w:val="Hyperlink"/>
            <w:rFonts w:ascii="Open Sans" w:hAnsi="Open Sans" w:cs="Open Sans"/>
            <w:color w:val="0082D1"/>
            <w:u w:val="none"/>
          </w:rPr>
          <w:t>8</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 4210(d)(2)(B)(i) in Attachment A (stating the member “may follow a written policy or procedure of treating the aggregate amount of such customer’s deposits at FDIC-insured banks under a Sweep Program operated by such member as a credit balance in such account”).</w:t>
      </w:r>
    </w:p>
    <w:p w14:paraId="7866795D" w14:textId="77777777" w:rsidR="00CE6719" w:rsidRDefault="00CE6719" w:rsidP="00CE6719">
      <w:pPr>
        <w:pStyle w:val="NormalWeb"/>
        <w:spacing w:before="0" w:beforeAutospacing="0" w:line="360" w:lineRule="atLeast"/>
        <w:rPr>
          <w:rFonts w:ascii="Open Sans" w:hAnsi="Open Sans" w:cs="Open Sans"/>
          <w:color w:val="1E1E1E"/>
        </w:rPr>
      </w:pPr>
      <w:hyperlink r:id="rId39" w:anchor="_ednref9" w:history="1">
        <w:r>
          <w:rPr>
            <w:rStyle w:val="Hyperlink"/>
            <w:rFonts w:ascii="Open Sans" w:hAnsi="Open Sans" w:cs="Open Sans"/>
            <w:color w:val="0082D1"/>
            <w:u w:val="none"/>
          </w:rPr>
          <w:t>9</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 xml:space="preserve">Rule 4210(d)(2)(B)(ii) in Attachment A (stating “the member may follow a written policy or procedure of using values that are more recent than the execution price or the previous business day’s closing price to determine the current market </w:t>
      </w:r>
      <w:r>
        <w:rPr>
          <w:rFonts w:ascii="Open Sans" w:hAnsi="Open Sans" w:cs="Open Sans"/>
          <w:color w:val="1E1E1E"/>
        </w:rPr>
        <w:lastRenderedPageBreak/>
        <w:t>value of a position, provided that such procedure is reasonably designed for the purpose of making computations using more current market values rather than reducing intraday margin requirements”).</w:t>
      </w:r>
    </w:p>
    <w:p w14:paraId="0E4AE717" w14:textId="77777777" w:rsidR="00CE6719" w:rsidRDefault="00CE6719" w:rsidP="00CE6719">
      <w:pPr>
        <w:pStyle w:val="NormalWeb"/>
        <w:spacing w:before="0" w:beforeAutospacing="0" w:line="360" w:lineRule="atLeast"/>
        <w:rPr>
          <w:rFonts w:ascii="Open Sans" w:hAnsi="Open Sans" w:cs="Open Sans"/>
          <w:color w:val="1E1E1E"/>
        </w:rPr>
      </w:pPr>
      <w:hyperlink r:id="rId40" w:anchor="_ednref10" w:history="1">
        <w:r>
          <w:rPr>
            <w:rStyle w:val="Hyperlink"/>
            <w:rFonts w:ascii="Open Sans" w:hAnsi="Open Sans" w:cs="Open Sans"/>
            <w:color w:val="0082D1"/>
            <w:u w:val="none"/>
          </w:rPr>
          <w:t>10</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 4210(d)(2)(B)(iii) in Attachment A (stating “the member may follow a written policy or procedure for the allocation of ‘as of’ actions either to the approximate time and day during which they are processed, or to the earlier time or day recorded for their occurrence, provided that such procedure is reasonably designed for the purpose of addressing ‘as of’ actions rather than reducing intraday margin requirements, and the member redetermines any previously determined intraday margin deficit that is impacted by the allocation of an ‘as of’ action to the earlier time or day”).</w:t>
      </w:r>
    </w:p>
    <w:p w14:paraId="6A90176C" w14:textId="77777777" w:rsidR="00CE6719" w:rsidRDefault="00CE6719" w:rsidP="00CE6719">
      <w:pPr>
        <w:pStyle w:val="NormalWeb"/>
        <w:spacing w:before="0" w:beforeAutospacing="0" w:line="360" w:lineRule="atLeast"/>
        <w:rPr>
          <w:rFonts w:ascii="Open Sans" w:hAnsi="Open Sans" w:cs="Open Sans"/>
          <w:color w:val="1E1E1E"/>
        </w:rPr>
      </w:pPr>
      <w:hyperlink r:id="rId41" w:anchor="_ednref11" w:history="1">
        <w:r>
          <w:rPr>
            <w:rStyle w:val="Hyperlink"/>
            <w:rFonts w:ascii="Open Sans" w:hAnsi="Open Sans" w:cs="Open Sans"/>
            <w:color w:val="0082D1"/>
            <w:u w:val="none"/>
          </w:rPr>
          <w:t>11</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 4210(d)(2)(B)(iv) in Attachment A (stating “the member may treat the following as occurring simultaneously and immediately after the beginning of the day, notwithstanding the actual time of their occurrence: a.  all deposits and withdrawals of cash or securities into or from such margin account during such day; or b.  any transaction that closes a position that was open at the beginning of such day”).</w:t>
      </w:r>
    </w:p>
    <w:p w14:paraId="34DF81AC" w14:textId="77777777" w:rsidR="00CE6719" w:rsidRDefault="00CE6719" w:rsidP="00CE6719">
      <w:pPr>
        <w:pStyle w:val="NormalWeb"/>
        <w:spacing w:before="0" w:beforeAutospacing="0" w:line="360" w:lineRule="atLeast"/>
        <w:rPr>
          <w:rFonts w:ascii="Open Sans" w:hAnsi="Open Sans" w:cs="Open Sans"/>
          <w:color w:val="1E1E1E"/>
        </w:rPr>
      </w:pPr>
      <w:hyperlink r:id="rId42" w:anchor="_ednref12" w:history="1">
        <w:r>
          <w:rPr>
            <w:rStyle w:val="Hyperlink"/>
            <w:rFonts w:ascii="Open Sans" w:hAnsi="Open Sans" w:cs="Open Sans"/>
            <w:color w:val="0082D1"/>
            <w:u w:val="none"/>
          </w:rPr>
          <w:t>12</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 4210(d)(2)(B)(v) in Attachment A (stating “the member may treat as occurring simultaneously: a.  the execution of multiple legs of a spread, or other strategy with a reduced maintenance margin requirement, as a result of a single order submission, or otherwise substantially contemporaneously; or b.  the creation of a position by the assignment or exercise of an option and the liquidation of such position during the same day”).</w:t>
      </w:r>
    </w:p>
    <w:p w14:paraId="7D7E6B7D" w14:textId="77777777" w:rsidR="00CE6719" w:rsidRDefault="00CE6719" w:rsidP="00CE6719">
      <w:pPr>
        <w:pStyle w:val="NormalWeb"/>
        <w:spacing w:before="0" w:beforeAutospacing="0" w:line="360" w:lineRule="atLeast"/>
        <w:rPr>
          <w:rFonts w:ascii="Open Sans" w:hAnsi="Open Sans" w:cs="Open Sans"/>
          <w:color w:val="1E1E1E"/>
        </w:rPr>
      </w:pPr>
      <w:hyperlink r:id="rId43" w:anchor="_ednref13" w:history="1">
        <w:r>
          <w:rPr>
            <w:rStyle w:val="Hyperlink"/>
            <w:rFonts w:ascii="Open Sans" w:hAnsi="Open Sans" w:cs="Open Sans"/>
            <w:color w:val="0082D1"/>
            <w:u w:val="none"/>
          </w:rPr>
          <w:t>13</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 4210(d)(2)(B)(vi) in Attachment A.</w:t>
      </w:r>
    </w:p>
    <w:p w14:paraId="75EE899A" w14:textId="77777777" w:rsidR="00CE6719" w:rsidRDefault="00CE6719" w:rsidP="00CE6719">
      <w:pPr>
        <w:pStyle w:val="NormalWeb"/>
        <w:spacing w:before="0" w:beforeAutospacing="0" w:line="360" w:lineRule="atLeast"/>
        <w:rPr>
          <w:rFonts w:ascii="Open Sans" w:hAnsi="Open Sans" w:cs="Open Sans"/>
          <w:color w:val="1E1E1E"/>
        </w:rPr>
      </w:pPr>
      <w:hyperlink r:id="rId44" w:anchor="_ednref14" w:history="1">
        <w:r>
          <w:rPr>
            <w:rStyle w:val="Hyperlink"/>
            <w:rFonts w:ascii="Open Sans" w:hAnsi="Open Sans" w:cs="Open Sans"/>
            <w:color w:val="0082D1"/>
            <w:u w:val="none"/>
          </w:rPr>
          <w:t>14</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 4210(d)(2)(C)(i) in Attachment A.</w:t>
      </w:r>
    </w:p>
    <w:p w14:paraId="5B21C810" w14:textId="77777777" w:rsidR="00CE6719" w:rsidRDefault="00CE6719" w:rsidP="00CE6719">
      <w:pPr>
        <w:pStyle w:val="NormalWeb"/>
        <w:spacing w:before="0" w:beforeAutospacing="0" w:line="360" w:lineRule="atLeast"/>
        <w:rPr>
          <w:rFonts w:ascii="Open Sans" w:hAnsi="Open Sans" w:cs="Open Sans"/>
          <w:color w:val="1E1E1E"/>
        </w:rPr>
      </w:pPr>
      <w:hyperlink r:id="rId45" w:anchor="_ednref15" w:history="1">
        <w:r>
          <w:rPr>
            <w:rStyle w:val="Hyperlink"/>
            <w:rFonts w:ascii="Open Sans" w:hAnsi="Open Sans" w:cs="Open Sans"/>
            <w:color w:val="0082D1"/>
            <w:u w:val="none"/>
          </w:rPr>
          <w:t>15</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 4210(d)(2)(C)(ii) in Attachment A.</w:t>
      </w:r>
    </w:p>
    <w:p w14:paraId="3A04F60A" w14:textId="77777777" w:rsidR="00CE6719" w:rsidRDefault="00CE6719" w:rsidP="00CE6719">
      <w:pPr>
        <w:pStyle w:val="NormalWeb"/>
        <w:spacing w:before="0" w:beforeAutospacing="0" w:line="360" w:lineRule="atLeast"/>
        <w:rPr>
          <w:rFonts w:ascii="Open Sans" w:hAnsi="Open Sans" w:cs="Open Sans"/>
          <w:color w:val="1E1E1E"/>
        </w:rPr>
      </w:pPr>
      <w:hyperlink r:id="rId46" w:anchor="_ednref16" w:history="1">
        <w:r>
          <w:rPr>
            <w:rStyle w:val="Hyperlink"/>
            <w:rFonts w:ascii="Open Sans" w:hAnsi="Open Sans" w:cs="Open Sans"/>
            <w:color w:val="0082D1"/>
            <w:u w:val="none"/>
          </w:rPr>
          <w:t>16</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 4210(d)(2)(C)(iii) in Attachment A.</w:t>
      </w:r>
    </w:p>
    <w:p w14:paraId="6B5FAA82" w14:textId="77777777" w:rsidR="00CE6719" w:rsidRDefault="00CE6719" w:rsidP="00CE6719">
      <w:pPr>
        <w:pStyle w:val="NormalWeb"/>
        <w:spacing w:before="0" w:beforeAutospacing="0" w:line="360" w:lineRule="atLeast"/>
        <w:rPr>
          <w:rFonts w:ascii="Open Sans" w:hAnsi="Open Sans" w:cs="Open Sans"/>
          <w:color w:val="1E1E1E"/>
        </w:rPr>
      </w:pPr>
      <w:hyperlink r:id="rId47" w:anchor="_ednref17" w:history="1">
        <w:r>
          <w:rPr>
            <w:rStyle w:val="Hyperlink"/>
            <w:rFonts w:ascii="Open Sans" w:hAnsi="Open Sans" w:cs="Open Sans"/>
            <w:color w:val="0082D1"/>
            <w:u w:val="none"/>
          </w:rPr>
          <w:t>17</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 4210(d)(2)(D) in Attachment A.</w:t>
      </w:r>
    </w:p>
    <w:p w14:paraId="501D2500" w14:textId="77777777" w:rsidR="00CE6719" w:rsidRDefault="00CE6719" w:rsidP="00CE6719">
      <w:pPr>
        <w:pStyle w:val="NormalWeb"/>
        <w:spacing w:before="0" w:beforeAutospacing="0" w:line="360" w:lineRule="atLeast"/>
        <w:rPr>
          <w:rFonts w:ascii="Open Sans" w:hAnsi="Open Sans" w:cs="Open Sans"/>
          <w:color w:val="1E1E1E"/>
        </w:rPr>
      </w:pPr>
      <w:hyperlink r:id="rId48" w:anchor="_ednref18" w:history="1">
        <w:r>
          <w:rPr>
            <w:rStyle w:val="Hyperlink"/>
            <w:rFonts w:ascii="Open Sans" w:hAnsi="Open Sans" w:cs="Open Sans"/>
            <w:color w:val="0082D1"/>
            <w:u w:val="none"/>
          </w:rPr>
          <w:t>18</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Rules 4210(d)(2)(D)(i) through (ii) in Attachment A. </w:t>
      </w:r>
    </w:p>
    <w:p w14:paraId="092160DF" w14:textId="77777777" w:rsidR="00CE6719" w:rsidRDefault="00CE6719" w:rsidP="00CE6719">
      <w:pPr>
        <w:pStyle w:val="NormalWeb"/>
        <w:spacing w:before="0" w:beforeAutospacing="0" w:line="360" w:lineRule="atLeast"/>
        <w:rPr>
          <w:rFonts w:ascii="Open Sans" w:hAnsi="Open Sans" w:cs="Open Sans"/>
          <w:color w:val="1E1E1E"/>
        </w:rPr>
      </w:pPr>
      <w:hyperlink r:id="rId49" w:anchor="_ednref19" w:history="1">
        <w:r>
          <w:rPr>
            <w:rStyle w:val="Hyperlink"/>
            <w:rFonts w:ascii="Open Sans" w:hAnsi="Open Sans" w:cs="Open Sans"/>
            <w:color w:val="0082D1"/>
            <w:u w:val="none"/>
          </w:rPr>
          <w:t>19</w:t>
        </w:r>
      </w:hyperlink>
      <w:r>
        <w:rPr>
          <w:rStyle w:val="apple-converted-space"/>
          <w:rFonts w:ascii="Open Sans" w:hAnsi="Open Sans" w:cs="Open Sans"/>
          <w:color w:val="1E1E1E"/>
        </w:rPr>
        <w:t> </w:t>
      </w:r>
      <w:r>
        <w:rPr>
          <w:rFonts w:ascii="Open Sans" w:hAnsi="Open Sans" w:cs="Open Sans"/>
          <w:color w:val="1E1E1E"/>
        </w:rPr>
        <w:t>Correspondingly, the amendments delete paragraph (g)(13) as rendered obsolete by the elimination of the day trading margin requirements.</w:t>
      </w:r>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note 2 and Rule 4210(g) in Attachment A.</w:t>
      </w:r>
    </w:p>
    <w:p w14:paraId="608E05C1" w14:textId="77777777" w:rsidR="00CE6719" w:rsidRDefault="00CE6719" w:rsidP="00CE6719">
      <w:pPr>
        <w:pStyle w:val="NormalWeb"/>
        <w:spacing w:before="0" w:beforeAutospacing="0" w:line="360" w:lineRule="atLeast"/>
        <w:rPr>
          <w:rFonts w:ascii="Open Sans" w:hAnsi="Open Sans" w:cs="Open Sans"/>
          <w:color w:val="1E1E1E"/>
        </w:rPr>
      </w:pPr>
      <w:hyperlink r:id="rId50" w:anchor="_ednref20" w:history="1">
        <w:r>
          <w:rPr>
            <w:rStyle w:val="Hyperlink"/>
            <w:rFonts w:ascii="Open Sans" w:hAnsi="Open Sans" w:cs="Open Sans"/>
            <w:color w:val="0082D1"/>
            <w:u w:val="none"/>
          </w:rPr>
          <w:t>20</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 4210(g)(1)((J) in Attachment A.</w:t>
      </w:r>
    </w:p>
    <w:p w14:paraId="437FA68A" w14:textId="77777777" w:rsidR="00CE6719" w:rsidRDefault="00CE6719" w:rsidP="00CE6719">
      <w:pPr>
        <w:pStyle w:val="NormalWeb"/>
        <w:spacing w:before="0" w:beforeAutospacing="0" w:line="360" w:lineRule="atLeast"/>
        <w:rPr>
          <w:rFonts w:ascii="Open Sans" w:hAnsi="Open Sans" w:cs="Open Sans"/>
          <w:color w:val="1E1E1E"/>
        </w:rPr>
      </w:pPr>
      <w:hyperlink r:id="rId51" w:anchor="_ednref21" w:history="1">
        <w:r>
          <w:rPr>
            <w:rStyle w:val="Hyperlink"/>
            <w:rFonts w:ascii="Open Sans" w:hAnsi="Open Sans" w:cs="Open Sans"/>
            <w:color w:val="0082D1"/>
            <w:u w:val="none"/>
          </w:rPr>
          <w:t>21</w:t>
        </w:r>
      </w:hyperlink>
      <w:r>
        <w:rPr>
          <w:rStyle w:val="apple-converted-space"/>
          <w:rFonts w:ascii="Open Sans" w:hAnsi="Open Sans" w:cs="Open Sans"/>
          <w:color w:val="1E1E1E"/>
        </w:rPr>
        <w:t> </w:t>
      </w:r>
      <w:r>
        <w:rPr>
          <w:rStyle w:val="Emphasis"/>
          <w:rFonts w:ascii="Open Sans" w:hAnsi="Open Sans" w:cs="Open Sans"/>
          <w:color w:val="1E1E1E"/>
        </w:rPr>
        <w:t>See</w:t>
      </w:r>
      <w:r>
        <w:rPr>
          <w:rStyle w:val="apple-converted-space"/>
          <w:rFonts w:ascii="Open Sans" w:hAnsi="Open Sans" w:cs="Open Sans"/>
          <w:i/>
          <w:iCs/>
          <w:color w:val="1E1E1E"/>
        </w:rPr>
        <w:t> </w:t>
      </w:r>
      <w:r>
        <w:rPr>
          <w:rFonts w:ascii="Open Sans" w:hAnsi="Open Sans" w:cs="Open Sans"/>
          <w:color w:val="1E1E1E"/>
        </w:rPr>
        <w:t>Rule 4210(g)(1)(K) in Attachment A.</w:t>
      </w:r>
    </w:p>
    <w:p w14:paraId="118A8F78" w14:textId="77777777" w:rsidR="00CE6719" w:rsidRDefault="00CE6719"/>
    <w:p w14:paraId="741D020E" w14:textId="77777777" w:rsidR="00CE6719" w:rsidRDefault="00CE6719"/>
    <w:sectPr w:rsidR="00CE6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Regula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1B80"/>
    <w:multiLevelType w:val="multilevel"/>
    <w:tmpl w:val="7DF21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73FF8"/>
    <w:multiLevelType w:val="multilevel"/>
    <w:tmpl w:val="8A44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323306"/>
    <w:multiLevelType w:val="multilevel"/>
    <w:tmpl w:val="5FC4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173552">
    <w:abstractNumId w:val="2"/>
  </w:num>
  <w:num w:numId="2" w16cid:durableId="687945795">
    <w:abstractNumId w:val="1"/>
  </w:num>
  <w:num w:numId="3" w16cid:durableId="102120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719"/>
    <w:rsid w:val="005F6341"/>
    <w:rsid w:val="006973EB"/>
    <w:rsid w:val="00CE6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E4906"/>
  <w15:chartTrackingRefBased/>
  <w15:docId w15:val="{6D6D05E9-0534-994D-AFB9-5A83322D1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6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6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719"/>
    <w:rPr>
      <w:rFonts w:eastAsiaTheme="majorEastAsia" w:cstheme="majorBidi"/>
      <w:color w:val="272727" w:themeColor="text1" w:themeTint="D8"/>
    </w:rPr>
  </w:style>
  <w:style w:type="paragraph" w:styleId="Title">
    <w:name w:val="Title"/>
    <w:basedOn w:val="Normal"/>
    <w:next w:val="Normal"/>
    <w:link w:val="TitleChar"/>
    <w:uiPriority w:val="10"/>
    <w:qFormat/>
    <w:rsid w:val="00CE6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719"/>
    <w:pPr>
      <w:spacing w:before="160"/>
      <w:jc w:val="center"/>
    </w:pPr>
    <w:rPr>
      <w:i/>
      <w:iCs/>
      <w:color w:val="404040" w:themeColor="text1" w:themeTint="BF"/>
    </w:rPr>
  </w:style>
  <w:style w:type="character" w:customStyle="1" w:styleId="QuoteChar">
    <w:name w:val="Quote Char"/>
    <w:basedOn w:val="DefaultParagraphFont"/>
    <w:link w:val="Quote"/>
    <w:uiPriority w:val="29"/>
    <w:rsid w:val="00CE6719"/>
    <w:rPr>
      <w:i/>
      <w:iCs/>
      <w:color w:val="404040" w:themeColor="text1" w:themeTint="BF"/>
    </w:rPr>
  </w:style>
  <w:style w:type="paragraph" w:styleId="ListParagraph">
    <w:name w:val="List Paragraph"/>
    <w:basedOn w:val="Normal"/>
    <w:uiPriority w:val="34"/>
    <w:qFormat/>
    <w:rsid w:val="00CE6719"/>
    <w:pPr>
      <w:ind w:left="720"/>
      <w:contextualSpacing/>
    </w:pPr>
  </w:style>
  <w:style w:type="character" w:styleId="IntenseEmphasis">
    <w:name w:val="Intense Emphasis"/>
    <w:basedOn w:val="DefaultParagraphFont"/>
    <w:uiPriority w:val="21"/>
    <w:qFormat/>
    <w:rsid w:val="00CE6719"/>
    <w:rPr>
      <w:i/>
      <w:iCs/>
      <w:color w:val="0F4761" w:themeColor="accent1" w:themeShade="BF"/>
    </w:rPr>
  </w:style>
  <w:style w:type="paragraph" w:styleId="IntenseQuote">
    <w:name w:val="Intense Quote"/>
    <w:basedOn w:val="Normal"/>
    <w:next w:val="Normal"/>
    <w:link w:val="IntenseQuoteChar"/>
    <w:uiPriority w:val="30"/>
    <w:qFormat/>
    <w:rsid w:val="00CE6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719"/>
    <w:rPr>
      <w:i/>
      <w:iCs/>
      <w:color w:val="0F4761" w:themeColor="accent1" w:themeShade="BF"/>
    </w:rPr>
  </w:style>
  <w:style w:type="character" w:styleId="IntenseReference">
    <w:name w:val="Intense Reference"/>
    <w:basedOn w:val="DefaultParagraphFont"/>
    <w:uiPriority w:val="32"/>
    <w:qFormat/>
    <w:rsid w:val="00CE6719"/>
    <w:rPr>
      <w:b/>
      <w:bCs/>
      <w:smallCaps/>
      <w:color w:val="0F4761" w:themeColor="accent1" w:themeShade="BF"/>
      <w:spacing w:val="5"/>
    </w:rPr>
  </w:style>
  <w:style w:type="character" w:styleId="Hyperlink">
    <w:name w:val="Hyperlink"/>
    <w:basedOn w:val="DefaultParagraphFont"/>
    <w:uiPriority w:val="99"/>
    <w:unhideWhenUsed/>
    <w:rsid w:val="00CE6719"/>
    <w:rPr>
      <w:color w:val="467886" w:themeColor="hyperlink"/>
      <w:u w:val="single"/>
    </w:rPr>
  </w:style>
  <w:style w:type="character" w:styleId="UnresolvedMention">
    <w:name w:val="Unresolved Mention"/>
    <w:basedOn w:val="DefaultParagraphFont"/>
    <w:uiPriority w:val="99"/>
    <w:semiHidden/>
    <w:unhideWhenUsed/>
    <w:rsid w:val="00CE6719"/>
    <w:rPr>
      <w:color w:val="605E5C"/>
      <w:shd w:val="clear" w:color="auto" w:fill="E1DFDD"/>
    </w:rPr>
  </w:style>
  <w:style w:type="character" w:styleId="FollowedHyperlink">
    <w:name w:val="FollowedHyperlink"/>
    <w:basedOn w:val="DefaultParagraphFont"/>
    <w:uiPriority w:val="99"/>
    <w:semiHidden/>
    <w:unhideWhenUsed/>
    <w:rsid w:val="00CE6719"/>
    <w:rPr>
      <w:color w:val="96607D" w:themeColor="followedHyperlink"/>
      <w:u w:val="single"/>
    </w:rPr>
  </w:style>
  <w:style w:type="character" w:customStyle="1" w:styleId="red-title">
    <w:name w:val="red-title"/>
    <w:basedOn w:val="DefaultParagraphFont"/>
    <w:rsid w:val="00CE6719"/>
  </w:style>
  <w:style w:type="character" w:customStyle="1" w:styleId="apple-converted-space">
    <w:name w:val="apple-converted-space"/>
    <w:basedOn w:val="DefaultParagraphFont"/>
    <w:rsid w:val="00CE6719"/>
  </w:style>
  <w:style w:type="paragraph" w:styleId="NormalWeb">
    <w:name w:val="Normal (Web)"/>
    <w:basedOn w:val="Normal"/>
    <w:uiPriority w:val="99"/>
    <w:semiHidden/>
    <w:unhideWhenUsed/>
    <w:rsid w:val="00CE67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E67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nra.org/rules-guidance/notices/26-10" TargetMode="External"/><Relationship Id="rId18" Type="http://schemas.openxmlformats.org/officeDocument/2006/relationships/hyperlink" Target="https://www.finra.org/rules-guidance/notices/26-10" TargetMode="External"/><Relationship Id="rId26" Type="http://schemas.openxmlformats.org/officeDocument/2006/relationships/hyperlink" Target="https://www.finra.org/rules-guidance/notices/26-10" TargetMode="External"/><Relationship Id="rId39" Type="http://schemas.openxmlformats.org/officeDocument/2006/relationships/hyperlink" Target="https://www.finra.org/rules-guidance/notices/26-10" TargetMode="External"/><Relationship Id="rId21" Type="http://schemas.openxmlformats.org/officeDocument/2006/relationships/hyperlink" Target="https://www.finra.org/rules-guidance/notices/26-10" TargetMode="External"/><Relationship Id="rId34" Type="http://schemas.openxmlformats.org/officeDocument/2006/relationships/hyperlink" Target="https://www.finra.org/rules-guidance/notices/24-13" TargetMode="External"/><Relationship Id="rId42" Type="http://schemas.openxmlformats.org/officeDocument/2006/relationships/hyperlink" Target="https://www.finra.org/rules-guidance/notices/26-10" TargetMode="External"/><Relationship Id="rId47" Type="http://schemas.openxmlformats.org/officeDocument/2006/relationships/hyperlink" Target="https://www.finra.org/rules-guidance/notices/26-10" TargetMode="External"/><Relationship Id="rId50" Type="http://schemas.openxmlformats.org/officeDocument/2006/relationships/hyperlink" Target="https://www.finra.org/rules-guidance/notices/26-10" TargetMode="External"/><Relationship Id="rId7" Type="http://schemas.openxmlformats.org/officeDocument/2006/relationships/hyperlink" Target="https://www.finra.org/sites/default/files/2026-04/Regulatory-Notice-26-10-Attachment-A.pdf" TargetMode="External"/><Relationship Id="rId2" Type="http://schemas.openxmlformats.org/officeDocument/2006/relationships/styles" Target="styles.xml"/><Relationship Id="rId16" Type="http://schemas.openxmlformats.org/officeDocument/2006/relationships/hyperlink" Target="https://www.finra.org/rules-guidance/notices/26-10" TargetMode="External"/><Relationship Id="rId29" Type="http://schemas.openxmlformats.org/officeDocument/2006/relationships/hyperlink" Target="https://www.finra.org/rules-guidance/notices/26-10" TargetMode="External"/><Relationship Id="rId11" Type="http://schemas.openxmlformats.org/officeDocument/2006/relationships/hyperlink" Target="https://www.finra.org/rules-guidance/notices/26-10" TargetMode="External"/><Relationship Id="rId24" Type="http://schemas.openxmlformats.org/officeDocument/2006/relationships/hyperlink" Target="https://www.finra.org/rules-guidance/notices/26-10" TargetMode="External"/><Relationship Id="rId32" Type="http://schemas.openxmlformats.org/officeDocument/2006/relationships/hyperlink" Target="https://www.finra.org/rules-guidance/notices/26-10" TargetMode="External"/><Relationship Id="rId37" Type="http://schemas.openxmlformats.org/officeDocument/2006/relationships/hyperlink" Target="https://www.finra.org/rules-guidance/notices/26-10" TargetMode="External"/><Relationship Id="rId40" Type="http://schemas.openxmlformats.org/officeDocument/2006/relationships/hyperlink" Target="https://www.finra.org/rules-guidance/notices/26-10" TargetMode="External"/><Relationship Id="rId45" Type="http://schemas.openxmlformats.org/officeDocument/2006/relationships/hyperlink" Target="https://www.finra.org/rules-guidance/notices/26-10" TargetMode="External"/><Relationship Id="rId53" Type="http://schemas.openxmlformats.org/officeDocument/2006/relationships/theme" Target="theme/theme1.xml"/><Relationship Id="rId5" Type="http://schemas.openxmlformats.org/officeDocument/2006/relationships/hyperlink" Target="https://www.finra.org/rules-guidance/notices/26-10" TargetMode="External"/><Relationship Id="rId10" Type="http://schemas.openxmlformats.org/officeDocument/2006/relationships/hyperlink" Target="https://www.finra.org/rules-guidance/notices/26-10" TargetMode="External"/><Relationship Id="rId19" Type="http://schemas.openxmlformats.org/officeDocument/2006/relationships/hyperlink" Target="https://www.finra.org/rules-guidance/notices/26-10" TargetMode="External"/><Relationship Id="rId31" Type="http://schemas.openxmlformats.org/officeDocument/2006/relationships/hyperlink" Target="https://www.finra.org/rules-guidance/notices/26-10" TargetMode="External"/><Relationship Id="rId44" Type="http://schemas.openxmlformats.org/officeDocument/2006/relationships/hyperlink" Target="https://www.finra.org/rules-guidance/notices/26-10"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inra.org/rules-guidance/notices/26-10" TargetMode="External"/><Relationship Id="rId14" Type="http://schemas.openxmlformats.org/officeDocument/2006/relationships/hyperlink" Target="https://www.finra.org/rules-guidance/notices/26-10" TargetMode="External"/><Relationship Id="rId22" Type="http://schemas.openxmlformats.org/officeDocument/2006/relationships/hyperlink" Target="https://www.finra.org/rules-guidance/notices/26-10" TargetMode="External"/><Relationship Id="rId27" Type="http://schemas.openxmlformats.org/officeDocument/2006/relationships/hyperlink" Target="https://www.finra.org/rules-guidance/notices/26-10" TargetMode="External"/><Relationship Id="rId30" Type="http://schemas.openxmlformats.org/officeDocument/2006/relationships/hyperlink" Target="https://www.finra.org/rules-guidance/notices/26-10" TargetMode="External"/><Relationship Id="rId35" Type="http://schemas.openxmlformats.org/officeDocument/2006/relationships/hyperlink" Target="https://www.finra.org/rules-guidance/notices/26-10" TargetMode="External"/><Relationship Id="rId43" Type="http://schemas.openxmlformats.org/officeDocument/2006/relationships/hyperlink" Target="https://www.finra.org/rules-guidance/notices/26-10" TargetMode="External"/><Relationship Id="rId48" Type="http://schemas.openxmlformats.org/officeDocument/2006/relationships/hyperlink" Target="https://www.finra.org/rules-guidance/notices/26-10" TargetMode="External"/><Relationship Id="rId8" Type="http://schemas.openxmlformats.org/officeDocument/2006/relationships/hyperlink" Target="mailto:idm@finra.org" TargetMode="External"/><Relationship Id="rId51" Type="http://schemas.openxmlformats.org/officeDocument/2006/relationships/hyperlink" Target="https://www.finra.org/rules-guidance/notices/26-10" TargetMode="External"/><Relationship Id="rId3" Type="http://schemas.openxmlformats.org/officeDocument/2006/relationships/settings" Target="settings.xml"/><Relationship Id="rId12" Type="http://schemas.openxmlformats.org/officeDocument/2006/relationships/hyperlink" Target="https://www.finra.org/rules-guidance/notices/26-10" TargetMode="External"/><Relationship Id="rId17" Type="http://schemas.openxmlformats.org/officeDocument/2006/relationships/hyperlink" Target="https://www.finra.org/rules-guidance/notices/26-10" TargetMode="External"/><Relationship Id="rId25" Type="http://schemas.openxmlformats.org/officeDocument/2006/relationships/hyperlink" Target="https://www.finra.org/rules-guidance/notices/26-10" TargetMode="External"/><Relationship Id="rId33" Type="http://schemas.openxmlformats.org/officeDocument/2006/relationships/hyperlink" Target="https://www.finra.org/rules-guidance/notices/26-10" TargetMode="External"/><Relationship Id="rId38" Type="http://schemas.openxmlformats.org/officeDocument/2006/relationships/hyperlink" Target="https://www.finra.org/rules-guidance/notices/26-10" TargetMode="External"/><Relationship Id="rId46" Type="http://schemas.openxmlformats.org/officeDocument/2006/relationships/hyperlink" Target="https://www.finra.org/rules-guidance/notices/26-10" TargetMode="External"/><Relationship Id="rId20" Type="http://schemas.openxmlformats.org/officeDocument/2006/relationships/hyperlink" Target="https://www.finra.org/rules-guidance/notices/26-10" TargetMode="External"/><Relationship Id="rId41" Type="http://schemas.openxmlformats.org/officeDocument/2006/relationships/hyperlink" Target="https://www.finra.org/rules-guidance/notices/26-10" TargetMode="External"/><Relationship Id="rId1" Type="http://schemas.openxmlformats.org/officeDocument/2006/relationships/numbering" Target="numbering.xml"/><Relationship Id="rId6" Type="http://schemas.openxmlformats.org/officeDocument/2006/relationships/hyperlink" Target="https://www.finra.org/sites/default/files/2026-04/Regulatory-Notice-26-10-Attachment-A.pdf" TargetMode="External"/><Relationship Id="rId15" Type="http://schemas.openxmlformats.org/officeDocument/2006/relationships/hyperlink" Target="https://www.finra.org/rules-guidance/notices/26-10" TargetMode="External"/><Relationship Id="rId23" Type="http://schemas.openxmlformats.org/officeDocument/2006/relationships/hyperlink" Target="https://www.finra.org/rules-guidance/notices/26-10" TargetMode="External"/><Relationship Id="rId28" Type="http://schemas.openxmlformats.org/officeDocument/2006/relationships/hyperlink" Target="https://www.finra.org/rules-guidance/notices/26-10" TargetMode="External"/><Relationship Id="rId36" Type="http://schemas.openxmlformats.org/officeDocument/2006/relationships/hyperlink" Target="https://www.finra.org/rules-guidance/notices/26-10" TargetMode="External"/><Relationship Id="rId49" Type="http://schemas.openxmlformats.org/officeDocument/2006/relationships/hyperlink" Target="https://www.finra.org/rules-guidance/notices/26-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2990</Words>
  <Characters>17047</Characters>
  <Application>Microsoft Office Word</Application>
  <DocSecurity>0</DocSecurity>
  <Lines>142</Lines>
  <Paragraphs>39</Paragraphs>
  <ScaleCrop>false</ScaleCrop>
  <Company/>
  <LinksUpToDate>false</LinksUpToDate>
  <CharactersWithSpaces>19998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Chitturi</dc:creator>
  <cp:keywords/>
  <dc:description/>
  <cp:lastModifiedBy>Geethika Chitturi</cp:lastModifiedBy>
  <cp:revision>1</cp:revision>
  <dcterms:created xsi:type="dcterms:W3CDTF">2026-05-22T03:36:00Z</dcterms:created>
  <dcterms:modified xsi:type="dcterms:W3CDTF">2026-05-22T03:38:00Z</dcterms:modified>
</cp:coreProperties>
</file>