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BA263" w14:textId="77777777" w:rsidR="006B2E87" w:rsidRPr="006B2E87" w:rsidRDefault="006B2E87" w:rsidP="006B2E87">
      <w:pPr>
        <w:pBdr>
          <w:top w:val="single" w:sz="2" w:space="0" w:color="auto"/>
          <w:left w:val="single" w:sz="2" w:space="0" w:color="auto"/>
          <w:bottom w:val="single" w:sz="2" w:space="0" w:color="auto"/>
          <w:right w:val="single" w:sz="2" w:space="0" w:color="auto"/>
        </w:pBdr>
        <w:rPr>
          <w:rFonts w:ascii="Georgia" w:hAnsi="Georgia"/>
          <w:color w:val="0B0B0B"/>
        </w:rPr>
      </w:pPr>
      <w:r w:rsidRPr="006B2E87">
        <w:rPr>
          <w:rFonts w:ascii="Georgia" w:hAnsi="Georgia"/>
          <w:color w:val="0B0B0B"/>
        </w:rPr>
        <w:t>This is a detailed, expert-level topic. Let me now compile a comprehensive response covering both the regulatory landscape and the functional requirements for pre-trade controls.</w:t>
      </w:r>
    </w:p>
    <w:p w14:paraId="1F5169F6" w14:textId="77777777" w:rsidR="006B2E87" w:rsidRPr="006B2E87" w:rsidRDefault="00C06E37" w:rsidP="006B2E87">
      <w:pPr>
        <w:rPr>
          <w:rFonts w:ascii="Georgia" w:hAnsi="Georgia"/>
          <w:sz w:val="21"/>
          <w:szCs w:val="21"/>
        </w:rPr>
      </w:pPr>
      <w:r w:rsidRPr="00C06E37">
        <w:rPr>
          <w:rFonts w:ascii="Times New Roman" w:hAnsi="Times New Roman"/>
          <w:noProof/>
          <w14:ligatures w14:val="standardContextual"/>
        </w:rPr>
        <w:pict w14:anchorId="7751C191">
          <v:rect id="_x0000_i1032" alt="" style="width:468pt;height:.05pt;mso-width-percent:0;mso-height-percent:0;mso-width-percent:0;mso-height-percent:0" o:hralign="center" o:hrstd="t" o:hr="t" fillcolor="#a0a0a0" stroked="f"/>
        </w:pict>
      </w:r>
    </w:p>
    <w:p w14:paraId="115ACC79" w14:textId="77777777" w:rsidR="006B2E87" w:rsidRPr="006B2E87" w:rsidRDefault="006B2E87" w:rsidP="006B2E87">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Georgia" w:hAnsi="Georgia"/>
          <w:b/>
          <w:bCs/>
          <w:sz w:val="36"/>
          <w:szCs w:val="36"/>
        </w:rPr>
      </w:pPr>
      <w:r w:rsidRPr="006B2E87">
        <w:rPr>
          <w:rFonts w:ascii="Georgia" w:hAnsi="Georgia"/>
          <w:b/>
          <w:bCs/>
          <w:sz w:val="36"/>
          <w:szCs w:val="36"/>
        </w:rPr>
        <w:t>Pre-Trade Controls for a Broker-Dealer: India ODI Regulation</w:t>
      </w:r>
    </w:p>
    <w:p w14:paraId="63630A15" w14:textId="77777777" w:rsidR="006B2E87" w:rsidRPr="006B2E87" w:rsidRDefault="00C06E37" w:rsidP="006B2E87">
      <w:pPr>
        <w:rPr>
          <w:rFonts w:ascii="Georgia" w:hAnsi="Georgia"/>
          <w:sz w:val="21"/>
          <w:szCs w:val="21"/>
        </w:rPr>
      </w:pPr>
      <w:r w:rsidRPr="00C06E37">
        <w:rPr>
          <w:rFonts w:ascii="Times New Roman" w:hAnsi="Times New Roman"/>
          <w:noProof/>
          <w14:ligatures w14:val="standardContextual"/>
        </w:rPr>
        <w:pict w14:anchorId="452B8E1E">
          <v:rect id="_x0000_i1031" alt="" style="width:468pt;height:.05pt;mso-width-percent:0;mso-height-percent:0;mso-width-percent:0;mso-height-percent:0" o:hralign="center" o:hrstd="t" o:hr="t" fillcolor="#a0a0a0" stroked="f"/>
        </w:pict>
      </w:r>
    </w:p>
    <w:p w14:paraId="6986B672" w14:textId="77777777" w:rsidR="006B2E87" w:rsidRPr="006B2E87" w:rsidRDefault="006B2E87" w:rsidP="006B2E87">
      <w:pPr>
        <w:pBdr>
          <w:top w:val="single" w:sz="2" w:space="0" w:color="auto"/>
          <w:left w:val="single" w:sz="2" w:space="0" w:color="auto"/>
          <w:bottom w:val="single" w:sz="2" w:space="0" w:color="auto"/>
          <w:right w:val="single" w:sz="2" w:space="0" w:color="auto"/>
        </w:pBdr>
        <w:spacing w:before="100" w:beforeAutospacing="1" w:after="100" w:afterAutospacing="1"/>
        <w:outlineLvl w:val="2"/>
        <w:rPr>
          <w:rFonts w:ascii="Georgia" w:hAnsi="Georgia"/>
          <w:b/>
          <w:bCs/>
          <w:sz w:val="27"/>
          <w:szCs w:val="27"/>
        </w:rPr>
      </w:pPr>
      <w:r w:rsidRPr="006B2E87">
        <w:rPr>
          <w:rFonts w:ascii="Georgia" w:hAnsi="Georgia"/>
          <w:b/>
          <w:bCs/>
          <w:sz w:val="27"/>
          <w:szCs w:val="27"/>
        </w:rPr>
        <w:t>Part 1 — Regulatory Framework: ODI/P-Notes (SEBI) &amp; INR Derivatives (RBI)</w:t>
      </w:r>
    </w:p>
    <w:p w14:paraId="7012260D" w14:textId="77777777" w:rsidR="006B2E87" w:rsidRPr="006B2E87" w:rsidRDefault="006B2E87" w:rsidP="006B2E87">
      <w:pPr>
        <w:pBdr>
          <w:top w:val="single" w:sz="2" w:space="0" w:color="auto"/>
          <w:left w:val="single" w:sz="2" w:space="0" w:color="auto"/>
          <w:bottom w:val="single" w:sz="2" w:space="0" w:color="auto"/>
          <w:right w:val="single" w:sz="2" w:space="0" w:color="auto"/>
        </w:pBdr>
        <w:rPr>
          <w:rFonts w:ascii="Georgia" w:hAnsi="Georgia"/>
          <w:color w:val="0B0B0B"/>
        </w:rPr>
      </w:pPr>
      <w:r w:rsidRPr="006B2E87">
        <w:rPr>
          <w:rFonts w:ascii="Georgia" w:hAnsi="Georgia"/>
          <w:color w:val="0B0B0B"/>
        </w:rPr>
        <w:t>There are </w:t>
      </w:r>
      <w:r w:rsidRPr="006B2E87">
        <w:rPr>
          <w:rFonts w:ascii="Georgia" w:hAnsi="Georgia"/>
          <w:b/>
          <w:bCs/>
          <w:color w:val="0B0B0B"/>
          <w:bdr w:val="single" w:sz="2" w:space="0" w:color="auto" w:frame="1"/>
        </w:rPr>
        <w:t>two distinct regulatory regimes</w:t>
      </w:r>
      <w:r w:rsidRPr="006B2E87">
        <w:rPr>
          <w:rFonts w:ascii="Georgia" w:hAnsi="Georgia"/>
          <w:color w:val="0B0B0B"/>
        </w:rPr>
        <w:t> that a broker-dealer must address when building pre-trade controls for India-linked offshore derivatives.</w:t>
      </w:r>
    </w:p>
    <w:p w14:paraId="034ABD7B" w14:textId="77777777" w:rsidR="006B2E87" w:rsidRPr="006B2E87" w:rsidRDefault="00C06E37" w:rsidP="006B2E87">
      <w:pPr>
        <w:rPr>
          <w:rFonts w:ascii="Georgia" w:hAnsi="Georgia"/>
          <w:sz w:val="21"/>
          <w:szCs w:val="21"/>
        </w:rPr>
      </w:pPr>
      <w:r w:rsidRPr="00C06E37">
        <w:rPr>
          <w:rFonts w:ascii="Times New Roman" w:hAnsi="Times New Roman"/>
          <w:noProof/>
          <w14:ligatures w14:val="standardContextual"/>
        </w:rPr>
        <w:pict w14:anchorId="22F69CB4">
          <v:rect id="_x0000_i1030" alt="" style="width:468pt;height:.05pt;mso-width-percent:0;mso-height-percent:0;mso-width-percent:0;mso-height-percent:0" o:hralign="center" o:hrstd="t" o:hr="t" fillcolor="#a0a0a0" stroked="f"/>
        </w:pict>
      </w:r>
    </w:p>
    <w:p w14:paraId="6553DBCB" w14:textId="77777777" w:rsidR="006B2E87" w:rsidRPr="006B2E87" w:rsidRDefault="006B2E87" w:rsidP="006B2E87">
      <w:pPr>
        <w:pBdr>
          <w:top w:val="single" w:sz="2" w:space="0" w:color="auto"/>
          <w:left w:val="single" w:sz="2" w:space="0" w:color="auto"/>
          <w:bottom w:val="single" w:sz="2" w:space="0" w:color="auto"/>
          <w:right w:val="single" w:sz="2" w:space="0" w:color="auto"/>
        </w:pBdr>
        <w:spacing w:before="100" w:beforeAutospacing="1" w:after="100" w:afterAutospacing="1"/>
        <w:outlineLvl w:val="3"/>
        <w:rPr>
          <w:rFonts w:ascii="Georgia" w:hAnsi="Georgia"/>
          <w:b/>
          <w:bCs/>
        </w:rPr>
      </w:pPr>
      <w:r w:rsidRPr="006B2E87">
        <w:rPr>
          <w:rFonts w:ascii="Georgia" w:hAnsi="Georgia"/>
          <w:b/>
          <w:bCs/>
        </w:rPr>
        <w:t>A. SEBI ODI / P-Notes Regime (Equity-Linked ODIs)</w:t>
      </w:r>
    </w:p>
    <w:p w14:paraId="5D23D8DB" w14:textId="77777777" w:rsidR="006B2E87" w:rsidRPr="006B2E87" w:rsidRDefault="006B2E87" w:rsidP="006B2E87">
      <w:pPr>
        <w:pBdr>
          <w:top w:val="single" w:sz="2" w:space="0" w:color="auto"/>
          <w:left w:val="single" w:sz="2" w:space="0" w:color="auto"/>
          <w:bottom w:val="single" w:sz="2" w:space="0" w:color="auto"/>
          <w:right w:val="single" w:sz="2" w:space="0" w:color="auto"/>
        </w:pBdr>
        <w:rPr>
          <w:rFonts w:ascii="Georgia" w:hAnsi="Georgia"/>
          <w:color w:val="0B0B0B"/>
        </w:rPr>
      </w:pPr>
      <w:r w:rsidRPr="006B2E87">
        <w:rPr>
          <w:rFonts w:ascii="Georgia" w:hAnsi="Georgia"/>
          <w:b/>
          <w:bCs/>
          <w:color w:val="0B0B0B"/>
          <w:bdr w:val="single" w:sz="2" w:space="0" w:color="auto" w:frame="1"/>
        </w:rPr>
        <w:t>What is an ODI?</w:t>
      </w:r>
      <w:r w:rsidRPr="006B2E87">
        <w:rPr>
          <w:rFonts w:ascii="Georgia" w:hAnsi="Georgia"/>
          <w:color w:val="0B0B0B"/>
        </w:rPr>
        <w:t> An Offshore Derivative Instrument (ODI), commonly known as a Participatory Note or P-note, is used by foreign investors wishing to invest in Indian markets without registering directly with SEBI. As per the FPI Regulations, an ODI is an instrument issued by an FPI against securities held by it in India as its underlying. </w:t>
      </w:r>
      <w:hyperlink r:id="rId5" w:tgtFrame="_blank" w:history="1">
        <w:r w:rsidRPr="006B2E87">
          <w:rPr>
            <w:rFonts w:ascii="var(--font-ui)" w:hAnsi="var(--font-ui)"/>
            <w:color w:val="0000FF"/>
            <w:bdr w:val="single" w:sz="2" w:space="0" w:color="auto" w:frame="1"/>
          </w:rPr>
          <w:t>IRCCL</w:t>
        </w:r>
      </w:hyperlink>
    </w:p>
    <w:p w14:paraId="43433FCC" w14:textId="77777777" w:rsidR="006B2E87" w:rsidRPr="006B2E87" w:rsidRDefault="006B2E87" w:rsidP="006B2E87">
      <w:pPr>
        <w:pBdr>
          <w:top w:val="single" w:sz="2" w:space="0" w:color="auto"/>
          <w:left w:val="single" w:sz="2" w:space="0" w:color="auto"/>
          <w:bottom w:val="single" w:sz="2" w:space="0" w:color="auto"/>
          <w:right w:val="single" w:sz="2" w:space="0" w:color="auto"/>
        </w:pBdr>
        <w:rPr>
          <w:rFonts w:ascii="Georgia" w:hAnsi="Georgia"/>
          <w:color w:val="0B0B0B"/>
        </w:rPr>
      </w:pPr>
      <w:r w:rsidRPr="006B2E87">
        <w:rPr>
          <w:rFonts w:ascii="Georgia" w:hAnsi="Georgia"/>
          <w:b/>
          <w:bCs/>
          <w:color w:val="0B0B0B"/>
          <w:bdr w:val="single" w:sz="2" w:space="0" w:color="auto" w:frame="1"/>
        </w:rPr>
        <w:t>Key SEBI Circular — December 17, 2024</w:t>
      </w:r>
    </w:p>
    <w:p w14:paraId="05F340B7" w14:textId="77777777" w:rsidR="006B2E87" w:rsidRPr="006B2E87" w:rsidRDefault="006B2E87" w:rsidP="006B2E87">
      <w:pPr>
        <w:pBdr>
          <w:top w:val="single" w:sz="2" w:space="0" w:color="auto"/>
          <w:left w:val="single" w:sz="2" w:space="0" w:color="auto"/>
          <w:bottom w:val="single" w:sz="2" w:space="0" w:color="auto"/>
          <w:right w:val="single" w:sz="2" w:space="0" w:color="auto"/>
        </w:pBdr>
        <w:rPr>
          <w:rFonts w:ascii="Georgia" w:hAnsi="Georgia"/>
          <w:color w:val="0B0B0B"/>
        </w:rPr>
      </w:pPr>
      <w:r w:rsidRPr="006B2E87">
        <w:rPr>
          <w:rFonts w:ascii="Georgia" w:hAnsi="Georgia"/>
          <w:color w:val="0B0B0B"/>
        </w:rPr>
        <w:t>SEBI introduced stricter regulations on December 17, 2024, to govern ODIs and FPIs. These updates, effective immediately for most participants, aim to enhance oversight of offshore derivative transactions in India's capital markets. FPIs are no longer permitted to issue ODIs with derivatives as underlying assets. </w:t>
      </w:r>
      <w:hyperlink r:id="rId6" w:tgtFrame="_blank" w:history="1">
        <w:r w:rsidRPr="006B2E87">
          <w:rPr>
            <w:rFonts w:ascii="var(--font-ui)" w:hAnsi="var(--font-ui)"/>
            <w:color w:val="0000FF"/>
            <w:bdr w:val="single" w:sz="2" w:space="0" w:color="auto" w:frame="1"/>
          </w:rPr>
          <w:t>India Briefing</w:t>
        </w:r>
      </w:hyperlink>
    </w:p>
    <w:p w14:paraId="60066A85" w14:textId="77777777" w:rsidR="006B2E87" w:rsidRPr="006B2E87" w:rsidRDefault="006B2E87" w:rsidP="006B2E87">
      <w:pPr>
        <w:pBdr>
          <w:top w:val="single" w:sz="2" w:space="0" w:color="auto"/>
          <w:left w:val="single" w:sz="2" w:space="0" w:color="auto"/>
          <w:bottom w:val="single" w:sz="2" w:space="0" w:color="auto"/>
          <w:right w:val="single" w:sz="2" w:space="0" w:color="auto"/>
        </w:pBdr>
        <w:rPr>
          <w:rFonts w:ascii="Georgia" w:hAnsi="Georgia"/>
          <w:color w:val="0B0B0B"/>
        </w:rPr>
      </w:pPr>
      <w:r w:rsidRPr="006B2E87">
        <w:rPr>
          <w:rFonts w:ascii="Georgia" w:hAnsi="Georgia"/>
          <w:color w:val="0B0B0B"/>
        </w:rPr>
        <w:t>The specific constraints under this circular are:</w:t>
      </w:r>
    </w:p>
    <w:p w14:paraId="71315970" w14:textId="77777777" w:rsidR="006B2E87" w:rsidRPr="006B2E87" w:rsidRDefault="006B2E87" w:rsidP="006B2E87">
      <w:pPr>
        <w:numPr>
          <w:ilvl w:val="0"/>
          <w:numId w:val="1"/>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Prohibition on derivatives as ODI underlying:</w:t>
      </w:r>
      <w:r w:rsidRPr="006B2E87">
        <w:rPr>
          <w:rFonts w:ascii="var(--font-claude-response)" w:hAnsi="var(--font-claude-response)"/>
          <w:color w:val="0B0B0B"/>
          <w:sz w:val="21"/>
          <w:szCs w:val="21"/>
        </w:rPr>
        <w:t> FPIs have been given until December 16, 2025 to comply with (a) the separate registration requirement, (b) the prohibition on hedging of ODI positions with derivatives, and (c) the prohibition on issuance of ODIs with derivatives as underlying. Previously, FPIs could issue ODIs with derivatives as underlying and hedge such exposure with derivatives positions, subject to holding cash equity and a short futures position in the same scrip on a one-to-one basis. </w:t>
      </w:r>
      <w:hyperlink r:id="rId7" w:tgtFrame="_blank" w:history="1">
        <w:r w:rsidRPr="006B2E87">
          <w:rPr>
            <w:rFonts w:ascii="var(--font-ui)" w:hAnsi="var(--font-ui)"/>
            <w:color w:val="0000FF"/>
            <w:sz w:val="21"/>
            <w:szCs w:val="21"/>
            <w:bdr w:val="single" w:sz="2" w:space="0" w:color="auto" w:frame="1"/>
          </w:rPr>
          <w:t>Lexology</w:t>
        </w:r>
      </w:hyperlink>
    </w:p>
    <w:p w14:paraId="0D4117D3" w14:textId="77777777" w:rsidR="006B2E87" w:rsidRPr="006B2E87" w:rsidRDefault="006B2E87" w:rsidP="006B2E87">
      <w:pPr>
        <w:numPr>
          <w:ilvl w:val="0"/>
          <w:numId w:val="1"/>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Granular disclosure requirements:</w:t>
      </w:r>
      <w:r w:rsidRPr="006B2E87">
        <w:rPr>
          <w:rFonts w:ascii="var(--font-claude-response)" w:hAnsi="var(--font-claude-response)"/>
          <w:color w:val="0B0B0B"/>
          <w:sz w:val="21"/>
          <w:szCs w:val="21"/>
        </w:rPr>
        <w:t> Effective from November 17, 2025, pursuant to a SEBI circular dated May 16, 2025, the rules mandate full transfer tracking, sub-account look-through, and end-investor identification for P-notes. </w:t>
      </w:r>
      <w:hyperlink r:id="rId8" w:tgtFrame="_blank" w:history="1">
        <w:r w:rsidRPr="006B2E87">
          <w:rPr>
            <w:rFonts w:ascii="var(--font-ui)" w:hAnsi="var(--font-ui)"/>
            <w:color w:val="0000FF"/>
            <w:sz w:val="21"/>
            <w:szCs w:val="21"/>
            <w:bdr w:val="single" w:sz="2" w:space="0" w:color="auto" w:frame="1"/>
          </w:rPr>
          <w:t>IndiaCorpLaw</w:t>
        </w:r>
      </w:hyperlink>
    </w:p>
    <w:p w14:paraId="153BAFFA" w14:textId="77777777" w:rsidR="006B2E87" w:rsidRPr="006B2E87" w:rsidRDefault="006B2E87" w:rsidP="006B2E87">
      <w:pPr>
        <w:numPr>
          <w:ilvl w:val="0"/>
          <w:numId w:val="1"/>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Subscriber eligibility:</w:t>
      </w:r>
      <w:r w:rsidRPr="006B2E87">
        <w:rPr>
          <w:rFonts w:ascii="var(--font-claude-response)" w:hAnsi="var(--font-claude-response)"/>
          <w:color w:val="0B0B0B"/>
          <w:sz w:val="21"/>
          <w:szCs w:val="21"/>
        </w:rPr>
        <w:t> ODIs can only be issued to entities regulated by a foreign regulatory authority. The FPI must disclose all information about the parties involved and comply with KYC rules, and P-note holders are subjected to a diligence process. </w:t>
      </w:r>
      <w:hyperlink r:id="rId9" w:tgtFrame="_blank" w:history="1">
        <w:r w:rsidRPr="006B2E87">
          <w:rPr>
            <w:rFonts w:ascii="var(--font-ui)" w:hAnsi="var(--font-ui)"/>
            <w:color w:val="0000FF"/>
            <w:sz w:val="21"/>
            <w:szCs w:val="21"/>
            <w:bdr w:val="single" w:sz="2" w:space="0" w:color="auto" w:frame="1"/>
          </w:rPr>
          <w:t>IRCCL</w:t>
        </w:r>
      </w:hyperlink>
    </w:p>
    <w:p w14:paraId="2DDAD7BF" w14:textId="77777777" w:rsidR="006B2E87" w:rsidRPr="006B2E87" w:rsidRDefault="006B2E87" w:rsidP="006B2E87">
      <w:pPr>
        <w:numPr>
          <w:ilvl w:val="0"/>
          <w:numId w:val="1"/>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Regulatory arbitrage concern:</w:t>
      </w:r>
      <w:r w:rsidRPr="006B2E87">
        <w:rPr>
          <w:rFonts w:ascii="var(--font-claude-response)" w:hAnsi="var(--font-claude-response)"/>
          <w:color w:val="0B0B0B"/>
          <w:sz w:val="21"/>
          <w:szCs w:val="21"/>
        </w:rPr>
        <w:t> SEBI must adopt a unified regulatory framework that looks beyond formal labels and targets the economic substance of exposure, applying jurisdiction-neutral rules and coordinated supervision between SEBI and RBI, with equivalent regulatory scrutiny on all instruments that replicate ODI economics. </w:t>
      </w:r>
      <w:hyperlink r:id="rId10" w:tgtFrame="_blank" w:history="1">
        <w:r w:rsidRPr="006B2E87">
          <w:rPr>
            <w:rFonts w:ascii="var(--font-ui)" w:hAnsi="var(--font-ui)"/>
            <w:color w:val="0000FF"/>
            <w:sz w:val="21"/>
            <w:szCs w:val="21"/>
            <w:bdr w:val="single" w:sz="2" w:space="0" w:color="auto" w:frame="1"/>
          </w:rPr>
          <w:t>IndiaCorpLaw</w:t>
        </w:r>
      </w:hyperlink>
    </w:p>
    <w:p w14:paraId="3F9390A1" w14:textId="77777777" w:rsidR="006B2E87" w:rsidRPr="006B2E87" w:rsidRDefault="00C06E37" w:rsidP="006B2E87">
      <w:pPr>
        <w:rPr>
          <w:rFonts w:ascii="Georgia" w:hAnsi="Georgia"/>
          <w:sz w:val="21"/>
          <w:szCs w:val="21"/>
        </w:rPr>
      </w:pPr>
      <w:r w:rsidRPr="00C06E37">
        <w:rPr>
          <w:rFonts w:ascii="Times New Roman" w:hAnsi="Times New Roman"/>
          <w:noProof/>
          <w14:ligatures w14:val="standardContextual"/>
        </w:rPr>
        <w:lastRenderedPageBreak/>
        <w:pict w14:anchorId="38605035">
          <v:rect id="_x0000_i1029" alt="" style="width:468pt;height:.05pt;mso-width-percent:0;mso-height-percent:0;mso-width-percent:0;mso-height-percent:0" o:hralign="center" o:hrstd="t" o:hr="t" fillcolor="#a0a0a0" stroked="f"/>
        </w:pict>
      </w:r>
    </w:p>
    <w:p w14:paraId="1B204CF4" w14:textId="77777777" w:rsidR="006B2E87" w:rsidRPr="006B2E87" w:rsidRDefault="006B2E87" w:rsidP="006B2E87">
      <w:pPr>
        <w:pBdr>
          <w:top w:val="single" w:sz="2" w:space="0" w:color="auto"/>
          <w:left w:val="single" w:sz="2" w:space="0" w:color="auto"/>
          <w:bottom w:val="single" w:sz="2" w:space="0" w:color="auto"/>
          <w:right w:val="single" w:sz="2" w:space="0" w:color="auto"/>
        </w:pBdr>
        <w:spacing w:before="100" w:beforeAutospacing="1" w:after="100" w:afterAutospacing="1"/>
        <w:outlineLvl w:val="3"/>
        <w:rPr>
          <w:rFonts w:ascii="Georgia" w:hAnsi="Georgia"/>
          <w:b/>
          <w:bCs/>
        </w:rPr>
      </w:pPr>
      <w:r w:rsidRPr="006B2E87">
        <w:rPr>
          <w:rFonts w:ascii="Georgia" w:hAnsi="Georgia"/>
          <w:b/>
          <w:bCs/>
        </w:rPr>
        <w:t>B. RBI INR NDF / Offshore Derivatives Regime (FX &amp; Rates)</w:t>
      </w:r>
    </w:p>
    <w:p w14:paraId="4134E5A9" w14:textId="77777777" w:rsidR="006B2E87" w:rsidRPr="006B2E87" w:rsidRDefault="006B2E87" w:rsidP="006B2E87">
      <w:pPr>
        <w:pBdr>
          <w:top w:val="single" w:sz="2" w:space="0" w:color="auto"/>
          <w:left w:val="single" w:sz="2" w:space="0" w:color="auto"/>
          <w:bottom w:val="single" w:sz="2" w:space="0" w:color="auto"/>
          <w:right w:val="single" w:sz="2" w:space="0" w:color="auto"/>
        </w:pBdr>
        <w:rPr>
          <w:rFonts w:ascii="Georgia" w:hAnsi="Georgia"/>
          <w:color w:val="0B0B0B"/>
        </w:rPr>
      </w:pPr>
      <w:r w:rsidRPr="006B2E87">
        <w:rPr>
          <w:rFonts w:ascii="Georgia" w:hAnsi="Georgia"/>
          <w:b/>
          <w:bCs/>
          <w:color w:val="0B0B0B"/>
          <w:bdr w:val="single" w:sz="2" w:space="0" w:color="auto" w:frame="1"/>
        </w:rPr>
        <w:t>March–April 2026 RBI Emergency Measures</w:t>
      </w:r>
    </w:p>
    <w:p w14:paraId="255B6701" w14:textId="77777777" w:rsidR="006B2E87" w:rsidRPr="006B2E87" w:rsidRDefault="006B2E87" w:rsidP="006B2E87">
      <w:pPr>
        <w:pBdr>
          <w:top w:val="single" w:sz="2" w:space="0" w:color="auto"/>
          <w:left w:val="single" w:sz="2" w:space="0" w:color="auto"/>
          <w:bottom w:val="single" w:sz="2" w:space="0" w:color="auto"/>
          <w:right w:val="single" w:sz="2" w:space="0" w:color="auto"/>
        </w:pBdr>
        <w:rPr>
          <w:rFonts w:ascii="Georgia" w:hAnsi="Georgia"/>
          <w:color w:val="0B0B0B"/>
        </w:rPr>
      </w:pPr>
      <w:r w:rsidRPr="006B2E87">
        <w:rPr>
          <w:rFonts w:ascii="Georgia" w:hAnsi="Georgia"/>
          <w:color w:val="0B0B0B"/>
        </w:rPr>
        <w:t>The RBI banned authorised dealers from offering non-deliverable forward (NDF) contracts involving the rupee, prohibited the rebooking of cancelled derivative contracts, and barred forex derivative transactions with related parties. The rules were introduced to curb speculative trading, close arbitrage loopholes between onshore and offshore markets, and stabilise the Indian rupee. </w:t>
      </w:r>
      <w:hyperlink r:id="rId11" w:tgtFrame="_blank" w:history="1">
        <w:r w:rsidRPr="006B2E87">
          <w:rPr>
            <w:rFonts w:ascii="var(--font-ui)" w:hAnsi="var(--font-ui)"/>
            <w:color w:val="0000FF"/>
            <w:bdr w:val="single" w:sz="2" w:space="0" w:color="auto" w:frame="1"/>
          </w:rPr>
          <w:t>Multibagg AI</w:t>
        </w:r>
      </w:hyperlink>
    </w:p>
    <w:p w14:paraId="3E8B4657" w14:textId="77777777" w:rsidR="006B2E87" w:rsidRPr="006B2E87" w:rsidRDefault="006B2E87" w:rsidP="006B2E87">
      <w:pPr>
        <w:pBdr>
          <w:top w:val="single" w:sz="2" w:space="0" w:color="auto"/>
          <w:left w:val="single" w:sz="2" w:space="0" w:color="auto"/>
          <w:bottom w:val="single" w:sz="2" w:space="0" w:color="auto"/>
          <w:right w:val="single" w:sz="2" w:space="0" w:color="auto"/>
        </w:pBdr>
        <w:rPr>
          <w:rFonts w:ascii="Georgia" w:hAnsi="Georgia"/>
          <w:color w:val="0B0B0B"/>
        </w:rPr>
      </w:pPr>
      <w:r w:rsidRPr="006B2E87">
        <w:rPr>
          <w:rFonts w:ascii="Georgia" w:hAnsi="Georgia"/>
          <w:color w:val="0B0B0B"/>
        </w:rPr>
        <w:t>Authorised Dealers shall not offer non-deliverable derivative contracts involving INR to resident or non-resident users. Authorised Dealers may, however, continue to offer deliverable foreign exchange derivatives. </w:t>
      </w:r>
      <w:hyperlink r:id="rId12" w:tgtFrame="_blank" w:history="1">
        <w:r w:rsidRPr="006B2E87">
          <w:rPr>
            <w:rFonts w:ascii="var(--font-ui)" w:hAnsi="var(--font-ui)"/>
            <w:color w:val="0000FF"/>
            <w:bdr w:val="single" w:sz="2" w:space="0" w:color="auto" w:frame="1"/>
          </w:rPr>
          <w:t>Worldtradescanner</w:t>
        </w:r>
      </w:hyperlink>
    </w:p>
    <w:p w14:paraId="00163B32" w14:textId="77777777" w:rsidR="006B2E87" w:rsidRPr="006B2E87" w:rsidRDefault="006B2E87" w:rsidP="006B2E87">
      <w:pPr>
        <w:pBdr>
          <w:top w:val="single" w:sz="2" w:space="0" w:color="auto"/>
          <w:left w:val="single" w:sz="2" w:space="0" w:color="auto"/>
          <w:bottom w:val="single" w:sz="2" w:space="0" w:color="auto"/>
          <w:right w:val="single" w:sz="2" w:space="0" w:color="auto"/>
        </w:pBdr>
        <w:rPr>
          <w:rFonts w:ascii="Georgia" w:hAnsi="Georgia"/>
          <w:color w:val="0B0B0B"/>
        </w:rPr>
      </w:pPr>
      <w:r w:rsidRPr="006B2E87">
        <w:rPr>
          <w:rFonts w:ascii="Georgia" w:hAnsi="Georgia"/>
          <w:b/>
          <w:bCs/>
          <w:color w:val="0B0B0B"/>
          <w:bdr w:val="single" w:sz="2" w:space="0" w:color="auto" w:frame="1"/>
        </w:rPr>
        <w:t>April 20, 2026 Partial Easing</w:t>
      </w:r>
    </w:p>
    <w:p w14:paraId="6FE99A7E" w14:textId="77777777" w:rsidR="006B2E87" w:rsidRPr="006B2E87" w:rsidRDefault="006B2E87" w:rsidP="006B2E87">
      <w:pPr>
        <w:pBdr>
          <w:top w:val="single" w:sz="2" w:space="0" w:color="auto"/>
          <w:left w:val="single" w:sz="2" w:space="0" w:color="auto"/>
          <w:bottom w:val="single" w:sz="2" w:space="0" w:color="auto"/>
          <w:right w:val="single" w:sz="2" w:space="0" w:color="auto"/>
        </w:pBdr>
        <w:rPr>
          <w:rFonts w:ascii="Georgia" w:hAnsi="Georgia"/>
          <w:color w:val="0B0B0B"/>
        </w:rPr>
      </w:pPr>
      <w:r w:rsidRPr="006B2E87">
        <w:rPr>
          <w:rFonts w:ascii="Georgia" w:hAnsi="Georgia"/>
          <w:color w:val="0B0B0B"/>
        </w:rPr>
        <w:t>Authorised dealers are no longer required to restrict offering NDF derivative contracts involving the rupee to residents or non-residents. They can also permit users to rebook foreign exchange derivative contracts linked to the rupee. However, the RBI clarified that authorised dealers cannot enter into rupee-denominated foreign exchange derivative contracts with related parties. Exceptions are limited to cancellation or rollover of existing contracts and back-to-back transactions with unrelated non-resident users. Banks must continue to cap their net open positions in the deliverable rupee market at $100 million at the end of each business day. </w:t>
      </w:r>
      <w:hyperlink r:id="rId13" w:tgtFrame="_blank" w:history="1">
        <w:r w:rsidRPr="006B2E87">
          <w:rPr>
            <w:rFonts w:ascii="var(--font-ui)" w:hAnsi="var(--font-ui)"/>
            <w:color w:val="0000FF"/>
            <w:bdr w:val="single" w:sz="2" w:space="0" w:color="auto" w:frame="1"/>
          </w:rPr>
          <w:t>5paisa</w:t>
        </w:r>
      </w:hyperlink>
    </w:p>
    <w:p w14:paraId="6FD8CFDA" w14:textId="77777777" w:rsidR="006B2E87" w:rsidRPr="006B2E87" w:rsidRDefault="006B2E87" w:rsidP="006B2E87">
      <w:pPr>
        <w:pBdr>
          <w:top w:val="single" w:sz="2" w:space="0" w:color="auto"/>
          <w:left w:val="single" w:sz="2" w:space="0" w:color="auto"/>
          <w:bottom w:val="single" w:sz="2" w:space="0" w:color="auto"/>
          <w:right w:val="single" w:sz="2" w:space="0" w:color="auto"/>
        </w:pBdr>
        <w:rPr>
          <w:rFonts w:ascii="Georgia" w:hAnsi="Georgia"/>
          <w:color w:val="0B0B0B"/>
        </w:rPr>
      </w:pPr>
      <w:r w:rsidRPr="006B2E87">
        <w:rPr>
          <w:rFonts w:ascii="Georgia" w:hAnsi="Georgia"/>
          <w:b/>
          <w:bCs/>
          <w:color w:val="0B0B0B"/>
          <w:bdr w:val="single" w:sz="2" w:space="0" w:color="auto" w:frame="1"/>
        </w:rPr>
        <w:t>RBI Draft Directions — February 2026</w:t>
      </w:r>
    </w:p>
    <w:p w14:paraId="6BAAE43D" w14:textId="77777777" w:rsidR="006B2E87" w:rsidRPr="006B2E87" w:rsidRDefault="006B2E87" w:rsidP="006B2E87">
      <w:pPr>
        <w:pBdr>
          <w:top w:val="single" w:sz="2" w:space="0" w:color="auto"/>
          <w:left w:val="single" w:sz="2" w:space="0" w:color="auto"/>
          <w:bottom w:val="single" w:sz="2" w:space="0" w:color="auto"/>
          <w:right w:val="single" w:sz="2" w:space="0" w:color="auto"/>
        </w:pBdr>
        <w:rPr>
          <w:rFonts w:ascii="Georgia" w:hAnsi="Georgia"/>
          <w:color w:val="0B0B0B"/>
        </w:rPr>
      </w:pPr>
      <w:r w:rsidRPr="006B2E87">
        <w:rPr>
          <w:rFonts w:ascii="Georgia" w:hAnsi="Georgia"/>
          <w:color w:val="0B0B0B"/>
        </w:rPr>
        <w:t>On February 17, 2026, the RBI released draft Directions on Foreign Exchange Dealings of Authorised Persons. The proposed changes provide greater flexibility in foreign exchange products, derivative transactions, hedging, and balance sheet management, while easing reporting requirements. Authorised Dealers may undertake specified OTC, exchange-traded, and non-deliverable derivative contracts, including INR-linked instruments, subject to regulatory safeguards. The draft also revises net open position limits and governance requirements. </w:t>
      </w:r>
      <w:hyperlink r:id="rId14" w:tgtFrame="_blank" w:history="1">
        <w:r w:rsidRPr="006B2E87">
          <w:rPr>
            <w:rFonts w:ascii="var(--font-ui)" w:hAnsi="var(--font-ui)"/>
            <w:color w:val="0000FF"/>
            <w:bdr w:val="single" w:sz="2" w:space="0" w:color="auto" w:frame="1"/>
          </w:rPr>
          <w:t>TaxGuru</w:t>
        </w:r>
      </w:hyperlink>
    </w:p>
    <w:p w14:paraId="1602F6B8" w14:textId="77777777" w:rsidR="006B2E87" w:rsidRPr="006B2E87" w:rsidRDefault="00C06E37" w:rsidP="006B2E87">
      <w:pPr>
        <w:rPr>
          <w:rFonts w:ascii="Georgia" w:hAnsi="Georgia"/>
          <w:sz w:val="21"/>
          <w:szCs w:val="21"/>
        </w:rPr>
      </w:pPr>
      <w:r w:rsidRPr="00C06E37">
        <w:rPr>
          <w:rFonts w:ascii="Times New Roman" w:hAnsi="Times New Roman"/>
          <w:noProof/>
          <w14:ligatures w14:val="standardContextual"/>
        </w:rPr>
        <w:pict w14:anchorId="2698F2FF">
          <v:rect id="_x0000_i1028" alt="" style="width:468pt;height:.05pt;mso-width-percent:0;mso-height-percent:0;mso-width-percent:0;mso-height-percent:0" o:hralign="center" o:hrstd="t" o:hr="t" fillcolor="#a0a0a0" stroked="f"/>
        </w:pict>
      </w:r>
    </w:p>
    <w:p w14:paraId="0ABF9C61" w14:textId="77777777" w:rsidR="006B2E87" w:rsidRPr="006B2E87" w:rsidRDefault="006B2E87" w:rsidP="006B2E87">
      <w:pPr>
        <w:pBdr>
          <w:top w:val="single" w:sz="2" w:space="0" w:color="auto"/>
          <w:left w:val="single" w:sz="2" w:space="0" w:color="auto"/>
          <w:bottom w:val="single" w:sz="2" w:space="0" w:color="auto"/>
          <w:right w:val="single" w:sz="2" w:space="0" w:color="auto"/>
        </w:pBdr>
        <w:spacing w:before="100" w:beforeAutospacing="1" w:after="100" w:afterAutospacing="1"/>
        <w:outlineLvl w:val="2"/>
        <w:rPr>
          <w:rFonts w:ascii="Georgia" w:hAnsi="Georgia"/>
          <w:b/>
          <w:bCs/>
          <w:sz w:val="27"/>
          <w:szCs w:val="27"/>
        </w:rPr>
      </w:pPr>
      <w:r w:rsidRPr="006B2E87">
        <w:rPr>
          <w:rFonts w:ascii="Georgia" w:hAnsi="Georgia"/>
          <w:b/>
          <w:bCs/>
          <w:sz w:val="27"/>
          <w:szCs w:val="27"/>
        </w:rPr>
        <w:t>Part 2 — Functional Requirements: Pre-Trade Control System</w:t>
      </w:r>
    </w:p>
    <w:p w14:paraId="73DEFD2B" w14:textId="77777777" w:rsidR="006B2E87" w:rsidRPr="006B2E87" w:rsidRDefault="006B2E87" w:rsidP="006B2E87">
      <w:pPr>
        <w:pBdr>
          <w:top w:val="single" w:sz="2" w:space="0" w:color="auto"/>
          <w:left w:val="single" w:sz="2" w:space="0" w:color="auto"/>
          <w:bottom w:val="single" w:sz="2" w:space="0" w:color="auto"/>
          <w:right w:val="single" w:sz="2" w:space="0" w:color="auto"/>
        </w:pBdr>
        <w:spacing w:before="100" w:beforeAutospacing="1" w:after="100" w:afterAutospacing="1"/>
        <w:outlineLvl w:val="3"/>
        <w:rPr>
          <w:rFonts w:ascii="Georgia" w:hAnsi="Georgia"/>
          <w:b/>
          <w:bCs/>
        </w:rPr>
      </w:pPr>
      <w:r w:rsidRPr="006B2E87">
        <w:rPr>
          <w:rFonts w:ascii="Georgia" w:hAnsi="Georgia"/>
          <w:b/>
          <w:bCs/>
        </w:rPr>
        <w:t>1. In-Scope Trade Identification</w:t>
      </w:r>
    </w:p>
    <w:p w14:paraId="4CA342D9" w14:textId="77777777" w:rsidR="006B2E87" w:rsidRPr="006B2E87" w:rsidRDefault="006B2E87" w:rsidP="006B2E87">
      <w:pPr>
        <w:pBdr>
          <w:top w:val="single" w:sz="2" w:space="0" w:color="auto"/>
          <w:left w:val="single" w:sz="2" w:space="0" w:color="auto"/>
          <w:bottom w:val="single" w:sz="2" w:space="0" w:color="auto"/>
          <w:right w:val="single" w:sz="2" w:space="0" w:color="auto"/>
        </w:pBdr>
        <w:rPr>
          <w:rFonts w:ascii="Georgia" w:hAnsi="Georgia"/>
          <w:color w:val="0B0B0B"/>
        </w:rPr>
      </w:pPr>
      <w:r w:rsidRPr="006B2E87">
        <w:rPr>
          <w:rFonts w:ascii="Georgia" w:hAnsi="Georgia"/>
          <w:color w:val="0B0B0B"/>
        </w:rPr>
        <w:t>The system must classify every order at the point of entry against the following dimensions: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86"/>
        <w:gridCol w:w="7468"/>
      </w:tblGrid>
      <w:tr w:rsidR="006B2E87" w:rsidRPr="006B2E87" w14:paraId="031E02BB" w14:textId="77777777">
        <w:trPr>
          <w:tblHeader/>
        </w:trPr>
        <w:tc>
          <w:tcPr>
            <w:tcW w:w="0" w:type="auto"/>
            <w:tcBorders>
              <w:top w:val="single" w:sz="2" w:space="0" w:color="auto"/>
              <w:left w:val="single" w:sz="2" w:space="0" w:color="auto"/>
              <w:bottom w:val="nil"/>
              <w:right w:val="single" w:sz="2" w:space="0" w:color="auto"/>
            </w:tcBorders>
            <w:hideMark/>
          </w:tcPr>
          <w:p w14:paraId="2E484BC9" w14:textId="77777777" w:rsidR="006B2E87" w:rsidRPr="006B2E87" w:rsidRDefault="006B2E87" w:rsidP="006B2E87">
            <w:pPr>
              <w:jc w:val="center"/>
              <w:rPr>
                <w:rFonts w:ascii="Times New Roman" w:hAnsi="Times New Roman"/>
                <w:b/>
                <w:bCs/>
              </w:rPr>
            </w:pPr>
            <w:r w:rsidRPr="006B2E87">
              <w:rPr>
                <w:rFonts w:ascii="Times New Roman" w:hAnsi="Times New Roman"/>
                <w:b/>
                <w:bCs/>
              </w:rPr>
              <w:t>Dimension</w:t>
            </w:r>
          </w:p>
        </w:tc>
        <w:tc>
          <w:tcPr>
            <w:tcW w:w="0" w:type="auto"/>
            <w:tcBorders>
              <w:top w:val="single" w:sz="2" w:space="0" w:color="auto"/>
              <w:left w:val="single" w:sz="2" w:space="0" w:color="auto"/>
              <w:bottom w:val="nil"/>
              <w:right w:val="single" w:sz="2" w:space="0" w:color="auto"/>
            </w:tcBorders>
            <w:hideMark/>
          </w:tcPr>
          <w:p w14:paraId="26902667" w14:textId="77777777" w:rsidR="006B2E87" w:rsidRPr="006B2E87" w:rsidRDefault="006B2E87" w:rsidP="006B2E87">
            <w:pPr>
              <w:jc w:val="center"/>
              <w:rPr>
                <w:rFonts w:ascii="Times New Roman" w:hAnsi="Times New Roman"/>
                <w:b/>
                <w:bCs/>
              </w:rPr>
            </w:pPr>
            <w:r w:rsidRPr="006B2E87">
              <w:rPr>
                <w:rFonts w:ascii="Times New Roman" w:hAnsi="Times New Roman"/>
                <w:b/>
                <w:bCs/>
              </w:rPr>
              <w:t>In-Scope Criteria</w:t>
            </w:r>
          </w:p>
        </w:tc>
      </w:tr>
      <w:tr w:rsidR="006B2E87" w:rsidRPr="006B2E87" w14:paraId="23A77F56" w14:textId="77777777">
        <w:tc>
          <w:tcPr>
            <w:tcW w:w="0" w:type="auto"/>
            <w:tcBorders>
              <w:top w:val="single" w:sz="2" w:space="0" w:color="auto"/>
              <w:left w:val="single" w:sz="2" w:space="0" w:color="auto"/>
              <w:bottom w:val="nil"/>
              <w:right w:val="single" w:sz="2" w:space="0" w:color="auto"/>
            </w:tcBorders>
            <w:hideMark/>
          </w:tcPr>
          <w:p w14:paraId="315B7416" w14:textId="77777777" w:rsidR="006B2E87" w:rsidRPr="006B2E87" w:rsidRDefault="006B2E87" w:rsidP="006B2E87">
            <w:pPr>
              <w:rPr>
                <w:rFonts w:ascii="Times New Roman" w:hAnsi="Times New Roman"/>
              </w:rPr>
            </w:pPr>
            <w:r w:rsidRPr="006B2E87">
              <w:rPr>
                <w:rFonts w:ascii="Times New Roman" w:hAnsi="Times New Roman"/>
                <w:b/>
                <w:bCs/>
                <w:bdr w:val="single" w:sz="2" w:space="0" w:color="auto" w:frame="1"/>
              </w:rPr>
              <w:t>Instrument Type</w:t>
            </w:r>
          </w:p>
        </w:tc>
        <w:tc>
          <w:tcPr>
            <w:tcW w:w="0" w:type="auto"/>
            <w:tcBorders>
              <w:top w:val="single" w:sz="2" w:space="0" w:color="auto"/>
              <w:left w:val="single" w:sz="2" w:space="0" w:color="auto"/>
              <w:bottom w:val="nil"/>
              <w:right w:val="single" w:sz="2" w:space="0" w:color="auto"/>
            </w:tcBorders>
            <w:hideMark/>
          </w:tcPr>
          <w:p w14:paraId="1C8133A8" w14:textId="77777777" w:rsidR="006B2E87" w:rsidRPr="006B2E87" w:rsidRDefault="006B2E87" w:rsidP="006B2E87">
            <w:pPr>
              <w:rPr>
                <w:rFonts w:ascii="Times New Roman" w:hAnsi="Times New Roman"/>
              </w:rPr>
            </w:pPr>
            <w:r w:rsidRPr="006B2E87">
              <w:rPr>
                <w:rFonts w:ascii="Times New Roman" w:hAnsi="Times New Roman"/>
              </w:rPr>
              <w:t>INR NDF, INR IRS/OIS, ODI (P-note), TRS on Indian equities, exchange-traded INR FX derivatives</w:t>
            </w:r>
          </w:p>
        </w:tc>
      </w:tr>
      <w:tr w:rsidR="006B2E87" w:rsidRPr="006B2E87" w14:paraId="524171B1" w14:textId="77777777">
        <w:tc>
          <w:tcPr>
            <w:tcW w:w="0" w:type="auto"/>
            <w:tcBorders>
              <w:top w:val="single" w:sz="2" w:space="0" w:color="auto"/>
              <w:left w:val="single" w:sz="2" w:space="0" w:color="auto"/>
              <w:bottom w:val="nil"/>
              <w:right w:val="single" w:sz="2" w:space="0" w:color="auto"/>
            </w:tcBorders>
            <w:hideMark/>
          </w:tcPr>
          <w:p w14:paraId="6BCCCEC5" w14:textId="77777777" w:rsidR="006B2E87" w:rsidRPr="006B2E87" w:rsidRDefault="006B2E87" w:rsidP="006B2E87">
            <w:pPr>
              <w:rPr>
                <w:rFonts w:ascii="Times New Roman" w:hAnsi="Times New Roman"/>
              </w:rPr>
            </w:pPr>
            <w:r w:rsidRPr="006B2E87">
              <w:rPr>
                <w:rFonts w:ascii="Times New Roman" w:hAnsi="Times New Roman"/>
                <w:b/>
                <w:bCs/>
                <w:bdr w:val="single" w:sz="2" w:space="0" w:color="auto" w:frame="1"/>
              </w:rPr>
              <w:t>Counterparty Type</w:t>
            </w:r>
          </w:p>
        </w:tc>
        <w:tc>
          <w:tcPr>
            <w:tcW w:w="0" w:type="auto"/>
            <w:tcBorders>
              <w:top w:val="single" w:sz="2" w:space="0" w:color="auto"/>
              <w:left w:val="single" w:sz="2" w:space="0" w:color="auto"/>
              <w:bottom w:val="nil"/>
              <w:right w:val="single" w:sz="2" w:space="0" w:color="auto"/>
            </w:tcBorders>
            <w:hideMark/>
          </w:tcPr>
          <w:p w14:paraId="2B25552D" w14:textId="77777777" w:rsidR="006B2E87" w:rsidRPr="006B2E87" w:rsidRDefault="006B2E87" w:rsidP="006B2E87">
            <w:pPr>
              <w:rPr>
                <w:rFonts w:ascii="Times New Roman" w:hAnsi="Times New Roman"/>
              </w:rPr>
            </w:pPr>
            <w:r w:rsidRPr="006B2E87">
              <w:rPr>
                <w:rFonts w:ascii="Times New Roman" w:hAnsi="Times New Roman"/>
              </w:rPr>
              <w:t>Resident Indian entity, Non-resident with INR exposure, FPI registered/unregistered, Related party</w:t>
            </w:r>
          </w:p>
        </w:tc>
      </w:tr>
      <w:tr w:rsidR="006B2E87" w:rsidRPr="006B2E87" w14:paraId="70E2C542" w14:textId="77777777">
        <w:tc>
          <w:tcPr>
            <w:tcW w:w="0" w:type="auto"/>
            <w:tcBorders>
              <w:top w:val="single" w:sz="2" w:space="0" w:color="auto"/>
              <w:left w:val="single" w:sz="2" w:space="0" w:color="auto"/>
              <w:bottom w:val="nil"/>
              <w:right w:val="single" w:sz="2" w:space="0" w:color="auto"/>
            </w:tcBorders>
            <w:hideMark/>
          </w:tcPr>
          <w:p w14:paraId="33B3850B" w14:textId="77777777" w:rsidR="006B2E87" w:rsidRPr="006B2E87" w:rsidRDefault="006B2E87" w:rsidP="006B2E87">
            <w:pPr>
              <w:rPr>
                <w:rFonts w:ascii="Times New Roman" w:hAnsi="Times New Roman"/>
              </w:rPr>
            </w:pPr>
            <w:r w:rsidRPr="006B2E87">
              <w:rPr>
                <w:rFonts w:ascii="Times New Roman" w:hAnsi="Times New Roman"/>
                <w:b/>
                <w:bCs/>
                <w:bdr w:val="single" w:sz="2" w:space="0" w:color="auto" w:frame="1"/>
              </w:rPr>
              <w:t>Underlying</w:t>
            </w:r>
          </w:p>
        </w:tc>
        <w:tc>
          <w:tcPr>
            <w:tcW w:w="0" w:type="auto"/>
            <w:tcBorders>
              <w:top w:val="single" w:sz="2" w:space="0" w:color="auto"/>
              <w:left w:val="single" w:sz="2" w:space="0" w:color="auto"/>
              <w:bottom w:val="nil"/>
              <w:right w:val="single" w:sz="2" w:space="0" w:color="auto"/>
            </w:tcBorders>
            <w:hideMark/>
          </w:tcPr>
          <w:p w14:paraId="0903C680" w14:textId="77777777" w:rsidR="006B2E87" w:rsidRPr="006B2E87" w:rsidRDefault="006B2E87" w:rsidP="006B2E87">
            <w:pPr>
              <w:rPr>
                <w:rFonts w:ascii="Times New Roman" w:hAnsi="Times New Roman"/>
              </w:rPr>
            </w:pPr>
            <w:r w:rsidRPr="006B2E87">
              <w:rPr>
                <w:rFonts w:ascii="Times New Roman" w:hAnsi="Times New Roman"/>
              </w:rPr>
              <w:t>Indian equity/debt securities, INR FX rate, INR interest rate, Indian indices</w:t>
            </w:r>
          </w:p>
        </w:tc>
      </w:tr>
      <w:tr w:rsidR="006B2E87" w:rsidRPr="006B2E87" w14:paraId="0886AE5D" w14:textId="77777777">
        <w:tc>
          <w:tcPr>
            <w:tcW w:w="0" w:type="auto"/>
            <w:tcBorders>
              <w:top w:val="single" w:sz="2" w:space="0" w:color="auto"/>
              <w:left w:val="single" w:sz="2" w:space="0" w:color="auto"/>
              <w:bottom w:val="nil"/>
              <w:right w:val="single" w:sz="2" w:space="0" w:color="auto"/>
            </w:tcBorders>
            <w:hideMark/>
          </w:tcPr>
          <w:p w14:paraId="46B66DFC" w14:textId="77777777" w:rsidR="006B2E87" w:rsidRPr="006B2E87" w:rsidRDefault="006B2E87" w:rsidP="006B2E87">
            <w:pPr>
              <w:rPr>
                <w:rFonts w:ascii="Times New Roman" w:hAnsi="Times New Roman"/>
              </w:rPr>
            </w:pPr>
            <w:r w:rsidRPr="006B2E87">
              <w:rPr>
                <w:rFonts w:ascii="Times New Roman" w:hAnsi="Times New Roman"/>
                <w:b/>
                <w:bCs/>
                <w:bdr w:val="single" w:sz="2" w:space="0" w:color="auto" w:frame="1"/>
              </w:rPr>
              <w:t>Venue</w:t>
            </w:r>
          </w:p>
        </w:tc>
        <w:tc>
          <w:tcPr>
            <w:tcW w:w="0" w:type="auto"/>
            <w:tcBorders>
              <w:top w:val="single" w:sz="2" w:space="0" w:color="auto"/>
              <w:left w:val="single" w:sz="2" w:space="0" w:color="auto"/>
              <w:bottom w:val="nil"/>
              <w:right w:val="single" w:sz="2" w:space="0" w:color="auto"/>
            </w:tcBorders>
            <w:hideMark/>
          </w:tcPr>
          <w:p w14:paraId="5FA643DF" w14:textId="77777777" w:rsidR="006B2E87" w:rsidRPr="006B2E87" w:rsidRDefault="006B2E87" w:rsidP="006B2E87">
            <w:pPr>
              <w:rPr>
                <w:rFonts w:ascii="Times New Roman" w:hAnsi="Times New Roman"/>
              </w:rPr>
            </w:pPr>
            <w:r w:rsidRPr="006B2E87">
              <w:rPr>
                <w:rFonts w:ascii="Times New Roman" w:hAnsi="Times New Roman"/>
              </w:rPr>
              <w:t>Offshore OTC, IFSC/GIFT City, onshore exchange (NSE/BSE), offshore ETP</w:t>
            </w:r>
          </w:p>
        </w:tc>
      </w:tr>
      <w:tr w:rsidR="006B2E87" w:rsidRPr="006B2E87" w14:paraId="05DFF8F2" w14:textId="77777777">
        <w:tc>
          <w:tcPr>
            <w:tcW w:w="0" w:type="auto"/>
            <w:tcBorders>
              <w:top w:val="single" w:sz="2" w:space="0" w:color="auto"/>
              <w:left w:val="single" w:sz="2" w:space="0" w:color="auto"/>
              <w:bottom w:val="nil"/>
              <w:right w:val="single" w:sz="2" w:space="0" w:color="auto"/>
            </w:tcBorders>
            <w:hideMark/>
          </w:tcPr>
          <w:p w14:paraId="31DBCBED" w14:textId="77777777" w:rsidR="006B2E87" w:rsidRPr="006B2E87" w:rsidRDefault="006B2E87" w:rsidP="006B2E87">
            <w:pPr>
              <w:rPr>
                <w:rFonts w:ascii="Times New Roman" w:hAnsi="Times New Roman"/>
              </w:rPr>
            </w:pPr>
            <w:r w:rsidRPr="006B2E87">
              <w:rPr>
                <w:rFonts w:ascii="Times New Roman" w:hAnsi="Times New Roman"/>
                <w:b/>
                <w:bCs/>
                <w:bdr w:val="single" w:sz="2" w:space="0" w:color="auto" w:frame="1"/>
              </w:rPr>
              <w:lastRenderedPageBreak/>
              <w:t>Client Classification</w:t>
            </w:r>
          </w:p>
        </w:tc>
        <w:tc>
          <w:tcPr>
            <w:tcW w:w="0" w:type="auto"/>
            <w:tcBorders>
              <w:top w:val="single" w:sz="2" w:space="0" w:color="auto"/>
              <w:left w:val="single" w:sz="2" w:space="0" w:color="auto"/>
              <w:bottom w:val="nil"/>
              <w:right w:val="single" w:sz="2" w:space="0" w:color="auto"/>
            </w:tcBorders>
            <w:hideMark/>
          </w:tcPr>
          <w:p w14:paraId="582B0808" w14:textId="77777777" w:rsidR="006B2E87" w:rsidRPr="006B2E87" w:rsidRDefault="006B2E87" w:rsidP="006B2E87">
            <w:pPr>
              <w:rPr>
                <w:rFonts w:ascii="Times New Roman" w:hAnsi="Times New Roman"/>
              </w:rPr>
            </w:pPr>
            <w:r w:rsidRPr="006B2E87">
              <w:rPr>
                <w:rFonts w:ascii="Times New Roman" w:hAnsi="Times New Roman"/>
              </w:rPr>
              <w:t>FPI with separate ODI registration, regulated foreign entity, unregulated entity (blocked)</w:t>
            </w:r>
          </w:p>
        </w:tc>
      </w:tr>
    </w:tbl>
    <w:p w14:paraId="7C5E0DD0" w14:textId="77777777" w:rsidR="006B2E87" w:rsidRPr="006B2E87" w:rsidRDefault="006B2E87" w:rsidP="006B2E87">
      <w:pPr>
        <w:pBdr>
          <w:top w:val="single" w:sz="2" w:space="0" w:color="auto"/>
          <w:left w:val="single" w:sz="2" w:space="0" w:color="auto"/>
          <w:bottom w:val="single" w:sz="2" w:space="0" w:color="auto"/>
          <w:right w:val="single" w:sz="2" w:space="0" w:color="auto"/>
        </w:pBdr>
        <w:spacing w:before="100" w:beforeAutospacing="1" w:after="100" w:afterAutospacing="1"/>
        <w:outlineLvl w:val="3"/>
        <w:rPr>
          <w:rFonts w:ascii="Georgia" w:hAnsi="Georgia"/>
          <w:b/>
          <w:bCs/>
        </w:rPr>
      </w:pPr>
      <w:r w:rsidRPr="006B2E87">
        <w:rPr>
          <w:rFonts w:ascii="Georgia" w:hAnsi="Georgia"/>
          <w:b/>
          <w:bCs/>
        </w:rPr>
        <w:t>2. Pre-Trade Control Rules Engine</w:t>
      </w:r>
    </w:p>
    <w:p w14:paraId="3F44E3B7" w14:textId="77777777" w:rsidR="006B2E87" w:rsidRPr="006B2E87" w:rsidRDefault="006B2E87" w:rsidP="006B2E87">
      <w:pPr>
        <w:pBdr>
          <w:top w:val="single" w:sz="2" w:space="0" w:color="auto"/>
          <w:left w:val="single" w:sz="2" w:space="0" w:color="auto"/>
          <w:bottom w:val="single" w:sz="2" w:space="0" w:color="auto"/>
          <w:right w:val="single" w:sz="2" w:space="0" w:color="auto"/>
        </w:pBdr>
        <w:spacing w:before="100" w:beforeAutospacing="1" w:after="100" w:afterAutospacing="1"/>
        <w:outlineLvl w:val="4"/>
        <w:rPr>
          <w:rFonts w:ascii="Georgia" w:hAnsi="Georgia"/>
          <w:b/>
          <w:bCs/>
          <w:sz w:val="20"/>
          <w:szCs w:val="20"/>
        </w:rPr>
      </w:pPr>
      <w:r w:rsidRPr="006B2E87">
        <w:rPr>
          <w:rFonts w:ascii="Georgia" w:hAnsi="Georgia"/>
          <w:b/>
          <w:bCs/>
          <w:sz w:val="20"/>
          <w:szCs w:val="20"/>
        </w:rPr>
        <w:t>Rule Set A — ODI / P-Note Controls (SEBI)</w:t>
      </w:r>
    </w:p>
    <w:p w14:paraId="50E0C6C2" w14:textId="77777777" w:rsidR="006B2E87" w:rsidRPr="006B2E87" w:rsidRDefault="006B2E87" w:rsidP="006B2E87">
      <w:pPr>
        <w:numPr>
          <w:ilvl w:val="0"/>
          <w:numId w:val="2"/>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R-A1: Derivatives-as-Underlying Block</w:t>
      </w:r>
      <w:r w:rsidRPr="006B2E87">
        <w:rPr>
          <w:rFonts w:ascii="var(--font-claude-response)" w:hAnsi="var(--font-claude-response)"/>
          <w:color w:val="0B0B0B"/>
          <w:sz w:val="21"/>
          <w:szCs w:val="21"/>
        </w:rPr>
        <w:t> — Reject any ODI where the underlying is a derivative instrument (futures, options, warrants). Cross-reference instrument master to confirm underlying asset class.</w:t>
      </w:r>
    </w:p>
    <w:p w14:paraId="5A35F42A" w14:textId="77777777" w:rsidR="006B2E87" w:rsidRPr="006B2E87" w:rsidRDefault="006B2E87" w:rsidP="006B2E87">
      <w:pPr>
        <w:numPr>
          <w:ilvl w:val="0"/>
          <w:numId w:val="2"/>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R-A2: Subscriber Eligibility Check</w:t>
      </w:r>
      <w:r w:rsidRPr="006B2E87">
        <w:rPr>
          <w:rFonts w:ascii="var(--font-claude-response)" w:hAnsi="var(--font-claude-response)"/>
          <w:color w:val="0B0B0B"/>
          <w:sz w:val="21"/>
          <w:szCs w:val="21"/>
        </w:rPr>
        <w:t> — Validate that the ODI subscriber is a regulated entity under a recognised foreign regulatory authority. Block orders from unregulated counterparties.</w:t>
      </w:r>
    </w:p>
    <w:p w14:paraId="62E4DA7A" w14:textId="77777777" w:rsidR="006B2E87" w:rsidRPr="006B2E87" w:rsidRDefault="006B2E87" w:rsidP="006B2E87">
      <w:pPr>
        <w:numPr>
          <w:ilvl w:val="0"/>
          <w:numId w:val="2"/>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R-A3: Separate Registration Validation</w:t>
      </w:r>
      <w:r w:rsidRPr="006B2E87">
        <w:rPr>
          <w:rFonts w:ascii="var(--font-claude-response)" w:hAnsi="var(--font-claude-response)"/>
          <w:color w:val="0B0B0B"/>
          <w:sz w:val="21"/>
          <w:szCs w:val="21"/>
        </w:rPr>
        <w:t> — Confirm the issuing FPI holds a separate ODI-specific FPI registration (post-December 2025 deadline).</w:t>
      </w:r>
    </w:p>
    <w:p w14:paraId="009E77C1" w14:textId="77777777" w:rsidR="006B2E87" w:rsidRPr="006B2E87" w:rsidRDefault="006B2E87" w:rsidP="006B2E87">
      <w:pPr>
        <w:numPr>
          <w:ilvl w:val="0"/>
          <w:numId w:val="2"/>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R-A4: Hedging Instrument Check</w:t>
      </w:r>
      <w:r w:rsidRPr="006B2E87">
        <w:rPr>
          <w:rFonts w:ascii="var(--font-claude-response)" w:hAnsi="var(--font-claude-response)"/>
          <w:color w:val="0B0B0B"/>
          <w:sz w:val="21"/>
          <w:szCs w:val="21"/>
        </w:rPr>
        <w:t> — Block any attempt to hedge ODI positions using derivative instruments; only cash equity hedging is permitted.</w:t>
      </w:r>
    </w:p>
    <w:p w14:paraId="5A64DD23" w14:textId="77777777" w:rsidR="006B2E87" w:rsidRPr="006B2E87" w:rsidRDefault="006B2E87" w:rsidP="006B2E87">
      <w:pPr>
        <w:numPr>
          <w:ilvl w:val="0"/>
          <w:numId w:val="2"/>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R-A5: Beneficial Ownership / KYC Completeness</w:t>
      </w:r>
      <w:r w:rsidRPr="006B2E87">
        <w:rPr>
          <w:rFonts w:ascii="var(--font-claude-response)" w:hAnsi="var(--font-claude-response)"/>
          <w:color w:val="0B0B0B"/>
          <w:sz w:val="21"/>
          <w:szCs w:val="21"/>
        </w:rPr>
        <w:t> — Enforce end-investor identification and sub-account look-through before order acceptance. Reject if ownership chain is incomplete.</w:t>
      </w:r>
    </w:p>
    <w:p w14:paraId="6A846021" w14:textId="77777777" w:rsidR="006B2E87" w:rsidRPr="006B2E87" w:rsidRDefault="006B2E87" w:rsidP="006B2E87">
      <w:pPr>
        <w:pBdr>
          <w:top w:val="single" w:sz="2" w:space="0" w:color="auto"/>
          <w:left w:val="single" w:sz="2" w:space="0" w:color="auto"/>
          <w:bottom w:val="single" w:sz="2" w:space="0" w:color="auto"/>
          <w:right w:val="single" w:sz="2" w:space="0" w:color="auto"/>
        </w:pBdr>
        <w:spacing w:before="100" w:beforeAutospacing="1" w:after="100" w:afterAutospacing="1"/>
        <w:outlineLvl w:val="4"/>
        <w:rPr>
          <w:rFonts w:ascii="Georgia" w:hAnsi="Georgia"/>
          <w:b/>
          <w:bCs/>
          <w:sz w:val="20"/>
          <w:szCs w:val="20"/>
        </w:rPr>
      </w:pPr>
      <w:r w:rsidRPr="006B2E87">
        <w:rPr>
          <w:rFonts w:ascii="Georgia" w:hAnsi="Georgia"/>
          <w:b/>
          <w:bCs/>
          <w:sz w:val="20"/>
          <w:szCs w:val="20"/>
        </w:rPr>
        <w:t>Rule Set B — INR NDF / FX Derivative Controls (RBI)</w:t>
      </w:r>
    </w:p>
    <w:p w14:paraId="7368C42D" w14:textId="77777777" w:rsidR="006B2E87" w:rsidRPr="006B2E87" w:rsidRDefault="006B2E87" w:rsidP="006B2E87">
      <w:pPr>
        <w:numPr>
          <w:ilvl w:val="0"/>
          <w:numId w:val="3"/>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R-B1: NDF Offering Check</w:t>
      </w:r>
      <w:r w:rsidRPr="006B2E87">
        <w:rPr>
          <w:rFonts w:ascii="var(--font-claude-response)" w:hAnsi="var(--font-claude-response)"/>
          <w:color w:val="0B0B0B"/>
          <w:sz w:val="21"/>
          <w:szCs w:val="21"/>
        </w:rPr>
        <w:t> — Validate against current RBI directive status. As of April 20, 2026, NDF offering is permitted but must be monitored for re-issuance of restrictions.</w:t>
      </w:r>
    </w:p>
    <w:p w14:paraId="153AEBA9" w14:textId="77777777" w:rsidR="006B2E87" w:rsidRPr="006B2E87" w:rsidRDefault="006B2E87" w:rsidP="006B2E87">
      <w:pPr>
        <w:numPr>
          <w:ilvl w:val="0"/>
          <w:numId w:val="3"/>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R-B2: Related Party Block</w:t>
      </w:r>
      <w:r w:rsidRPr="006B2E87">
        <w:rPr>
          <w:rFonts w:ascii="var(--font-claude-response)" w:hAnsi="var(--font-claude-response)"/>
          <w:color w:val="0B0B0B"/>
          <w:sz w:val="21"/>
          <w:szCs w:val="21"/>
        </w:rPr>
        <w:t> — Reject any INR-denominated FX derivative transaction where the counterparty is a related party of the Authorised Dealer. Maintain a dynamically updated related-party reference table.</w:t>
      </w:r>
    </w:p>
    <w:p w14:paraId="106F68DF" w14:textId="77777777" w:rsidR="006B2E87" w:rsidRPr="006B2E87" w:rsidRDefault="006B2E87" w:rsidP="006B2E87">
      <w:pPr>
        <w:numPr>
          <w:ilvl w:val="0"/>
          <w:numId w:val="3"/>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R-B3: Rebooking Control</w:t>
      </w:r>
      <w:r w:rsidRPr="006B2E87">
        <w:rPr>
          <w:rFonts w:ascii="var(--font-claude-response)" w:hAnsi="var(--font-claude-response)"/>
          <w:color w:val="0B0B0B"/>
          <w:sz w:val="21"/>
          <w:szCs w:val="21"/>
        </w:rPr>
        <w:t> — Block rebooking of any cancelled INR derivative contract. System must log cancellation timestamp and prevent re-entry of economically equivalent positions within the same trade date.</w:t>
      </w:r>
    </w:p>
    <w:p w14:paraId="1D16E883" w14:textId="77777777" w:rsidR="006B2E87" w:rsidRPr="006B2E87" w:rsidRDefault="006B2E87" w:rsidP="006B2E87">
      <w:pPr>
        <w:numPr>
          <w:ilvl w:val="0"/>
          <w:numId w:val="3"/>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R-B4: Net Open Position (NOP) Limit</w:t>
      </w:r>
      <w:r w:rsidRPr="006B2E87">
        <w:rPr>
          <w:rFonts w:ascii="var(--font-claude-response)" w:hAnsi="var(--font-claude-response)"/>
          <w:color w:val="0B0B0B"/>
          <w:sz w:val="21"/>
          <w:szCs w:val="21"/>
        </w:rPr>
        <w:t> — Real-time NOP aggregation across all USD/INR deliverable positions. Hard block when aggregate approaches $100 million EOD limit; soft warning at configurable threshold (e.g. 80%).</w:t>
      </w:r>
    </w:p>
    <w:p w14:paraId="12E2B798" w14:textId="77777777" w:rsidR="006B2E87" w:rsidRPr="006B2E87" w:rsidRDefault="006B2E87" w:rsidP="006B2E87">
      <w:pPr>
        <w:numPr>
          <w:ilvl w:val="0"/>
          <w:numId w:val="3"/>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R-B5: Deliverable vs. Non-Deliverable Classification</w:t>
      </w:r>
      <w:r w:rsidRPr="006B2E87">
        <w:rPr>
          <w:rFonts w:ascii="var(--font-claude-response)" w:hAnsi="var(--font-claude-response)"/>
          <w:color w:val="0B0B0B"/>
          <w:sz w:val="21"/>
          <w:szCs w:val="21"/>
        </w:rPr>
        <w:t> — Enforce correct settlement type tagging. Deliverable forwards for genuine hedging remain permitted; system must confirm underlying commercial exposure documentation is present for deliverable contracts above a notional threshold.</w:t>
      </w:r>
    </w:p>
    <w:p w14:paraId="1EA9F912" w14:textId="77777777" w:rsidR="006B2E87" w:rsidRPr="006B2E87" w:rsidRDefault="006B2E87" w:rsidP="006B2E87">
      <w:pPr>
        <w:pBdr>
          <w:top w:val="single" w:sz="2" w:space="0" w:color="auto"/>
          <w:left w:val="single" w:sz="2" w:space="0" w:color="auto"/>
          <w:bottom w:val="single" w:sz="2" w:space="0" w:color="auto"/>
          <w:right w:val="single" w:sz="2" w:space="0" w:color="auto"/>
        </w:pBdr>
        <w:spacing w:before="100" w:beforeAutospacing="1" w:after="100" w:afterAutospacing="1"/>
        <w:outlineLvl w:val="4"/>
        <w:rPr>
          <w:rFonts w:ascii="Georgia" w:hAnsi="Georgia"/>
          <w:b/>
          <w:bCs/>
          <w:sz w:val="20"/>
          <w:szCs w:val="20"/>
        </w:rPr>
      </w:pPr>
      <w:r w:rsidRPr="006B2E87">
        <w:rPr>
          <w:rFonts w:ascii="Georgia" w:hAnsi="Georgia"/>
          <w:b/>
          <w:bCs/>
          <w:sz w:val="20"/>
          <w:szCs w:val="20"/>
        </w:rPr>
        <w:t>Rule Set C — Cross-Cutting / Structural Controls</w:t>
      </w:r>
    </w:p>
    <w:p w14:paraId="79C4D983" w14:textId="77777777" w:rsidR="006B2E87" w:rsidRPr="006B2E87" w:rsidRDefault="006B2E87" w:rsidP="006B2E87">
      <w:pPr>
        <w:numPr>
          <w:ilvl w:val="0"/>
          <w:numId w:val="4"/>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R-C1: Jurisdiction Routing Check</w:t>
      </w:r>
      <w:r w:rsidRPr="006B2E87">
        <w:rPr>
          <w:rFonts w:ascii="var(--font-claude-response)" w:hAnsi="var(--font-claude-response)"/>
          <w:color w:val="0B0B0B"/>
          <w:sz w:val="21"/>
          <w:szCs w:val="21"/>
        </w:rPr>
        <w:t> — Determine whether the trade is booked onshore (India), in GIFT City IFSC, or fully offshore. Apply the correct rule set per booking entity and venue.</w:t>
      </w:r>
    </w:p>
    <w:p w14:paraId="0FD97CB7" w14:textId="77777777" w:rsidR="006B2E87" w:rsidRPr="006B2E87" w:rsidRDefault="006B2E87" w:rsidP="006B2E87">
      <w:pPr>
        <w:numPr>
          <w:ilvl w:val="0"/>
          <w:numId w:val="4"/>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R-C2: Regulatory Status Refresh</w:t>
      </w:r>
      <w:r w:rsidRPr="006B2E87">
        <w:rPr>
          <w:rFonts w:ascii="var(--font-claude-response)" w:hAnsi="var(--font-claude-response)"/>
          <w:color w:val="0B0B0B"/>
          <w:sz w:val="21"/>
          <w:szCs w:val="21"/>
        </w:rPr>
        <w:t> — Automated polling of RBI/SEBI directive feed (or manual override workflow) to update rule parameters in near-real-time, given the frequency of regulatory changes observed in 2025–2026.</w:t>
      </w:r>
    </w:p>
    <w:p w14:paraId="25923134" w14:textId="77777777" w:rsidR="006B2E87" w:rsidRPr="006B2E87" w:rsidRDefault="006B2E87" w:rsidP="006B2E87">
      <w:pPr>
        <w:numPr>
          <w:ilvl w:val="0"/>
          <w:numId w:val="4"/>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R-C3: Position Aggregation Across Legal Entities</w:t>
      </w:r>
      <w:r w:rsidRPr="006B2E87">
        <w:rPr>
          <w:rFonts w:ascii="var(--font-claude-response)" w:hAnsi="var(--font-claude-response)"/>
          <w:color w:val="0B0B0B"/>
          <w:sz w:val="21"/>
          <w:szCs w:val="21"/>
        </w:rPr>
        <w:t> — Aggregate exposures across all broker-dealer legal entities to detect limit breaches at the group level, not just entity level.</w:t>
      </w:r>
    </w:p>
    <w:p w14:paraId="74765E9F" w14:textId="77777777" w:rsidR="006B2E87" w:rsidRPr="006B2E87" w:rsidRDefault="006B2E87" w:rsidP="006B2E87">
      <w:pPr>
        <w:numPr>
          <w:ilvl w:val="0"/>
          <w:numId w:val="4"/>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R-C4: Audit Trail &amp; Rejection Logging</w:t>
      </w:r>
      <w:r w:rsidRPr="006B2E87">
        <w:rPr>
          <w:rFonts w:ascii="var(--font-claude-response)" w:hAnsi="var(--font-claude-response)"/>
          <w:color w:val="0B0B0B"/>
          <w:sz w:val="21"/>
          <w:szCs w:val="21"/>
        </w:rPr>
        <w:t> — Every blocked or flagged order must generate a timestamped rejection record citing the specific rule triggered, for regulatory reporting and internal audit.</w:t>
      </w:r>
    </w:p>
    <w:p w14:paraId="7C18E595" w14:textId="77777777" w:rsidR="006B2E87" w:rsidRPr="006B2E87" w:rsidRDefault="00C06E37" w:rsidP="006B2E87">
      <w:pPr>
        <w:rPr>
          <w:rFonts w:ascii="Georgia" w:hAnsi="Georgia"/>
          <w:sz w:val="21"/>
          <w:szCs w:val="21"/>
        </w:rPr>
      </w:pPr>
      <w:r w:rsidRPr="00C06E37">
        <w:rPr>
          <w:rFonts w:ascii="Times New Roman" w:hAnsi="Times New Roman"/>
          <w:noProof/>
          <w14:ligatures w14:val="standardContextual"/>
        </w:rPr>
        <w:lastRenderedPageBreak/>
        <w:pict w14:anchorId="2A0DF116">
          <v:rect id="_x0000_i1027" alt="" style="width:468pt;height:.05pt;mso-width-percent:0;mso-height-percent:0;mso-width-percent:0;mso-height-percent:0" o:hralign="center" o:hrstd="t" o:hr="t" fillcolor="#a0a0a0" stroked="f"/>
        </w:pict>
      </w:r>
    </w:p>
    <w:p w14:paraId="622C6DA7" w14:textId="77777777" w:rsidR="006B2E87" w:rsidRPr="006B2E87" w:rsidRDefault="006B2E87" w:rsidP="006B2E87">
      <w:pPr>
        <w:pBdr>
          <w:top w:val="single" w:sz="2" w:space="0" w:color="auto"/>
          <w:left w:val="single" w:sz="2" w:space="0" w:color="auto"/>
          <w:bottom w:val="single" w:sz="2" w:space="0" w:color="auto"/>
          <w:right w:val="single" w:sz="2" w:space="0" w:color="auto"/>
        </w:pBdr>
        <w:spacing w:before="100" w:beforeAutospacing="1" w:after="100" w:afterAutospacing="1"/>
        <w:outlineLvl w:val="3"/>
        <w:rPr>
          <w:rFonts w:ascii="Georgia" w:hAnsi="Georgia"/>
          <w:b/>
          <w:bCs/>
        </w:rPr>
      </w:pPr>
      <w:r w:rsidRPr="006B2E87">
        <w:rPr>
          <w:rFonts w:ascii="Georgia" w:hAnsi="Georgia"/>
          <w:b/>
          <w:bCs/>
        </w:rPr>
        <w:t>3. Data Requirements</w:t>
      </w:r>
    </w:p>
    <w:p w14:paraId="5D77887E" w14:textId="77777777" w:rsidR="006B2E87" w:rsidRPr="006B2E87" w:rsidRDefault="006B2E87" w:rsidP="006B2E87">
      <w:pPr>
        <w:numPr>
          <w:ilvl w:val="0"/>
          <w:numId w:val="5"/>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Instrument Reference Data:</w:t>
      </w:r>
      <w:r w:rsidRPr="006B2E87">
        <w:rPr>
          <w:rFonts w:ascii="var(--font-claude-response)" w:hAnsi="var(--font-claude-response)"/>
          <w:color w:val="0B0B0B"/>
          <w:sz w:val="21"/>
          <w:szCs w:val="21"/>
        </w:rPr>
        <w:t> Asset class, underlying, currency, settlement type (deliverable/NDF), venue</w:t>
      </w:r>
    </w:p>
    <w:p w14:paraId="4DBC2808" w14:textId="77777777" w:rsidR="006B2E87" w:rsidRPr="006B2E87" w:rsidRDefault="006B2E87" w:rsidP="006B2E87">
      <w:pPr>
        <w:numPr>
          <w:ilvl w:val="0"/>
          <w:numId w:val="5"/>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Counterparty Static Data:</w:t>
      </w:r>
      <w:r w:rsidRPr="006B2E87">
        <w:rPr>
          <w:rFonts w:ascii="var(--font-claude-response)" w:hAnsi="var(--font-claude-response)"/>
          <w:color w:val="0B0B0B"/>
          <w:sz w:val="21"/>
          <w:szCs w:val="21"/>
        </w:rPr>
        <w:t> Entity type, FPI registration number, regulatory jurisdiction, related-party flag, KYC/AML status</w:t>
      </w:r>
    </w:p>
    <w:p w14:paraId="4658A814" w14:textId="77777777" w:rsidR="006B2E87" w:rsidRPr="006B2E87" w:rsidRDefault="006B2E87" w:rsidP="006B2E87">
      <w:pPr>
        <w:numPr>
          <w:ilvl w:val="0"/>
          <w:numId w:val="5"/>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Position Data:</w:t>
      </w:r>
      <w:r w:rsidRPr="006B2E87">
        <w:rPr>
          <w:rFonts w:ascii="var(--font-claude-response)" w:hAnsi="var(--font-claude-response)"/>
          <w:color w:val="0B0B0B"/>
          <w:sz w:val="21"/>
          <w:szCs w:val="21"/>
        </w:rPr>
        <w:t> Real-time NOP per currency pair, aggregate ODI notional per subscriber, FPI-level derivative exposure</w:t>
      </w:r>
    </w:p>
    <w:p w14:paraId="5234D3B1" w14:textId="77777777" w:rsidR="006B2E87" w:rsidRPr="006B2E87" w:rsidRDefault="006B2E87" w:rsidP="006B2E87">
      <w:pPr>
        <w:numPr>
          <w:ilvl w:val="0"/>
          <w:numId w:val="5"/>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Regulatory Directive Repository:</w:t>
      </w:r>
      <w:r w:rsidRPr="006B2E87">
        <w:rPr>
          <w:rFonts w:ascii="var(--font-claude-response)" w:hAnsi="var(--font-claude-response)"/>
          <w:color w:val="0B0B0B"/>
          <w:sz w:val="21"/>
          <w:szCs w:val="21"/>
        </w:rPr>
        <w:t> Version-controlled store of RBI/SEBI circulars with effective dates and rule mappings, enabling rapid parameter updates</w:t>
      </w:r>
    </w:p>
    <w:p w14:paraId="4FAA11A1" w14:textId="77777777" w:rsidR="006B2E87" w:rsidRPr="006B2E87" w:rsidRDefault="00C06E37" w:rsidP="006B2E87">
      <w:pPr>
        <w:rPr>
          <w:rFonts w:ascii="Georgia" w:hAnsi="Georgia"/>
          <w:sz w:val="21"/>
          <w:szCs w:val="21"/>
        </w:rPr>
      </w:pPr>
      <w:r w:rsidRPr="00C06E37">
        <w:rPr>
          <w:rFonts w:ascii="Times New Roman" w:hAnsi="Times New Roman"/>
          <w:noProof/>
          <w14:ligatures w14:val="standardContextual"/>
        </w:rPr>
        <w:pict w14:anchorId="79EDB909">
          <v:rect id="_x0000_i1026" alt="" style="width:468pt;height:.05pt;mso-width-percent:0;mso-height-percent:0;mso-width-percent:0;mso-height-percent:0" o:hralign="center" o:hrstd="t" o:hr="t" fillcolor="#a0a0a0" stroked="f"/>
        </w:pict>
      </w:r>
    </w:p>
    <w:p w14:paraId="4A732FA5" w14:textId="77777777" w:rsidR="006B2E87" w:rsidRPr="006B2E87" w:rsidRDefault="006B2E87" w:rsidP="006B2E87">
      <w:pPr>
        <w:pBdr>
          <w:top w:val="single" w:sz="2" w:space="0" w:color="auto"/>
          <w:left w:val="single" w:sz="2" w:space="0" w:color="auto"/>
          <w:bottom w:val="single" w:sz="2" w:space="0" w:color="auto"/>
          <w:right w:val="single" w:sz="2" w:space="0" w:color="auto"/>
        </w:pBdr>
        <w:spacing w:before="100" w:beforeAutospacing="1" w:after="100" w:afterAutospacing="1"/>
        <w:outlineLvl w:val="3"/>
        <w:rPr>
          <w:rFonts w:ascii="Georgia" w:hAnsi="Georgia"/>
          <w:b/>
          <w:bCs/>
        </w:rPr>
      </w:pPr>
      <w:r w:rsidRPr="006B2E87">
        <w:rPr>
          <w:rFonts w:ascii="Georgia" w:hAnsi="Georgia"/>
          <w:b/>
          <w:bCs/>
        </w:rPr>
        <w:t>4. Workflow &amp; Governance</w:t>
      </w:r>
    </w:p>
    <w:p w14:paraId="3FF7A4D5" w14:textId="77777777" w:rsidR="006B2E87" w:rsidRPr="006B2E87" w:rsidRDefault="006B2E87" w:rsidP="006B2E87">
      <w:pPr>
        <w:numPr>
          <w:ilvl w:val="0"/>
          <w:numId w:val="6"/>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Four-Eyes Override Process</w:t>
      </w:r>
      <w:r w:rsidRPr="006B2E87">
        <w:rPr>
          <w:rFonts w:ascii="var(--font-claude-response)" w:hAnsi="var(--font-claude-response)"/>
          <w:color w:val="0B0B0B"/>
          <w:sz w:val="21"/>
          <w:szCs w:val="21"/>
        </w:rPr>
        <w:t> for orders blocked by pre-trade controls — escalation to Compliance, documented rationale required</w:t>
      </w:r>
    </w:p>
    <w:p w14:paraId="1A7B5BB1" w14:textId="77777777" w:rsidR="006B2E87" w:rsidRPr="006B2E87" w:rsidRDefault="006B2E87" w:rsidP="006B2E87">
      <w:pPr>
        <w:numPr>
          <w:ilvl w:val="0"/>
          <w:numId w:val="6"/>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Daily Limit Reconciliation</w:t>
      </w:r>
      <w:r w:rsidRPr="006B2E87">
        <w:rPr>
          <w:rFonts w:ascii="var(--font-claude-response)" w:hAnsi="var(--font-claude-response)"/>
          <w:color w:val="0B0B0B"/>
          <w:sz w:val="21"/>
          <w:szCs w:val="21"/>
        </w:rPr>
        <w:t> — Compare EOD NOP against $100M cap; automated report to Treasury and Compliance</w:t>
      </w:r>
    </w:p>
    <w:p w14:paraId="097966C0" w14:textId="77777777" w:rsidR="006B2E87" w:rsidRPr="006B2E87" w:rsidRDefault="006B2E87" w:rsidP="006B2E87">
      <w:pPr>
        <w:numPr>
          <w:ilvl w:val="0"/>
          <w:numId w:val="6"/>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Regulatory Change Management Process</w:t>
      </w:r>
      <w:r w:rsidRPr="006B2E87">
        <w:rPr>
          <w:rFonts w:ascii="var(--font-claude-response)" w:hAnsi="var(--font-claude-response)"/>
          <w:color w:val="0B0B0B"/>
          <w:sz w:val="21"/>
          <w:szCs w:val="21"/>
        </w:rPr>
        <w:t> — Standing committee to assess new RBI/SEBI circulars, update the rules engine within defined SLA (e.g. T+1 for emergency directives)</w:t>
      </w:r>
    </w:p>
    <w:p w14:paraId="1167983D" w14:textId="77777777" w:rsidR="006B2E87" w:rsidRPr="006B2E87" w:rsidRDefault="006B2E87" w:rsidP="006B2E87">
      <w:pPr>
        <w:numPr>
          <w:ilvl w:val="0"/>
          <w:numId w:val="6"/>
        </w:numPr>
        <w:pBdr>
          <w:top w:val="single" w:sz="2" w:space="0" w:color="auto"/>
          <w:left w:val="single" w:sz="2" w:space="0" w:color="auto"/>
          <w:bottom w:val="single" w:sz="2" w:space="0" w:color="auto"/>
          <w:right w:val="single" w:sz="2" w:space="0" w:color="auto"/>
        </w:pBdr>
        <w:rPr>
          <w:rFonts w:ascii="var(--font-claude-response)" w:hAnsi="var(--font-claude-response)"/>
          <w:color w:val="0B0B0B"/>
          <w:sz w:val="21"/>
          <w:szCs w:val="21"/>
        </w:rPr>
      </w:pPr>
      <w:r w:rsidRPr="006B2E87">
        <w:rPr>
          <w:rFonts w:ascii="var(--font-claude-response)" w:hAnsi="var(--font-claude-response)"/>
          <w:b/>
          <w:bCs/>
          <w:color w:val="0B0B0B"/>
          <w:sz w:val="21"/>
          <w:szCs w:val="21"/>
          <w:bdr w:val="single" w:sz="2" w:space="0" w:color="auto" w:frame="1"/>
        </w:rPr>
        <w:t>Periodic Control Testing</w:t>
      </w:r>
      <w:r w:rsidRPr="006B2E87">
        <w:rPr>
          <w:rFonts w:ascii="var(--font-claude-response)" w:hAnsi="var(--font-claude-response)"/>
          <w:color w:val="0B0B0B"/>
          <w:sz w:val="21"/>
          <w:szCs w:val="21"/>
        </w:rPr>
        <w:t> — Quarterly UAT of all rule sets using synthetic order scenarios representing each prohibited trade type</w:t>
      </w:r>
    </w:p>
    <w:p w14:paraId="4E481062" w14:textId="77777777" w:rsidR="006B2E87" w:rsidRPr="006B2E87" w:rsidRDefault="00C06E37" w:rsidP="006B2E87">
      <w:pPr>
        <w:rPr>
          <w:rFonts w:ascii="Georgia" w:hAnsi="Georgia"/>
          <w:sz w:val="21"/>
          <w:szCs w:val="21"/>
        </w:rPr>
      </w:pPr>
      <w:r w:rsidRPr="00C06E37">
        <w:rPr>
          <w:rFonts w:ascii="Times New Roman" w:hAnsi="Times New Roman"/>
          <w:noProof/>
          <w14:ligatures w14:val="standardContextual"/>
        </w:rPr>
        <w:pict w14:anchorId="7943251D">
          <v:rect id="_x0000_i1025" alt="" style="width:468pt;height:.05pt;mso-width-percent:0;mso-height-percent:0;mso-width-percent:0;mso-height-percent:0" o:hralign="center" o:hrstd="t" o:hr="t" fillcolor="#a0a0a0" stroked="f"/>
        </w:pict>
      </w:r>
    </w:p>
    <w:p w14:paraId="3DA97098" w14:textId="77777777" w:rsidR="006B2E87" w:rsidRPr="006B2E87" w:rsidRDefault="006B2E87" w:rsidP="006B2E87">
      <w:pPr>
        <w:pBdr>
          <w:top w:val="single" w:sz="2" w:space="0" w:color="auto"/>
          <w:left w:val="single" w:sz="2" w:space="0" w:color="auto"/>
          <w:bottom w:val="single" w:sz="2" w:space="0" w:color="auto"/>
          <w:right w:val="single" w:sz="2" w:space="0" w:color="auto"/>
        </w:pBdr>
        <w:rPr>
          <w:rFonts w:ascii="Georgia" w:hAnsi="Georgia"/>
          <w:color w:val="0B0B0B"/>
        </w:rPr>
      </w:pPr>
      <w:r w:rsidRPr="006B2E87">
        <w:rPr>
          <w:rFonts w:ascii="Georgia" w:hAnsi="Georgia"/>
          <w:color w:val="0B0B0B"/>
        </w:rPr>
        <w:t>This framework covers both the equity-linked ODI regime (SEBI) and the INR FX/rates NDF regime (RBI), which together define the full regulatory perimeter for a broker-dealer operating in or with exposure to India's offshore derivatives markets. Given the pace of regulatory change in 2025–2026 (multiple emergency RBI circulars within weeks), a dynamic rules engine with rapid update capability is the most critical architectural requirement.</w:t>
      </w:r>
    </w:p>
    <w:p w14:paraId="1ECE9033" w14:textId="77777777" w:rsidR="006B2E87" w:rsidRDefault="006B2E87"/>
    <w:sectPr w:rsidR="006B2E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var(--font-ui)">
    <w:altName w:val="Cambria"/>
    <w:panose1 w:val="020B0604020202020204"/>
    <w:charset w:val="00"/>
    <w:family w:val="roman"/>
    <w:notTrueType/>
    <w:pitch w:val="default"/>
  </w:font>
  <w:font w:name="var(--font-claude-respons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3B20"/>
    <w:multiLevelType w:val="multilevel"/>
    <w:tmpl w:val="0D4A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71485E"/>
    <w:multiLevelType w:val="multilevel"/>
    <w:tmpl w:val="28D61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5D7BE9"/>
    <w:multiLevelType w:val="multilevel"/>
    <w:tmpl w:val="EA90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721AB4"/>
    <w:multiLevelType w:val="multilevel"/>
    <w:tmpl w:val="67E6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8A7A9F"/>
    <w:multiLevelType w:val="multilevel"/>
    <w:tmpl w:val="E072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071826"/>
    <w:multiLevelType w:val="multilevel"/>
    <w:tmpl w:val="2902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570584">
    <w:abstractNumId w:val="1"/>
  </w:num>
  <w:num w:numId="2" w16cid:durableId="1264071889">
    <w:abstractNumId w:val="4"/>
  </w:num>
  <w:num w:numId="3" w16cid:durableId="2063941821">
    <w:abstractNumId w:val="5"/>
  </w:num>
  <w:num w:numId="4" w16cid:durableId="1168252718">
    <w:abstractNumId w:val="2"/>
  </w:num>
  <w:num w:numId="5" w16cid:durableId="1585384144">
    <w:abstractNumId w:val="3"/>
  </w:num>
  <w:num w:numId="6" w16cid:durableId="1320578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E87"/>
    <w:rsid w:val="006B2E87"/>
    <w:rsid w:val="00A4080B"/>
    <w:rsid w:val="00C06E37"/>
    <w:rsid w:val="00D52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6CCCD"/>
  <w15:chartTrackingRefBased/>
  <w15:docId w15:val="{76CC3792-C1AA-0743-9DDB-B59911DF6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653"/>
    <w:pPr>
      <w:spacing w:after="0" w:line="240" w:lineRule="auto"/>
    </w:pPr>
    <w:rPr>
      <w:rFonts w:ascii="Calibri" w:eastAsia="Times New Roman" w:hAnsi="Calibri" w:cs="Times New Roman"/>
      <w:kern w:val="0"/>
      <w14:ligatures w14:val="none"/>
    </w:rPr>
  </w:style>
  <w:style w:type="paragraph" w:styleId="Heading1">
    <w:name w:val="heading 1"/>
    <w:basedOn w:val="Normal"/>
    <w:next w:val="Normal"/>
    <w:link w:val="Heading1Char"/>
    <w:uiPriority w:val="9"/>
    <w:qFormat/>
    <w:rsid w:val="006B2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2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2E8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2E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6B2E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B2E8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2E8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2E8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2E8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E87"/>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rsid w:val="006B2E87"/>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6B2E87"/>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rsid w:val="006B2E87"/>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rsid w:val="006B2E87"/>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6B2E87"/>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6B2E87"/>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6B2E87"/>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6B2E87"/>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6B2E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E87"/>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B2E8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E87"/>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B2E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2E87"/>
    <w:rPr>
      <w:rFonts w:ascii="Calibri" w:eastAsia="Times New Roman" w:hAnsi="Calibri" w:cs="Times New Roman"/>
      <w:i/>
      <w:iCs/>
      <w:color w:val="404040" w:themeColor="text1" w:themeTint="BF"/>
      <w:kern w:val="0"/>
      <w14:ligatures w14:val="none"/>
    </w:rPr>
  </w:style>
  <w:style w:type="paragraph" w:styleId="ListParagraph">
    <w:name w:val="List Paragraph"/>
    <w:basedOn w:val="Normal"/>
    <w:uiPriority w:val="34"/>
    <w:qFormat/>
    <w:rsid w:val="006B2E87"/>
    <w:pPr>
      <w:ind w:left="720"/>
      <w:contextualSpacing/>
    </w:pPr>
  </w:style>
  <w:style w:type="character" w:styleId="IntenseEmphasis">
    <w:name w:val="Intense Emphasis"/>
    <w:basedOn w:val="DefaultParagraphFont"/>
    <w:uiPriority w:val="21"/>
    <w:qFormat/>
    <w:rsid w:val="006B2E87"/>
    <w:rPr>
      <w:i/>
      <w:iCs/>
      <w:color w:val="0F4761" w:themeColor="accent1" w:themeShade="BF"/>
    </w:rPr>
  </w:style>
  <w:style w:type="paragraph" w:styleId="IntenseQuote">
    <w:name w:val="Intense Quote"/>
    <w:basedOn w:val="Normal"/>
    <w:next w:val="Normal"/>
    <w:link w:val="IntenseQuoteChar"/>
    <w:uiPriority w:val="30"/>
    <w:qFormat/>
    <w:rsid w:val="006B2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E87"/>
    <w:rPr>
      <w:rFonts w:ascii="Calibri" w:eastAsia="Times New Roman" w:hAnsi="Calibri" w:cs="Times New Roman"/>
      <w:i/>
      <w:iCs/>
      <w:color w:val="0F4761" w:themeColor="accent1" w:themeShade="BF"/>
      <w:kern w:val="0"/>
      <w14:ligatures w14:val="none"/>
    </w:rPr>
  </w:style>
  <w:style w:type="character" w:styleId="IntenseReference">
    <w:name w:val="Intense Reference"/>
    <w:basedOn w:val="DefaultParagraphFont"/>
    <w:uiPriority w:val="32"/>
    <w:qFormat/>
    <w:rsid w:val="006B2E87"/>
    <w:rPr>
      <w:b/>
      <w:bCs/>
      <w:smallCaps/>
      <w:color w:val="0F4761" w:themeColor="accent1" w:themeShade="BF"/>
      <w:spacing w:val="5"/>
    </w:rPr>
  </w:style>
  <w:style w:type="paragraph" w:customStyle="1" w:styleId="font-claude-response-body">
    <w:name w:val="font-claude-response-body"/>
    <w:basedOn w:val="Normal"/>
    <w:rsid w:val="006B2E87"/>
    <w:pPr>
      <w:spacing w:before="100" w:beforeAutospacing="1" w:after="100" w:afterAutospacing="1"/>
    </w:pPr>
    <w:rPr>
      <w:rFonts w:ascii="Times New Roman" w:hAnsi="Times New Roman"/>
    </w:rPr>
  </w:style>
  <w:style w:type="character" w:customStyle="1" w:styleId="apple-converted-space">
    <w:name w:val="apple-converted-space"/>
    <w:basedOn w:val="DefaultParagraphFont"/>
    <w:rsid w:val="006B2E87"/>
  </w:style>
  <w:style w:type="character" w:styleId="Strong">
    <w:name w:val="Strong"/>
    <w:basedOn w:val="DefaultParagraphFont"/>
    <w:uiPriority w:val="22"/>
    <w:qFormat/>
    <w:rsid w:val="006B2E87"/>
    <w:rPr>
      <w:b/>
      <w:bCs/>
    </w:rPr>
  </w:style>
  <w:style w:type="character" w:customStyle="1" w:styleId="inline-flex">
    <w:name w:val="inline-flex"/>
    <w:basedOn w:val="DefaultParagraphFont"/>
    <w:rsid w:val="006B2E87"/>
  </w:style>
  <w:style w:type="character" w:customStyle="1" w:styleId="text-nowrap">
    <w:name w:val="text-nowrap"/>
    <w:basedOn w:val="DefaultParagraphFont"/>
    <w:rsid w:val="006B2E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iacorplaw.in/2025/07/17/regulating-equity-exposure-offshore-derivative-instruments-a-substance-over-form-imperative-for-sebi/" TargetMode="External"/><Relationship Id="rId13" Type="http://schemas.openxmlformats.org/officeDocument/2006/relationships/hyperlink" Target="https://www.5paisa.com/news/rbi-withdraws-curbs-on-offshore-rupee-derivatives-eases-ndf-trading-rules" TargetMode="External"/><Relationship Id="rId3" Type="http://schemas.openxmlformats.org/officeDocument/2006/relationships/settings" Target="settings.xml"/><Relationship Id="rId7" Type="http://schemas.openxmlformats.org/officeDocument/2006/relationships/hyperlink" Target="https://www.lexology.com/library/detail.aspx?g=f7595461-f20b-431e-89d7-ee2d08c000fa" TargetMode="External"/><Relationship Id="rId12" Type="http://schemas.openxmlformats.org/officeDocument/2006/relationships/hyperlink" Target="https://worldtradescanner.com/03-RBI%20Circular-01.04.2026.ht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india-briefing.com/news/india-sebi-tightens-rules-on-odi-fpi-capital-market-35499.html/" TargetMode="External"/><Relationship Id="rId11" Type="http://schemas.openxmlformats.org/officeDocument/2006/relationships/hyperlink" Target="https://www.multibagg.ai/market-pulse/articles/rbi-bans-rupee-ndfs-forex-rules-cmngd9fst000olv0ja4nasiua" TargetMode="External"/><Relationship Id="rId5" Type="http://schemas.openxmlformats.org/officeDocument/2006/relationships/hyperlink" Target="https://www.irccl.in/post/offshore-derivative-instruments-regulations-in-india" TargetMode="External"/><Relationship Id="rId15" Type="http://schemas.openxmlformats.org/officeDocument/2006/relationships/fontTable" Target="fontTable.xml"/><Relationship Id="rId10" Type="http://schemas.openxmlformats.org/officeDocument/2006/relationships/hyperlink" Target="https://indiacorplaw.in/2025/07/17/regulating-equity-exposure-offshore-derivative-instruments-a-substance-over-form-imperative-for-sebi/" TargetMode="External"/><Relationship Id="rId4" Type="http://schemas.openxmlformats.org/officeDocument/2006/relationships/webSettings" Target="webSettings.xml"/><Relationship Id="rId9" Type="http://schemas.openxmlformats.org/officeDocument/2006/relationships/hyperlink" Target="https://www.irccl.in/post/offshore-derivative-instruments-regulations-in-india" TargetMode="External"/><Relationship Id="rId14" Type="http://schemas.openxmlformats.org/officeDocument/2006/relationships/hyperlink" Target="https://taxguru.in/rbi/rbi-releases-draft-directions-foreign-exchange-dealings-authorised-pers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1652</Words>
  <Characters>9419</Characters>
  <Application>Microsoft Office Word</Application>
  <DocSecurity>0</DocSecurity>
  <Lines>78</Lines>
  <Paragraphs>22</Paragraphs>
  <ScaleCrop>false</ScaleCrop>
  <Company/>
  <LinksUpToDate>false</LinksUpToDate>
  <CharactersWithSpaces>11049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Geethika Chitturi</dc:creator>
  <cp:keywords/>
  <dc:description/>
  <cp:lastModifiedBy>Geethika Chitturi</cp:lastModifiedBy>
  <cp:revision>1</cp:revision>
  <dcterms:created xsi:type="dcterms:W3CDTF">2026-06-12T00:19:00Z</dcterms:created>
  <dcterms:modified xsi:type="dcterms:W3CDTF">2026-06-12T00:20:00Z</dcterms:modified>
</cp:coreProperties>
</file>