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ABD5" w14:textId="77777777" w:rsidR="00B8357B" w:rsidRPr="00B8357B" w:rsidRDefault="00B8357B" w:rsidP="00B8357B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Official Websites You Should Download </w:t>
      </w:r>
      <w:proofErr w:type="gramStart"/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From</w:t>
      </w:r>
      <w:proofErr w:type="gramEnd"/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Directly</w:t>
      </w:r>
    </w:p>
    <w:p w14:paraId="42E70616" w14:textId="77777777" w:rsidR="00B8357B" w:rsidRPr="00B8357B" w:rsidRDefault="00B8357B" w:rsidP="00B835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FINRA Rule 4210 (2026 Intraday Margin Amendments):</w:t>
      </w:r>
    </w:p>
    <w:p w14:paraId="33E14FA3" w14:textId="77777777" w:rsidR="00B8357B" w:rsidRPr="00B8357B" w:rsidRDefault="00B8357B" w:rsidP="00B8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FINRA Regulatory Notice 26-10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 (the primary compliance document, includes Attachment A with full amended rule text):</w:t>
      </w:r>
    </w:p>
    <w:p w14:paraId="65B8EB4B" w14:textId="77777777" w:rsidR="00B8357B" w:rsidRPr="00B8357B" w:rsidRDefault="00B8357B" w:rsidP="00B835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HTML: </w:t>
      </w:r>
      <w:hyperlink r:id="rId5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https://www.finra.org/rules-guidance/notices/26-10</w:t>
        </w:r>
      </w:hyperlink>
    </w:p>
    <w:p w14:paraId="0227763D" w14:textId="77777777" w:rsidR="00B8357B" w:rsidRPr="00B8357B" w:rsidRDefault="00B8357B" w:rsidP="00B835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PDF: </w:t>
      </w:r>
      <w:hyperlink r:id="rId6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https://www.finra.org/sites/default/files/2026-04/Regulatory-Notice-26-10.pdf</w:t>
        </w:r>
      </w:hyperlink>
    </w:p>
    <w:p w14:paraId="3EEFBB68" w14:textId="77777777" w:rsidR="00B8357B" w:rsidRPr="00B8357B" w:rsidRDefault="00B8357B" w:rsidP="00B8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SEC Approval Order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 (91 FR 20731, Release No. 34-105226):</w:t>
      </w:r>
    </w:p>
    <w:p w14:paraId="0DF555EF" w14:textId="77777777" w:rsidR="00B8357B" w:rsidRPr="00B8357B" w:rsidRDefault="00B8357B" w:rsidP="00B835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hyperlink r:id="rId7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https://www.federalregister.gov/documents/2026/04/17/2026-07485/</w:t>
        </w:r>
      </w:hyperlink>
    </w:p>
    <w:p w14:paraId="17EE7171" w14:textId="77777777" w:rsidR="00B8357B" w:rsidRPr="00B8357B" w:rsidRDefault="00B8357B" w:rsidP="00B835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Official PDF: </w:t>
      </w:r>
      <w:hyperlink r:id="rId8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https://www.govinfo.gov/content/pkg/FR-2026-04-17/pdf/2026-07485.pdf</w:t>
        </w:r>
      </w:hyperlink>
    </w:p>
    <w:p w14:paraId="3182B7B2" w14:textId="77777777" w:rsidR="00B8357B" w:rsidRPr="00B8357B" w:rsidRDefault="00B8357B" w:rsidP="00B8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Original Proposed Rule Change Filing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 (91 FR 1580):</w:t>
      </w:r>
    </w:p>
    <w:p w14:paraId="7ECDF19D" w14:textId="77777777" w:rsidR="00B8357B" w:rsidRPr="00B8357B" w:rsidRDefault="00B8357B" w:rsidP="00B835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hyperlink r:id="rId9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https://www.federalregister.gov/documents/2026/01/14/2026-00519/</w:t>
        </w:r>
      </w:hyperlink>
    </w:p>
    <w:p w14:paraId="3DBB1EF4" w14:textId="77777777" w:rsidR="00B8357B" w:rsidRPr="00B8357B" w:rsidRDefault="00B8357B" w:rsidP="00B83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FINRA Rule 4210 Full Text &amp; Interpretations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: </w:t>
      </w:r>
      <w:hyperlink r:id="rId10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https://www.finra.org/rules-guidance/guidance/interps-4210</w:t>
        </w:r>
      </w:hyperlink>
    </w:p>
    <w:p w14:paraId="4E9F4756" w14:textId="77777777" w:rsidR="00B8357B" w:rsidRPr="00B8357B" w:rsidRDefault="00B8357B" w:rsidP="00B835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Regulation T:</w:t>
      </w:r>
    </w:p>
    <w:p w14:paraId="4F80A022" w14:textId="77777777" w:rsidR="00B8357B" w:rsidRPr="00B8357B" w:rsidRDefault="00B8357B" w:rsidP="00B83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Full Regulation T text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 (12 CFR Part 220, current): </w:t>
      </w:r>
      <w:hyperlink r:id="rId11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https://www.ecfr.gov/current/title-12/chapter-II/subchapter-A/part-220</w:t>
        </w:r>
      </w:hyperlink>
    </w:p>
    <w:p w14:paraId="148C15CA" w14:textId="77777777" w:rsidR="00B8357B" w:rsidRPr="00B8357B" w:rsidRDefault="00B8357B" w:rsidP="00B835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FINRA 2026 Oversight Report:</w:t>
      </w:r>
    </w:p>
    <w:p w14:paraId="5D2CAD43" w14:textId="77777777" w:rsidR="00B8357B" w:rsidRPr="00B8357B" w:rsidRDefault="00B8357B" w:rsidP="00B83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2026 Annual Regulatory Oversight Report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: </w:t>
      </w:r>
      <w:hyperlink r:id="rId12" w:history="1">
        <w:r w:rsidRPr="00B8357B">
          <w:rPr>
            <w:rFonts w:ascii="Calibri" w:eastAsia="Times New Roman" w:hAnsi="Calibri" w:cs="Calibri"/>
            <w:color w:val="0000FF"/>
            <w:kern w:val="0"/>
            <w:u w:val="single"/>
            <w14:ligatures w14:val="none"/>
          </w:rPr>
          <w:t>https://www.finra.org/rules-guidance/guidance/reports/2026-finra-annual-regulatory-oversight-report</w:t>
        </w:r>
      </w:hyperlink>
    </w:p>
    <w:p w14:paraId="15FFDD1A" w14:textId="77777777" w:rsidR="00B8357B" w:rsidRPr="00B8357B" w:rsidRDefault="00B8357B" w:rsidP="00B835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The key deadline is </w:t>
      </w: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June 4, 2026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 (effective date), with an 18-month phase-in through </w:t>
      </w:r>
      <w:r w:rsidRPr="00B8357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October 20, 2027</w:t>
      </w:r>
      <w:r w:rsidRPr="00B8357B">
        <w:rPr>
          <w:rFonts w:ascii="Calibri" w:eastAsia="Times New Roman" w:hAnsi="Calibri" w:cs="Calibri"/>
          <w:color w:val="000000"/>
          <w:kern w:val="0"/>
          <w14:ligatures w14:val="none"/>
        </w:rPr>
        <w:t>. FINRA has also indicated it will issue additional interpretive guidance shortly.</w:t>
      </w:r>
    </w:p>
    <w:p w14:paraId="779B1950" w14:textId="77777777" w:rsidR="00B8357B" w:rsidRPr="00B8357B" w:rsidRDefault="00B8357B">
      <w:pPr>
        <w:rPr>
          <w:rFonts w:ascii="Calibri" w:hAnsi="Calibri" w:cs="Calibri"/>
        </w:rPr>
      </w:pPr>
    </w:p>
    <w:sectPr w:rsidR="00B8357B" w:rsidRPr="00B83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08B"/>
    <w:multiLevelType w:val="multilevel"/>
    <w:tmpl w:val="37DEBF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17CF6"/>
    <w:multiLevelType w:val="multilevel"/>
    <w:tmpl w:val="7D00D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5E1EDF"/>
    <w:multiLevelType w:val="multilevel"/>
    <w:tmpl w:val="177091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078138">
    <w:abstractNumId w:val="1"/>
  </w:num>
  <w:num w:numId="2" w16cid:durableId="91322946">
    <w:abstractNumId w:val="0"/>
  </w:num>
  <w:num w:numId="3" w16cid:durableId="1497846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7B"/>
    <w:rsid w:val="006973EB"/>
    <w:rsid w:val="00B8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75343"/>
  <w15:chartTrackingRefBased/>
  <w15:docId w15:val="{F1CFD063-CB71-9C49-9CE9-4E6382C71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57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83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357B"/>
    <w:rPr>
      <w:b/>
      <w:bCs/>
    </w:rPr>
  </w:style>
  <w:style w:type="character" w:customStyle="1" w:styleId="apple-converted-space">
    <w:name w:val="apple-converted-space"/>
    <w:basedOn w:val="DefaultParagraphFont"/>
    <w:rsid w:val="00B8357B"/>
  </w:style>
  <w:style w:type="character" w:styleId="Hyperlink">
    <w:name w:val="Hyperlink"/>
    <w:basedOn w:val="DefaultParagraphFont"/>
    <w:uiPriority w:val="99"/>
    <w:semiHidden/>
    <w:unhideWhenUsed/>
    <w:rsid w:val="00B835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info.gov/content/pkg/FR-2026-04-17/pdf/2026-07485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ederalregister.gov/documents/2026/04/17/2026-07485/" TargetMode="External"/><Relationship Id="rId12" Type="http://schemas.openxmlformats.org/officeDocument/2006/relationships/hyperlink" Target="https://www.finra.org/rules-guidance/guidance/reports/2026-finra-annual-regulatory-oversight-repo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nra.org/sites/default/files/2026-04/Regulatory-Notice-26-10.pdf" TargetMode="External"/><Relationship Id="rId11" Type="http://schemas.openxmlformats.org/officeDocument/2006/relationships/hyperlink" Target="https://www.ecfr.gov/current/title-12/chapter-II/subchapter-A/part-220" TargetMode="External"/><Relationship Id="rId5" Type="http://schemas.openxmlformats.org/officeDocument/2006/relationships/hyperlink" Target="https://www.finra.org/rules-guidance/notices/26-10" TargetMode="External"/><Relationship Id="rId10" Type="http://schemas.openxmlformats.org/officeDocument/2006/relationships/hyperlink" Target="https://www.finra.org/rules-guidance/guidance/interps-42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ederalregister.gov/documents/2026/01/14/2026-0051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Chitturi</dc:creator>
  <cp:keywords/>
  <dc:description/>
  <cp:lastModifiedBy>Geethika Chitturi</cp:lastModifiedBy>
  <cp:revision>1</cp:revision>
  <dcterms:created xsi:type="dcterms:W3CDTF">2026-05-22T15:57:00Z</dcterms:created>
  <dcterms:modified xsi:type="dcterms:W3CDTF">2026-05-22T15:58:00Z</dcterms:modified>
</cp:coreProperties>
</file>