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70E98" w:rsidRPr="00610DF2" w:rsidRDefault="00570E98" w:rsidP="00570E98">
      <w:pPr>
        <w:pStyle w:val="Heading1"/>
      </w:pPr>
      <w:r>
        <w:t xml:space="preserve">Regulation T and FINRA </w:t>
      </w:r>
      <w:proofErr w:type="gramStart"/>
      <w:r>
        <w:t>4210  -</w:t>
      </w:r>
      <w:proofErr w:type="gramEnd"/>
      <w:r>
        <w:t xml:space="preserve"> Q&amp;A</w:t>
      </w:r>
    </w:p>
    <w:p w:rsidR="00570E98" w:rsidRDefault="00570E98" w:rsidP="00570E98">
      <w:pPr>
        <w:rPr>
          <w:b/>
          <w:bCs/>
        </w:rPr>
      </w:pPr>
    </w:p>
    <w:p w:rsidR="00570E98" w:rsidRDefault="00570E98" w:rsidP="00570E98">
      <w:pPr>
        <w:rPr>
          <w:b/>
          <w:bCs/>
        </w:rPr>
      </w:pPr>
      <w:r w:rsidRPr="0037642E">
        <w:rPr>
          <w:b/>
          <w:bCs/>
        </w:rPr>
        <w:t>Financial Industry Regulatory Authority</w:t>
      </w:r>
    </w:p>
    <w:p w:rsidR="00570E98" w:rsidRDefault="00570E98" w:rsidP="00570E98">
      <w:pPr>
        <w:rPr>
          <w:b/>
          <w:bCs/>
        </w:rPr>
      </w:pPr>
    </w:p>
    <w:p w:rsidR="00570E98" w:rsidRDefault="00570E98" w:rsidP="00570E98">
      <w:r w:rsidRPr="00CF3E84">
        <w:t>It is a non-governmental, self-regulatory organisation in the United States that oversees broker-dealers — the firms and individuals that buy and sell securities on behalf of customers. It operates under the oversight of the SEC (Securities and Exchange Commission) but is not a government body itself.</w:t>
      </w:r>
    </w:p>
    <w:p w:rsidR="00570E98" w:rsidRPr="00CF3E84" w:rsidRDefault="00570E98" w:rsidP="00570E98"/>
    <w:p w:rsidR="00570E98" w:rsidRDefault="00570E98" w:rsidP="00570E98">
      <w:r w:rsidRPr="00CF3E84">
        <w:t>In plain terms — if you are a broker-dealer operating in the US, FINRA is the organisation that writes and enforces the conduct rules you must follow, including margin requirements under Rule 4210.</w:t>
      </w:r>
    </w:p>
    <w:p w:rsidR="00570E98" w:rsidRDefault="00570E98" w:rsidP="00570E98"/>
    <w:p w:rsidR="00570E98" w:rsidRDefault="00570E98" w:rsidP="00570E98">
      <w:pPr>
        <w:rPr>
          <w:b/>
          <w:bCs/>
        </w:rPr>
      </w:pPr>
      <w:r w:rsidRPr="00610DF2">
        <w:rPr>
          <w:b/>
          <w:bCs/>
        </w:rPr>
        <w:t>Who Must Be a FINRA Member and What Are Their Obligations?</w:t>
      </w:r>
    </w:p>
    <w:p w:rsidR="00570E98" w:rsidRPr="00610DF2" w:rsidRDefault="00570E98" w:rsidP="00570E98">
      <w:pPr>
        <w:rPr>
          <w:b/>
          <w:bCs/>
        </w:rPr>
      </w:pPr>
    </w:p>
    <w:p w:rsidR="00570E98" w:rsidRDefault="00570E98" w:rsidP="00570E98">
      <w:pPr>
        <w:rPr>
          <w:b/>
          <w:bCs/>
        </w:rPr>
      </w:pPr>
      <w:r w:rsidRPr="00610DF2">
        <w:rPr>
          <w:b/>
          <w:bCs/>
        </w:rPr>
        <w:t>Who Must Be a FINRA Member</w:t>
      </w:r>
    </w:p>
    <w:p w:rsidR="00570E98" w:rsidRPr="00610DF2" w:rsidRDefault="00570E98" w:rsidP="00570E98"/>
    <w:p w:rsidR="00570E98" w:rsidRPr="00610DF2" w:rsidRDefault="00570E98" w:rsidP="00570E98">
      <w:r w:rsidRPr="00610DF2">
        <w:t>FINRA membership is mandatory — not optional — for any firm that falls into either of these categories:</w:t>
      </w:r>
    </w:p>
    <w:p w:rsidR="00570E98" w:rsidRPr="00610DF2" w:rsidRDefault="00570E98" w:rsidP="00570E98">
      <w:r w:rsidRPr="00610DF2">
        <w:t xml:space="preserve">Any firm that is a </w:t>
      </w:r>
      <w:r w:rsidRPr="00610DF2">
        <w:rPr>
          <w:b/>
          <w:bCs/>
        </w:rPr>
        <w:t>broker-dealer registered with the SEC</w:t>
      </w:r>
      <w:r w:rsidRPr="00610DF2">
        <w:t xml:space="preserve"> under the Securities Exchange Act of 1934 and conducts business with the US public in equities, corporate bonds, municipal securities, options, or other securities — must be a FINRA member.</w:t>
      </w:r>
    </w:p>
    <w:p w:rsidR="00570E98" w:rsidRDefault="00570E98" w:rsidP="00570E98">
      <w:r w:rsidRPr="00610DF2">
        <w:t xml:space="preserve">Any firm that </w:t>
      </w:r>
      <w:r w:rsidRPr="00610DF2">
        <w:rPr>
          <w:b/>
          <w:bCs/>
        </w:rPr>
        <w:t>underwrites, trades, or sells securities</w:t>
      </w:r>
      <w:r w:rsidRPr="00610DF2">
        <w:t xml:space="preserve"> to retail or institutional customers in the US — must be a FINRA member.</w:t>
      </w:r>
    </w:p>
    <w:p w:rsidR="00570E98" w:rsidRPr="00610DF2" w:rsidRDefault="00570E98" w:rsidP="00570E98"/>
    <w:p w:rsidR="00570E98" w:rsidRDefault="00570E98" w:rsidP="00570E98">
      <w:r w:rsidRPr="00610DF2">
        <w:t>This covers a very wide range of firms:</w:t>
      </w:r>
    </w:p>
    <w:p w:rsidR="00570E98" w:rsidRPr="00610DF2" w:rsidRDefault="00570E98" w:rsidP="00570E98"/>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5082"/>
        <w:gridCol w:w="3934"/>
      </w:tblGrid>
      <w:tr w:rsidR="00570E98" w:rsidRPr="00610DF2" w:rsidTr="00760D97">
        <w:trPr>
          <w:tblHeader/>
          <w:tblCellSpacing w:w="15" w:type="dxa"/>
        </w:trPr>
        <w:tc>
          <w:tcPr>
            <w:tcW w:w="0" w:type="auto"/>
            <w:vAlign w:val="center"/>
            <w:hideMark/>
          </w:tcPr>
          <w:p w:rsidR="00570E98" w:rsidRPr="00610DF2" w:rsidRDefault="00570E98" w:rsidP="00760D97">
            <w:pPr>
              <w:rPr>
                <w:b/>
                <w:bCs/>
              </w:rPr>
            </w:pPr>
            <w:r w:rsidRPr="00610DF2">
              <w:rPr>
                <w:b/>
                <w:bCs/>
              </w:rPr>
              <w:t>Firm Type</w:t>
            </w:r>
          </w:p>
        </w:tc>
        <w:tc>
          <w:tcPr>
            <w:tcW w:w="0" w:type="auto"/>
            <w:vAlign w:val="center"/>
            <w:hideMark/>
          </w:tcPr>
          <w:p w:rsidR="00570E98" w:rsidRPr="00610DF2" w:rsidRDefault="00570E98" w:rsidP="00760D97">
            <w:pPr>
              <w:rPr>
                <w:b/>
                <w:bCs/>
              </w:rPr>
            </w:pPr>
            <w:r w:rsidRPr="00610DF2">
              <w:rPr>
                <w:b/>
                <w:bCs/>
              </w:rPr>
              <w:t>FINRA Member?</w:t>
            </w:r>
          </w:p>
        </w:tc>
      </w:tr>
      <w:tr w:rsidR="00570E98" w:rsidRPr="00610DF2" w:rsidTr="00760D97">
        <w:trPr>
          <w:tblCellSpacing w:w="15" w:type="dxa"/>
        </w:trPr>
        <w:tc>
          <w:tcPr>
            <w:tcW w:w="0" w:type="auto"/>
            <w:vAlign w:val="center"/>
            <w:hideMark/>
          </w:tcPr>
          <w:p w:rsidR="00570E98" w:rsidRPr="00610DF2" w:rsidRDefault="00570E98" w:rsidP="00760D97">
            <w:r w:rsidRPr="00610DF2">
              <w:t>Full-service broker-dealers (Goldman Sachs, Morgan Stanley)</w:t>
            </w:r>
          </w:p>
        </w:tc>
        <w:tc>
          <w:tcPr>
            <w:tcW w:w="0" w:type="auto"/>
            <w:vAlign w:val="center"/>
            <w:hideMark/>
          </w:tcPr>
          <w:p w:rsidR="00570E98" w:rsidRPr="00610DF2" w:rsidRDefault="00570E98" w:rsidP="00760D97">
            <w:r w:rsidRPr="00610DF2">
              <w:t>Yes — mandatory</w:t>
            </w:r>
          </w:p>
        </w:tc>
      </w:tr>
      <w:tr w:rsidR="00570E98" w:rsidRPr="00610DF2" w:rsidTr="00760D97">
        <w:trPr>
          <w:tblCellSpacing w:w="15" w:type="dxa"/>
        </w:trPr>
        <w:tc>
          <w:tcPr>
            <w:tcW w:w="0" w:type="auto"/>
            <w:vAlign w:val="center"/>
            <w:hideMark/>
          </w:tcPr>
          <w:p w:rsidR="00570E98" w:rsidRPr="00610DF2" w:rsidRDefault="00570E98" w:rsidP="00760D97">
            <w:r w:rsidRPr="00610DF2">
              <w:t>Discount brokers (Schwab, Fidelity, Interactive Brokers)</w:t>
            </w:r>
          </w:p>
        </w:tc>
        <w:tc>
          <w:tcPr>
            <w:tcW w:w="0" w:type="auto"/>
            <w:vAlign w:val="center"/>
            <w:hideMark/>
          </w:tcPr>
          <w:p w:rsidR="00570E98" w:rsidRPr="00610DF2" w:rsidRDefault="00570E98" w:rsidP="00760D97">
            <w:r w:rsidRPr="00610DF2">
              <w:t>Yes — mandatory</w:t>
            </w:r>
          </w:p>
        </w:tc>
      </w:tr>
      <w:tr w:rsidR="00570E98" w:rsidRPr="00610DF2" w:rsidTr="00760D97">
        <w:trPr>
          <w:tblCellSpacing w:w="15" w:type="dxa"/>
        </w:trPr>
        <w:tc>
          <w:tcPr>
            <w:tcW w:w="0" w:type="auto"/>
            <w:vAlign w:val="center"/>
            <w:hideMark/>
          </w:tcPr>
          <w:p w:rsidR="00570E98" w:rsidRPr="00610DF2" w:rsidRDefault="00570E98" w:rsidP="00760D97">
            <w:r w:rsidRPr="00610DF2">
              <w:t>Investment banks with broker-dealer operations (Citi, JP Morgan)</w:t>
            </w:r>
          </w:p>
        </w:tc>
        <w:tc>
          <w:tcPr>
            <w:tcW w:w="0" w:type="auto"/>
            <w:vAlign w:val="center"/>
            <w:hideMark/>
          </w:tcPr>
          <w:p w:rsidR="00570E98" w:rsidRPr="00610DF2" w:rsidRDefault="00570E98" w:rsidP="00760D97">
            <w:r w:rsidRPr="00610DF2">
              <w:t>Yes — mandatory</w:t>
            </w:r>
          </w:p>
        </w:tc>
      </w:tr>
      <w:tr w:rsidR="00570E98" w:rsidRPr="00610DF2" w:rsidTr="00760D97">
        <w:trPr>
          <w:tblCellSpacing w:w="15" w:type="dxa"/>
        </w:trPr>
        <w:tc>
          <w:tcPr>
            <w:tcW w:w="0" w:type="auto"/>
            <w:vAlign w:val="center"/>
            <w:hideMark/>
          </w:tcPr>
          <w:p w:rsidR="00570E98" w:rsidRPr="00610DF2" w:rsidRDefault="00570E98" w:rsidP="00760D97">
            <w:r w:rsidRPr="00610DF2">
              <w:t>Market makers and high-frequency trading firms</w:t>
            </w:r>
          </w:p>
        </w:tc>
        <w:tc>
          <w:tcPr>
            <w:tcW w:w="0" w:type="auto"/>
            <w:vAlign w:val="center"/>
            <w:hideMark/>
          </w:tcPr>
          <w:p w:rsidR="00570E98" w:rsidRPr="00610DF2" w:rsidRDefault="00570E98" w:rsidP="00760D97">
            <w:r w:rsidRPr="00610DF2">
              <w:t>Yes — if registered as broker-dealers</w:t>
            </w:r>
          </w:p>
        </w:tc>
      </w:tr>
      <w:tr w:rsidR="00570E98" w:rsidRPr="00610DF2" w:rsidTr="00760D97">
        <w:trPr>
          <w:tblCellSpacing w:w="15" w:type="dxa"/>
        </w:trPr>
        <w:tc>
          <w:tcPr>
            <w:tcW w:w="0" w:type="auto"/>
            <w:vAlign w:val="center"/>
            <w:hideMark/>
          </w:tcPr>
          <w:p w:rsidR="00570E98" w:rsidRPr="00610DF2" w:rsidRDefault="00570E98" w:rsidP="00760D97">
            <w:r w:rsidRPr="00610DF2">
              <w:t>Introducing brokers</w:t>
            </w:r>
          </w:p>
        </w:tc>
        <w:tc>
          <w:tcPr>
            <w:tcW w:w="0" w:type="auto"/>
            <w:vAlign w:val="center"/>
            <w:hideMark/>
          </w:tcPr>
          <w:p w:rsidR="00570E98" w:rsidRPr="00610DF2" w:rsidRDefault="00570E98" w:rsidP="00760D97">
            <w:r w:rsidRPr="00610DF2">
              <w:t>Yes — mandatory</w:t>
            </w:r>
          </w:p>
        </w:tc>
      </w:tr>
      <w:tr w:rsidR="00570E98" w:rsidRPr="00610DF2" w:rsidTr="00760D97">
        <w:trPr>
          <w:tblCellSpacing w:w="15" w:type="dxa"/>
        </w:trPr>
        <w:tc>
          <w:tcPr>
            <w:tcW w:w="0" w:type="auto"/>
            <w:vAlign w:val="center"/>
            <w:hideMark/>
          </w:tcPr>
          <w:p w:rsidR="00570E98" w:rsidRPr="00610DF2" w:rsidRDefault="00570E98" w:rsidP="00760D97">
            <w:r w:rsidRPr="00610DF2">
              <w:t>Pure investment advisers (RIAs)</w:t>
            </w:r>
          </w:p>
        </w:tc>
        <w:tc>
          <w:tcPr>
            <w:tcW w:w="0" w:type="auto"/>
            <w:vAlign w:val="center"/>
            <w:hideMark/>
          </w:tcPr>
          <w:p w:rsidR="00570E98" w:rsidRPr="00610DF2" w:rsidRDefault="00570E98" w:rsidP="00760D97">
            <w:r w:rsidRPr="00610DF2">
              <w:t>No — regulated by SEC or state, not FINRA</w:t>
            </w:r>
          </w:p>
        </w:tc>
      </w:tr>
      <w:tr w:rsidR="00570E98" w:rsidRPr="00610DF2" w:rsidTr="00760D97">
        <w:trPr>
          <w:tblCellSpacing w:w="15" w:type="dxa"/>
        </w:trPr>
        <w:tc>
          <w:tcPr>
            <w:tcW w:w="0" w:type="auto"/>
            <w:vAlign w:val="center"/>
            <w:hideMark/>
          </w:tcPr>
          <w:p w:rsidR="00570E98" w:rsidRPr="00610DF2" w:rsidRDefault="00570E98" w:rsidP="00760D97">
            <w:r w:rsidRPr="00610DF2">
              <w:t>Hedge funds</w:t>
            </w:r>
          </w:p>
        </w:tc>
        <w:tc>
          <w:tcPr>
            <w:tcW w:w="0" w:type="auto"/>
            <w:vAlign w:val="center"/>
            <w:hideMark/>
          </w:tcPr>
          <w:p w:rsidR="00570E98" w:rsidRPr="00610DF2" w:rsidRDefault="00570E98" w:rsidP="00760D97">
            <w:r w:rsidRPr="00610DF2">
              <w:t>No — not broker-dealers</w:t>
            </w:r>
          </w:p>
        </w:tc>
      </w:tr>
      <w:tr w:rsidR="00570E98" w:rsidRPr="00610DF2" w:rsidTr="00760D97">
        <w:trPr>
          <w:tblCellSpacing w:w="15" w:type="dxa"/>
        </w:trPr>
        <w:tc>
          <w:tcPr>
            <w:tcW w:w="0" w:type="auto"/>
            <w:vAlign w:val="center"/>
            <w:hideMark/>
          </w:tcPr>
          <w:p w:rsidR="00570E98" w:rsidRPr="00610DF2" w:rsidRDefault="00570E98" w:rsidP="00760D97">
            <w:r w:rsidRPr="00610DF2">
              <w:t>Insurance companies</w:t>
            </w:r>
          </w:p>
        </w:tc>
        <w:tc>
          <w:tcPr>
            <w:tcW w:w="0" w:type="auto"/>
            <w:vAlign w:val="center"/>
            <w:hideMark/>
          </w:tcPr>
          <w:p w:rsidR="00570E98" w:rsidRPr="00610DF2" w:rsidRDefault="00570E98" w:rsidP="00760D97">
            <w:r w:rsidRPr="00610DF2">
              <w:t>No — unless operating a broker-dealer subsidiary</w:t>
            </w:r>
          </w:p>
        </w:tc>
      </w:tr>
      <w:tr w:rsidR="00570E98" w:rsidRPr="00610DF2" w:rsidTr="00760D97">
        <w:trPr>
          <w:tblCellSpacing w:w="15" w:type="dxa"/>
        </w:trPr>
        <w:tc>
          <w:tcPr>
            <w:tcW w:w="0" w:type="auto"/>
            <w:vAlign w:val="center"/>
            <w:hideMark/>
          </w:tcPr>
          <w:p w:rsidR="00570E98" w:rsidRPr="00610DF2" w:rsidRDefault="00570E98" w:rsidP="00760D97">
            <w:r w:rsidRPr="00610DF2">
              <w:t>Banks</w:t>
            </w:r>
          </w:p>
        </w:tc>
        <w:tc>
          <w:tcPr>
            <w:tcW w:w="0" w:type="auto"/>
            <w:vAlign w:val="center"/>
            <w:hideMark/>
          </w:tcPr>
          <w:p w:rsidR="00570E98" w:rsidRPr="00610DF2" w:rsidRDefault="00570E98" w:rsidP="00760D97">
            <w:r w:rsidRPr="00610DF2">
              <w:t>No — unless operating a broker-dealer subsidiary</w:t>
            </w:r>
          </w:p>
        </w:tc>
      </w:tr>
    </w:tbl>
    <w:p w:rsidR="00570E98" w:rsidRDefault="00570E98" w:rsidP="00570E98"/>
    <w:p w:rsidR="00570E98" w:rsidRPr="00610DF2" w:rsidRDefault="00570E98" w:rsidP="00570E98">
      <w:r w:rsidRPr="00610DF2">
        <w:t>This last point is directly relevant to your Citi background. Citi's broker-dealer subsidiary — Citigroup Global Markets — is a FINRA member. Citi the bank is not. The regulatory perimeter sits precisely at the broker-dealer entity.</w:t>
      </w:r>
    </w:p>
    <w:p w:rsidR="00570E98" w:rsidRDefault="00570E98" w:rsidP="00570E98">
      <w:pPr>
        <w:rPr>
          <w:b/>
          <w:bCs/>
        </w:rPr>
      </w:pPr>
      <w:r w:rsidRPr="00610DF2">
        <w:rPr>
          <w:b/>
          <w:bCs/>
        </w:rPr>
        <w:t>Obligations of FINRA Membership</w:t>
      </w:r>
    </w:p>
    <w:p w:rsidR="00570E98" w:rsidRPr="00610DF2" w:rsidRDefault="00570E98" w:rsidP="00570E98"/>
    <w:p w:rsidR="00570E98" w:rsidRDefault="00570E98" w:rsidP="00570E98">
      <w:r w:rsidRPr="00610DF2">
        <w:t>Once a firm is a FINRA member it takes on a substantial set of ongoing obligations across several categories:</w:t>
      </w:r>
    </w:p>
    <w:p w:rsidR="00570E98" w:rsidRPr="00610DF2" w:rsidRDefault="00570E98" w:rsidP="00570E98"/>
    <w:p w:rsidR="00570E98" w:rsidRDefault="00570E98" w:rsidP="00570E98">
      <w:r w:rsidRPr="00610DF2">
        <w:rPr>
          <w:b/>
          <w:bCs/>
        </w:rPr>
        <w:t>Registration obligations.</w:t>
      </w:r>
      <w:r w:rsidRPr="00610DF2">
        <w:t xml:space="preserve"> Every person associated with a FINRA member firm who engages in securities activities — including traders, brokers, research analysts, investment bankers, and compliance officers — must be individually registered with FINRA. This requires passing relevant qualification examinations. The Series 7 is the general securities representative licence. The Series 24 is the general securities principal licence for supervisors. There are dozens of specific licences for different activities.</w:t>
      </w:r>
    </w:p>
    <w:p w:rsidR="00570E98" w:rsidRPr="00610DF2" w:rsidRDefault="00570E98" w:rsidP="00570E98"/>
    <w:p w:rsidR="00570E98" w:rsidRDefault="00570E98" w:rsidP="00570E98">
      <w:r w:rsidRPr="00610DF2">
        <w:rPr>
          <w:b/>
          <w:bCs/>
        </w:rPr>
        <w:t>Conduct and suitability obligations.</w:t>
      </w:r>
      <w:r w:rsidRPr="00610DF2">
        <w:t xml:space="preserve"> Members must deal fairly with customers, make suitable recommendations based on customer needs and financial situation, and avoid conflicts of interest. The updated Regulation Best Interest standard requires broker-dealers to act in the best interest of retail customers when making recommendations.</w:t>
      </w:r>
    </w:p>
    <w:p w:rsidR="00570E98" w:rsidRPr="00610DF2" w:rsidRDefault="00570E98" w:rsidP="00570E98"/>
    <w:p w:rsidR="00570E98" w:rsidRDefault="00570E98" w:rsidP="00570E98">
      <w:r w:rsidRPr="00610DF2">
        <w:rPr>
          <w:b/>
          <w:bCs/>
        </w:rPr>
        <w:t>Financial and operational obligations.</w:t>
      </w:r>
      <w:r w:rsidRPr="00610DF2">
        <w:t xml:space="preserve"> Members must maintain minimum net capital under SEC Rule 15c3-1 — the net capital rule — ensuring they have sufficient liquid assets to meet obligations to customers. They must also maintain a reserve of customer funds under Rule 15c3-3 — the customer protection rule — segregating customer assets from the firm's own assets.</w:t>
      </w:r>
    </w:p>
    <w:p w:rsidR="00570E98" w:rsidRPr="00610DF2" w:rsidRDefault="00570E98" w:rsidP="00570E98"/>
    <w:p w:rsidR="00570E98" w:rsidRDefault="00570E98" w:rsidP="00570E98">
      <w:r w:rsidRPr="00610DF2">
        <w:rPr>
          <w:b/>
          <w:bCs/>
        </w:rPr>
        <w:t>Margin obligations.</w:t>
      </w:r>
      <w:r w:rsidRPr="00610DF2">
        <w:t xml:space="preserve"> Members must comply with FINRA Rule 4210 margin requirements — which is precisely what we have been working through in the </w:t>
      </w:r>
      <w:proofErr w:type="spellStart"/>
      <w:r w:rsidRPr="00610DF2">
        <w:t>ArT</w:t>
      </w:r>
      <w:proofErr w:type="spellEnd"/>
      <w:r w:rsidRPr="00610DF2">
        <w:t xml:space="preserve"> illustration. This includes maintaining required margin levels, issuing margin calls when thresholds are breached, and maintaining margin records.</w:t>
      </w:r>
    </w:p>
    <w:p w:rsidR="00570E98" w:rsidRPr="00610DF2" w:rsidRDefault="00570E98" w:rsidP="00570E98"/>
    <w:p w:rsidR="00570E98" w:rsidRDefault="00570E98" w:rsidP="00570E98">
      <w:r w:rsidRPr="00610DF2">
        <w:rPr>
          <w:b/>
          <w:bCs/>
        </w:rPr>
        <w:t>Reporting obligations.</w:t>
      </w:r>
      <w:r w:rsidRPr="00610DF2">
        <w:t xml:space="preserve"> Members must report trades to FINRA's trade reporting facilities in near real time. They must file financial reports (FOCUS reports) regularly showing their financial condition. They must report customer complaints, regulatory actions, and significant events promptly.</w:t>
      </w:r>
    </w:p>
    <w:p w:rsidR="00570E98" w:rsidRPr="00610DF2" w:rsidRDefault="00570E98" w:rsidP="00570E98"/>
    <w:p w:rsidR="00570E98" w:rsidRDefault="00570E98" w:rsidP="00570E98">
      <w:r w:rsidRPr="00610DF2">
        <w:rPr>
          <w:b/>
          <w:bCs/>
        </w:rPr>
        <w:t>Supervision obligations.</w:t>
      </w:r>
      <w:r w:rsidRPr="00610DF2">
        <w:t xml:space="preserve"> Each member must have a written supervisory procedures manual, a designated supervisory structure, and an annual compliance review. Supervisors are personally responsible for the conduct of those they supervise.</w:t>
      </w:r>
    </w:p>
    <w:p w:rsidR="00570E98" w:rsidRPr="00610DF2" w:rsidRDefault="00570E98" w:rsidP="00570E98"/>
    <w:p w:rsidR="00570E98" w:rsidRPr="00610DF2" w:rsidRDefault="00570E98" w:rsidP="00570E98">
      <w:r w:rsidRPr="00610DF2">
        <w:rPr>
          <w:b/>
          <w:bCs/>
        </w:rPr>
        <w:t>Examination obligations.</w:t>
      </w:r>
      <w:r w:rsidRPr="00610DF2">
        <w:t xml:space="preserve"> FINRA conducts regular examinations — both routine and for cause — of member firms. Members must cooperate fully, provide requested records and data, and remediate any deficiencies identified.</w:t>
      </w:r>
    </w:p>
    <w:p w:rsidR="00570E98" w:rsidRPr="00CF3E84" w:rsidRDefault="00570E98" w:rsidP="00570E98">
      <w:r w:rsidRPr="00610DF2">
        <w:rPr>
          <w:b/>
          <w:bCs/>
        </w:rPr>
        <w:t>Arbitration obligations.</w:t>
      </w:r>
      <w:r w:rsidRPr="00610DF2">
        <w:t xml:space="preserve"> Members must participate in FINRA's arbitration programme for resolving disputes with customers and other members. They cannot require customers to litigate in court — disputes go through FINRA arbitration.</w:t>
      </w:r>
    </w:p>
    <w:p w:rsidR="00570E98" w:rsidRDefault="00570E98" w:rsidP="00570E98">
      <w:pPr>
        <w:rPr>
          <w:b/>
          <w:bCs/>
        </w:rPr>
      </w:pPr>
    </w:p>
    <w:p w:rsidR="00570E98" w:rsidRDefault="00570E98" w:rsidP="00570E98">
      <w:pPr>
        <w:rPr>
          <w:b/>
          <w:bCs/>
        </w:rPr>
      </w:pPr>
      <w:r>
        <w:rPr>
          <w:b/>
          <w:bCs/>
        </w:rPr>
        <w:t>What is the difference between Reg T and FINRA 4210</w:t>
      </w:r>
    </w:p>
    <w:p w:rsidR="00570E98" w:rsidRDefault="00570E98" w:rsidP="00570E98">
      <w:pPr>
        <w:rPr>
          <w:b/>
          <w:bCs/>
        </w:rPr>
      </w:pPr>
    </w:p>
    <w:p w:rsidR="00570E98" w:rsidRPr="00B210BA" w:rsidRDefault="00570E98" w:rsidP="00570E98">
      <w:r w:rsidRPr="00B210BA">
        <w:t>Regulation T and FINRA Rule 4210 work together but they are not the same thing and the source of each requirement matters — particularly for a product person building controls:</w:t>
      </w:r>
    </w:p>
    <w:p w:rsidR="00570E98" w:rsidRPr="00B210BA" w:rsidRDefault="00570E98" w:rsidP="00570E98">
      <w:r w:rsidRPr="00B210BA">
        <w:rPr>
          <w:b/>
          <w:bCs/>
        </w:rPr>
        <w:t>Regulation T</w:t>
      </w:r>
      <w:r w:rsidRPr="00B210BA">
        <w:t xml:space="preserve"> — set by the Federal Reserve Board. Governs the </w:t>
      </w:r>
      <w:r w:rsidRPr="00B210BA">
        <w:rPr>
          <w:b/>
          <w:bCs/>
        </w:rPr>
        <w:t>initial margin</w:t>
      </w:r>
      <w:r w:rsidRPr="00B210BA">
        <w:t xml:space="preserve"> at the point of opening a position. Applies to both long purchases and short sales of equity securities at 50%. This is the federal rule.</w:t>
      </w:r>
    </w:p>
    <w:p w:rsidR="00570E98" w:rsidRPr="00B210BA" w:rsidRDefault="00570E98" w:rsidP="00570E98">
      <w:r w:rsidRPr="00B210BA">
        <w:rPr>
          <w:b/>
          <w:bCs/>
        </w:rPr>
        <w:t>FINRA Rule 4210</w:t>
      </w:r>
      <w:r w:rsidRPr="00B210BA">
        <w:t xml:space="preserve"> — set by FINRA. Governs </w:t>
      </w:r>
      <w:r w:rsidRPr="00B210BA">
        <w:rPr>
          <w:b/>
          <w:bCs/>
        </w:rPr>
        <w:t>maintenance margin</w:t>
      </w:r>
      <w:r w:rsidRPr="00B210BA">
        <w:t xml:space="preserve"> on an ongoing basis after the position is opened. Also sets initial margin requirements on instruments that Regulation T does not specifically cover — such as corporate bonds, mortgage-backed securities, and other fixed income instruments.</w:t>
      </w:r>
    </w:p>
    <w:p w:rsidR="00570E98" w:rsidRPr="00B210BA" w:rsidRDefault="00570E98" w:rsidP="00570E98">
      <w:r w:rsidRPr="00B210BA">
        <w:t>The way a compliance officer would express this is:</w:t>
      </w:r>
    </w:p>
    <w:p w:rsidR="00570E98" w:rsidRDefault="00570E98" w:rsidP="00570E98">
      <w:pPr>
        <w:rPr>
          <w:i/>
          <w:iCs/>
        </w:rPr>
      </w:pPr>
      <w:r w:rsidRPr="00B210BA">
        <w:rPr>
          <w:i/>
          <w:iCs/>
        </w:rPr>
        <w:t>"Reg T sets the initial margin on equity short sales at 50%. FINRA 4210 sets the maintenance margin on those same positions at 30% on an ongoing basis."</w:t>
      </w:r>
    </w:p>
    <w:p w:rsidR="00570E98" w:rsidRDefault="00570E98" w:rsidP="00570E98">
      <w:pPr>
        <w:rPr>
          <w:i/>
          <w:iCs/>
        </w:rPr>
      </w:pPr>
    </w:p>
    <w:p w:rsidR="00570E98" w:rsidRPr="00B210BA" w:rsidRDefault="00570E98" w:rsidP="00570E98">
      <w:r w:rsidRPr="00B210BA">
        <w:rPr>
          <w:b/>
          <w:bCs/>
        </w:rPr>
        <w:t>Regulation T only sets initial margin requirements.</w:t>
      </w:r>
    </w:p>
    <w:p w:rsidR="00570E98" w:rsidRPr="00B210BA" w:rsidRDefault="00570E98" w:rsidP="00570E98">
      <w:r w:rsidRPr="00B210BA">
        <w:t xml:space="preserve">Reg T's job stops the moment the position is opened. It answers one question only: </w:t>
      </w:r>
      <w:r w:rsidRPr="00B210BA">
        <w:rPr>
          <w:i/>
          <w:iCs/>
        </w:rPr>
        <w:t>how much of your own money must you put up at the time you open this position?</w:t>
      </w:r>
    </w:p>
    <w:p w:rsidR="00570E98" w:rsidRPr="00B210BA" w:rsidRDefault="00570E98" w:rsidP="00570E98">
      <w:r w:rsidRPr="00B210BA">
        <w:t>What happens after that — how much equity you must maintain on an ongoing basis as markets move — is entirely outside Reg T's scope. That ongoing maintenance obligation is governed by:</w:t>
      </w:r>
    </w:p>
    <w:p w:rsidR="00570E98" w:rsidRPr="00B210BA" w:rsidRDefault="00570E98" w:rsidP="00570E98">
      <w:r w:rsidRPr="00B210BA">
        <w:rPr>
          <w:b/>
          <w:bCs/>
        </w:rPr>
        <w:t>FINRA Rule 4210</w:t>
      </w:r>
      <w:r w:rsidRPr="00B210BA">
        <w:t xml:space="preserve"> for FINRA member broker-dealers — which sets the specific maintenance percentages (25% for long equity, 30% for short equity etc.)</w:t>
      </w:r>
    </w:p>
    <w:p w:rsidR="00570E98" w:rsidRPr="00B210BA" w:rsidRDefault="00570E98" w:rsidP="00570E98">
      <w:r w:rsidRPr="00B210BA">
        <w:rPr>
          <w:b/>
          <w:bCs/>
        </w:rPr>
        <w:t>Individual broker-dealer house rules</w:t>
      </w:r>
      <w:r w:rsidRPr="00B210BA">
        <w:t xml:space="preserve"> — firms are permitted to set maintenance requirements </w:t>
      </w:r>
      <w:r w:rsidRPr="00B210BA">
        <w:rPr>
          <w:i/>
          <w:iCs/>
        </w:rPr>
        <w:t>stricter</w:t>
      </w:r>
      <w:r w:rsidRPr="00B210BA">
        <w:t xml:space="preserve"> than FINRA's minimums but never looser. Many large broker-dealers apply 30-35% maintenance on long equity positions rather than FINRA's 25% floor, as a risk management buffer.</w:t>
      </w:r>
    </w:p>
    <w:p w:rsidR="00570E98" w:rsidRPr="00B210BA" w:rsidRDefault="00570E98" w:rsidP="00570E98">
      <w:proofErr w:type="gramStart"/>
      <w:r w:rsidRPr="00B210BA">
        <w:t>So</w:t>
      </w:r>
      <w:proofErr w:type="gramEnd"/>
      <w:r w:rsidRPr="00B210BA">
        <w:t xml:space="preserve"> the division of labour is clean:</w:t>
      </w:r>
    </w:p>
    <w:p w:rsidR="00570E98" w:rsidRDefault="00570E98" w:rsidP="00570E98"/>
    <w:p w:rsidR="00570E98" w:rsidRDefault="00570E98" w:rsidP="00570E98">
      <w:pPr>
        <w:rPr>
          <w:b/>
          <w:bCs/>
        </w:rPr>
      </w:pPr>
      <w:r w:rsidRPr="005B5453">
        <w:rPr>
          <w:b/>
          <w:bCs/>
        </w:rPr>
        <w:t>Regulation T and FINRA 4210 margin requirements reference tables</w:t>
      </w:r>
    </w:p>
    <w:p w:rsidR="00570E98" w:rsidRPr="005B5453" w:rsidRDefault="00570E98" w:rsidP="00570E98">
      <w:pPr>
        <w:rPr>
          <w:b/>
          <w:bCs/>
        </w:rPr>
      </w:pPr>
    </w:p>
    <w:p w:rsidR="00570E98" w:rsidRPr="005B5453" w:rsidRDefault="00570E98" w:rsidP="00570E98">
      <w:pPr>
        <w:rPr>
          <w:b/>
          <w:bCs/>
        </w:rPr>
      </w:pPr>
      <w:r w:rsidRPr="005B5453">
        <w:rPr>
          <w:b/>
          <w:bCs/>
        </w:rPr>
        <w:t>Table 1 — Regulation T scope summary</w:t>
      </w:r>
    </w:p>
    <w:p w:rsidR="00570E98" w:rsidRPr="005B5453" w:rsidRDefault="00570E98" w:rsidP="00570E98"/>
    <w:tbl>
      <w:tblPr>
        <w:tblW w:w="11040" w:type="dxa"/>
        <w:tblCellMar>
          <w:left w:w="0" w:type="dxa"/>
          <w:right w:w="0" w:type="dxa"/>
        </w:tblCellMar>
        <w:tblLook w:val="04A0" w:firstRow="1" w:lastRow="0" w:firstColumn="1" w:lastColumn="0" w:noHBand="0" w:noVBand="1"/>
      </w:tblPr>
      <w:tblGrid>
        <w:gridCol w:w="2549"/>
        <w:gridCol w:w="2370"/>
        <w:gridCol w:w="6121"/>
      </w:tblGrid>
      <w:tr w:rsidR="00570E98" w:rsidRPr="005B5453" w:rsidTr="00760D97">
        <w:trPr>
          <w:tblHeader/>
        </w:trPr>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vAlign w:val="center"/>
            <w:hideMark/>
          </w:tcPr>
          <w:p w:rsidR="00570E98" w:rsidRPr="005B5453" w:rsidRDefault="00570E98" w:rsidP="00760D97">
            <w:r w:rsidRPr="005B5453">
              <w:t>Question</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vAlign w:val="center"/>
            <w:hideMark/>
          </w:tcPr>
          <w:p w:rsidR="00570E98" w:rsidRPr="005B5453" w:rsidRDefault="00570E98" w:rsidP="00760D97">
            <w:r w:rsidRPr="005B5453">
              <w:t>Answer</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vAlign w:val="center"/>
            <w:hideMark/>
          </w:tcPr>
          <w:p w:rsidR="00570E98" w:rsidRPr="005B5453" w:rsidRDefault="00570E98" w:rsidP="00760D97">
            <w:r w:rsidRPr="005B5453">
              <w:t>Detail</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Sets maintenance margin?</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No — initial margin only</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Reg T stops at point of opening a position. Ongoing maintenance is governed by FINRA Rule 4210 and broker house rules</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Covers fixed income?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Partially — US Government securities only</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Treasuries covered on a good faith basis (typically 1–10%). Corporate bonds, municipal bonds, MBS, TBAs, and CMOs are outside Reg T scope — governed by FINRA Rule 4210</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Covers equity ETFs?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Yes — treated as equity securities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Standard 50% initial margin applies. Leveraged ETFs often subject to stricter house rules (75–100%) but this is a firm decision, not a Reg T requirement</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lastRenderedPageBreak/>
              <w:t>Covers equity derivatives — listed options?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Partially — account type requirement only</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Reg T requires listed options to be held in a margin or cash account depending on strategy. Specific margin calculations are delegated to FINRA Rule 4210</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Covers equity derivatives — futures?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No — outside Reg T scope entirely</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Equity futures and security futures governed by FINRA Rule 4240 and exchange rules. Margin called performance bond, set by exchange (CME, ICE etc.)</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Covers equity swaps and security-based swaps?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No — outside Reg T scope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Governed by FINRA Rule 4240 and SEC/CFTC rules. Cleared swaps subject to CCP margin rules (LCH, CME Clearing etc.)</w:t>
            </w:r>
          </w:p>
        </w:tc>
      </w:tr>
    </w:tbl>
    <w:p w:rsidR="00570E98" w:rsidRDefault="00570E98" w:rsidP="00570E98">
      <w:pPr>
        <w:rPr>
          <w:i/>
          <w:iCs/>
        </w:rPr>
      </w:pPr>
      <w:r w:rsidRPr="005B5453">
        <w:rPr>
          <w:i/>
          <w:iCs/>
        </w:rPr>
        <w:t>Source: Federal Reserve Board Regulation T; FINRA Rule 4210; FINRA Rule 4240</w:t>
      </w:r>
    </w:p>
    <w:p w:rsidR="00570E98" w:rsidRPr="005B5453" w:rsidRDefault="00570E98" w:rsidP="00570E98">
      <w:pPr>
        <w:rPr>
          <w:i/>
          <w:iCs/>
        </w:rPr>
      </w:pPr>
    </w:p>
    <w:p w:rsidR="00570E98" w:rsidRPr="005B5453" w:rsidRDefault="00570E98" w:rsidP="00570E98">
      <w:pPr>
        <w:rPr>
          <w:b/>
          <w:bCs/>
        </w:rPr>
      </w:pPr>
      <w:r w:rsidRPr="005B5453">
        <w:rPr>
          <w:b/>
          <w:bCs/>
        </w:rPr>
        <w:t>Table 2 — Division of responsibility: Reg T vs FINRA 4210 vs house rules</w:t>
      </w:r>
    </w:p>
    <w:p w:rsidR="00570E98" w:rsidRPr="005B5453" w:rsidRDefault="00570E98" w:rsidP="00570E98"/>
    <w:tbl>
      <w:tblPr>
        <w:tblW w:w="11040" w:type="dxa"/>
        <w:tblCellMar>
          <w:left w:w="0" w:type="dxa"/>
          <w:right w:w="0" w:type="dxa"/>
        </w:tblCellMar>
        <w:tblLook w:val="04A0" w:firstRow="1" w:lastRow="0" w:firstColumn="1" w:lastColumn="0" w:noHBand="0" w:noVBand="1"/>
      </w:tblPr>
      <w:tblGrid>
        <w:gridCol w:w="1605"/>
        <w:gridCol w:w="4022"/>
        <w:gridCol w:w="3314"/>
        <w:gridCol w:w="2099"/>
      </w:tblGrid>
      <w:tr w:rsidR="00570E98" w:rsidRPr="005B5453" w:rsidTr="00760D97">
        <w:trPr>
          <w:tblHeader/>
        </w:trPr>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vAlign w:val="center"/>
            <w:hideMark/>
          </w:tcPr>
          <w:p w:rsidR="00570E98" w:rsidRPr="005B5453" w:rsidRDefault="00570E98" w:rsidP="00760D97">
            <w:r w:rsidRPr="005B5453">
              <w:t>Rule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vAlign w:val="center"/>
            <w:hideMark/>
          </w:tcPr>
          <w:p w:rsidR="00570E98" w:rsidRPr="005B5453" w:rsidRDefault="00570E98" w:rsidP="00760D97">
            <w:r w:rsidRPr="005B5453">
              <w:t>Covers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vAlign w:val="center"/>
            <w:hideMark/>
          </w:tcPr>
          <w:p w:rsidR="00570E98" w:rsidRPr="005B5453" w:rsidRDefault="00570E98" w:rsidP="00760D97">
            <w:r w:rsidRPr="005B5453">
              <w:t>Does not cover</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vAlign w:val="center"/>
            <w:hideMark/>
          </w:tcPr>
          <w:p w:rsidR="00570E98" w:rsidRPr="005B5453" w:rsidRDefault="00570E98" w:rsidP="00760D97">
            <w:r w:rsidRPr="005B5453">
              <w:t>Who sets it</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Regulation T</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Initial margin at point of opening a position for equity securities and US Government bonds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Maintenance margin after opening. Corporate bonds, municipal bonds, MBS, derivatives other than listed options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Federal Reserve Board</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FINRA Rule 4210</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Maintenance margin on all securities on an ongoing basis. Initial and maintenance margin for all fixed income instruments Reg T does not specifically cover</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Does not replace Reg T for equity initial margin. Does not cover futures (Rule 4240) or swaps (Rule 4240)</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FINRA</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House rules (firm policies)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Any requirement stricter than Reg T or FINRA 4210 minimums. Firm-specific risk appetite decisions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Cannot be looser than Reg T or FINRA 4210 minimums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Individual broker-dealer risk and compliance teams</w:t>
            </w:r>
          </w:p>
        </w:tc>
      </w:tr>
    </w:tbl>
    <w:p w:rsidR="00570E98" w:rsidRPr="005B5453" w:rsidRDefault="00570E98" w:rsidP="00570E98">
      <w:pPr>
        <w:rPr>
          <w:i/>
          <w:iCs/>
        </w:rPr>
      </w:pPr>
      <w:r w:rsidRPr="005B5453">
        <w:rPr>
          <w:i/>
          <w:iCs/>
        </w:rPr>
        <w:t>Source: Federal Reserve Board Regulation T; FINRA Rule 4210; standard broker-dealer compliance practice</w:t>
      </w:r>
    </w:p>
    <w:p w:rsidR="00570E98" w:rsidRDefault="00570E98" w:rsidP="00570E98"/>
    <w:p w:rsidR="00570E98" w:rsidRPr="005B5453" w:rsidRDefault="00570E98" w:rsidP="00570E98">
      <w:pPr>
        <w:rPr>
          <w:b/>
          <w:bCs/>
        </w:rPr>
      </w:pPr>
      <w:r w:rsidRPr="005B5453">
        <w:rPr>
          <w:b/>
          <w:bCs/>
        </w:rPr>
        <w:t>Table 3 — Comprehensive margin requirements by instrument: Reg T and FINRA 4210</w:t>
      </w:r>
    </w:p>
    <w:p w:rsidR="00570E98" w:rsidRPr="005B5453" w:rsidRDefault="00570E98" w:rsidP="00570E98"/>
    <w:tbl>
      <w:tblPr>
        <w:tblW w:w="11040" w:type="dxa"/>
        <w:tblCellMar>
          <w:left w:w="0" w:type="dxa"/>
          <w:right w:w="0" w:type="dxa"/>
        </w:tblCellMar>
        <w:tblLook w:val="04A0" w:firstRow="1" w:lastRow="0" w:firstColumn="1" w:lastColumn="0" w:noHBand="0" w:noVBand="1"/>
      </w:tblPr>
      <w:tblGrid>
        <w:gridCol w:w="1628"/>
        <w:gridCol w:w="1766"/>
        <w:gridCol w:w="1945"/>
        <w:gridCol w:w="1855"/>
        <w:gridCol w:w="1754"/>
        <w:gridCol w:w="2092"/>
      </w:tblGrid>
      <w:tr w:rsidR="00570E98" w:rsidRPr="005B5453" w:rsidTr="00760D97">
        <w:trPr>
          <w:tblHeader/>
        </w:trPr>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vAlign w:val="center"/>
            <w:hideMark/>
          </w:tcPr>
          <w:p w:rsidR="00570E98" w:rsidRPr="005B5453" w:rsidRDefault="00570E98" w:rsidP="00760D97">
            <w:r w:rsidRPr="005B5453">
              <w:lastRenderedPageBreak/>
              <w:t>Instrument</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vAlign w:val="center"/>
            <w:hideMark/>
          </w:tcPr>
          <w:p w:rsidR="00570E98" w:rsidRPr="005B5453" w:rsidRDefault="00570E98" w:rsidP="00760D97">
            <w:r w:rsidRPr="005B5453">
              <w:t>Reg T initial margin</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vAlign w:val="center"/>
            <w:hideMark/>
          </w:tcPr>
          <w:p w:rsidR="00570E98" w:rsidRPr="005B5453" w:rsidRDefault="00570E98" w:rsidP="00760D97">
            <w:r w:rsidRPr="005B5453">
              <w:t>FINRA 4210 initial margin</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vAlign w:val="center"/>
            <w:hideMark/>
          </w:tcPr>
          <w:p w:rsidR="00570E98" w:rsidRPr="005B5453" w:rsidRDefault="00570E98" w:rsidP="00760D97">
            <w:r w:rsidRPr="005B5453">
              <w:t>FINRA 4210 maintenance margin (long)</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vAlign w:val="center"/>
            <w:hideMark/>
          </w:tcPr>
          <w:p w:rsidR="00570E98" w:rsidRPr="005B5453" w:rsidRDefault="00570E98" w:rsidP="00760D97">
            <w:r w:rsidRPr="005B5453">
              <w:t>FINRA 4210 maintenance margin (short)</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vAlign w:val="center"/>
            <w:hideMark/>
          </w:tcPr>
          <w:p w:rsidR="00570E98" w:rsidRPr="005B5453" w:rsidRDefault="00570E98" w:rsidP="00760D97">
            <w:r w:rsidRPr="005B5453">
              <w:t>Notes</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Equity securities (listed stocks)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50% of purchase price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Defers to Reg T — no separate requirement</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25% of current market value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30% of current market value (or $5/share if stock ≥$5; $2.50/share or 100% if stock &lt;$5, whichever is greater)</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Reg T governs initial. FINRA 4210 governs maintenance. House rules often stricter at 30–35% long maintenance</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Equity ETFs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50% — treated as equity securities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Defers to Reg T</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25% of current market value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30% of current market value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Leveraged ETFs often subject to stricter house rules — 75–100% initial margin at many firms. This is a house rule decision, not a Reg T requirement</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Listed equity options — long calls and puts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Must be paid in full — 100%</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100% — options purchased must be paid in full</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No ongoing maintenance requirement — options paid in full at purchase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No ongoing maintenance requirement</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Long options cannot be purchased on margin. Must be fully paid. Value can go to zero — no maintenance margin makes sense as there is no borrowed amount to protect</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Listed equity options — short naked calls and puts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Reg T sets account type requirement — margin account required</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 xml:space="preserve">20% of underlying value plus premium received minus out-of-money amount (minimum 10% of underlying for calls; 10% of </w:t>
            </w:r>
            <w:r w:rsidRPr="005B5453">
              <w:lastRenderedPageBreak/>
              <w:t>exercise price for puts)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lastRenderedPageBreak/>
              <w:t>Continuously recalculated using same formula as initial — no separate lower maintenance percentage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Same as initial — recalculated daily as underlying price moves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 xml:space="preserve">Most complex margin calculation in this table. Each option strategy has specific FINRA 4210 </w:t>
            </w:r>
            <w:proofErr w:type="gramStart"/>
            <w:r w:rsidRPr="005B5453">
              <w:t>treatment</w:t>
            </w:r>
            <w:proofErr w:type="gramEnd"/>
            <w:r w:rsidRPr="005B5453">
              <w:t xml:space="preserve">. Naked short options carry unlimited </w:t>
            </w:r>
            <w:r w:rsidRPr="005B5453">
              <w:lastRenderedPageBreak/>
              <w:t>theoretical loss risk</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lastRenderedPageBreak/>
              <w:t>Listed equity options — covered calls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No additional margin — long stock covers the call obligation</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No additional margin required on the option itself</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Maintenance applies to the underlying long stock position at 25%</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Not applicable — covered call is a combined long stock and short call position</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The long stock must itself meet its own maintenance requirement. The covered call strategy reduces risk and therefore attracts no additional margin on the option</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Convertible bonds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50% — treated closer to equities given conversion feature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50% — same as equity given equity conversion optionality</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30% of current market value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30% of current market value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Higher maintenance than standard bonds reflecting equity-like risk profile. Treated as equity-adjacent instruments for margin purposes</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US Government securities (Treasuries)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Good faith basis — typically 1–10% depending on maturity. No fixed Reg T percentage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Defers to Reg T good faith standard. Adds haircut requirements aligned with net capital rules under Rule 15c3-1</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proofErr w:type="gramStart"/>
            <w:r w:rsidRPr="005B5453">
              <w:t>Typically</w:t>
            </w:r>
            <w:proofErr w:type="gramEnd"/>
            <w:r w:rsidRPr="005B5453">
              <w:t xml:space="preserve"> 3–10% depending on maturity and duration — longer maturity = higher requirement reflecting greater price sensitivity to interest rate movements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proofErr w:type="gramStart"/>
            <w:r w:rsidRPr="005B5453">
              <w:t>Typically</w:t>
            </w:r>
            <w:proofErr w:type="gramEnd"/>
            <w:r w:rsidRPr="005B5453">
              <w:t xml:space="preserve"> 3–10% — same range as long</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Very low requirements reflecting sovereign credit quality. Exact percentages set by individual firms within regulatory bounds</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 xml:space="preserve">US Government agency securities </w:t>
            </w:r>
            <w:r w:rsidRPr="005B5453">
              <w:lastRenderedPageBreak/>
              <w:t>(FNMA, FHLMC etc.)</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lastRenderedPageBreak/>
              <w:t>Good faith basis — typically 3–10%</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Specific haircut requirements under FINRA 4210 net capital provisions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5–15% depending on maturity</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5–15%</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 xml:space="preserve">Slightly higher than pure Treasuries reflecting agency rather than </w:t>
            </w:r>
            <w:r w:rsidRPr="005B5453">
              <w:lastRenderedPageBreak/>
              <w:t>sovereign credit. GSE securities carry implicit but not explicit government guarantee</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lastRenderedPageBreak/>
              <w:t>Investment grade corporate bonds (rated BBB- / Baa3 and above)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Not specifically covered by Reg T</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10–20% of current market value — varies by maturity and rating within IG band</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10–20% of current market value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15–25% of current market value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FINRA 4210 is the primary source for both initial and maintenance. Short maintenance higher than long reflecting short squeeze risk and cost of borrowing the bond</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High yield corporate bonds (rated below BBB- / Baa3)</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Not specifically covered by Reg T</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20–25% of current market value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20–25% of current market value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25–30% of current market value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Higher requirements across the board reflecting credit risk and greater price volatility. Some firms apply 30%+ house rules on the lowest-rated HY bonds</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Municipal bonds (investment grade)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Not specifically covered by Reg T</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7–15% of current market value — varies by rating, maturity, and issuer type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7–15% of current market value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10–20% of current market value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Wide range reflects diversity of municipal credit quality. AAA-rated state general obligation bonds treated very differently from lower-rated revenue bonds</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lastRenderedPageBreak/>
              <w:t>Municipal bonds (non-investment grade)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Not specifically covered by Reg T</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25–30% of current market value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25% of current market value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30% of current market value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Treated closer to high yield corporate bonds. Limited liquidity in stressed markets increases risk for the broker-dealer</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TBA transactions (settlement greater than T+1)</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Not covered by Reg T</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Daily MTM margin collected on net loss — no fixed initial percentage. Applies post May 22, 2024 FINRA 4210 Covered Agency Transaction amendments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Daily MTM settlement — no fixed maintenance percentage. Net loss collected each business day</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Daily MTM settlement — net loss collected each business day</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2024 amendments eliminated the 2% maintenance margin requirement. Now pure daily MTM settlement regardless of exempt or non-exempt account status. Applies to TBAs with settlement later than T+1 including ARM transactions</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Specified Pool transactions (settlement greater than T+1)</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Not covered by Reg T</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Daily MTM margin on net loss — same as TBA post May 2024</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Daily MTM settlement</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Daily MTM settlement</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Same Covered Agency Transaction treatment as TBA under 2024 amendments</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CMOs issued by GSE (settlement greater than T+3)</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Not covered by Reg T</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Daily MTM margin on net loss — post May 2024 amendments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Daily MTM settlement</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Daily MTM settlement</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 xml:space="preserve">Same Covered Agency Transaction treatment as TBA and Specified Pools. Applies only to CMOs issued in </w:t>
            </w:r>
            <w:r w:rsidRPr="005B5453">
              <w:lastRenderedPageBreak/>
              <w:t>conformity with a GSE programme</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lastRenderedPageBreak/>
              <w:t>Mortgage-backed securities — non-agency</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Not covered by Reg T</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20–30% of current market value — higher than agency MBS reflecting absence of GSE guarantee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20–30% of current market value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25–35% of current market value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Non-agency MBS carries credit risk that agency and GSE MBS does not. Significantly higher margin requirements. Illiquid in stressed markets which increases broker-dealer risk further</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Equity futures and security futures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Not covered by Reg T — outside Reg T scope entirely</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FINRA Rule 4240 governs — not Rule 4210. Exchange performance bond requirements apply</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Exchange-set maintenance margin — varies by contract and exchange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Exchange-set maintenance margin — varies by contract and exchange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Futures margin (called performance bond) is set by the exchange (CME, ICE etc.) and is typically much lower than securities margin as a percentage of notional due to daily settlement mechanism</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Equity swaps and security-based swaps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Not covered by Reg T</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FINRA Rule 4240 governs uncleared SBS. Cleared SBS subject to CCP margin rules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Determined by Rule 4240 and clearing house rules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Determined by Rule 4240 and clearing house rules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 xml:space="preserve">Post Dodd-Frank, most standardised swaps are centrally cleared. Margin set by the CCP (LCH, CME Clearing etc.) not FINRA. Bilateral uncleared swaps subject to regulatory initial and variation </w:t>
            </w:r>
            <w:r w:rsidRPr="005B5453">
              <w:lastRenderedPageBreak/>
              <w:t>margin requirements</w:t>
            </w:r>
          </w:p>
        </w:tc>
      </w:tr>
      <w:tr w:rsidR="00570E98" w:rsidRPr="005B5453" w:rsidTr="00760D97">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lastRenderedPageBreak/>
              <w:t>Portfolio margin accounts (eligible customers)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Reg T initial margin requirements replaced entirely by risk-based model for eligible accounts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FINRA Rule 4210(g) — risk-based margining using approved theoretical pricing models. Requirements can be significantly lower than standard for hedged portfolios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Risk-based — continuously recalculated using theoretical pricing model. No fixed percentage</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Risk-based — same model as long positions</w:t>
            </w:r>
          </w:p>
        </w:tc>
        <w:tc>
          <w:tcPr>
            <w:tcW w:w="0" w:type="auto"/>
            <w:tcBorders>
              <w:top w:val="single" w:sz="6" w:space="0" w:color="auto"/>
              <w:left w:val="single" w:sz="6" w:space="0" w:color="auto"/>
              <w:bottom w:val="single" w:sz="6" w:space="0" w:color="auto"/>
              <w:right w:val="single" w:sz="6" w:space="0" w:color="auto"/>
            </w:tcBorders>
            <w:tcMar>
              <w:top w:w="120" w:type="dxa"/>
              <w:left w:w="150" w:type="dxa"/>
              <w:bottom w:w="120" w:type="dxa"/>
              <w:right w:w="150" w:type="dxa"/>
            </w:tcMar>
            <w:hideMark/>
          </w:tcPr>
          <w:p w:rsidR="00570E98" w:rsidRPr="005B5453" w:rsidRDefault="00570E98" w:rsidP="00760D97">
            <w:r w:rsidRPr="005B5453">
              <w:t>Requires minimum account equity of $5 million for non-broker-dealer customers. Lower margin requirements for sophisticated customers with hedged portfolios. Requires FINRA approval of the firm's portfolio margin methodology</w:t>
            </w:r>
          </w:p>
        </w:tc>
      </w:tr>
    </w:tbl>
    <w:p w:rsidR="00570E98" w:rsidRPr="005B5453" w:rsidRDefault="00570E98" w:rsidP="00570E98">
      <w:pPr>
        <w:rPr>
          <w:i/>
          <w:iCs/>
        </w:rPr>
      </w:pPr>
      <w:r w:rsidRPr="005B5453">
        <w:rPr>
          <w:i/>
          <w:iCs/>
        </w:rPr>
        <w:t>Source: Federal Reserve Board Regulation T; FINRA Rule 4210 (including May 2024 Covered Agency Transaction amendments and June 2026 intraday margin amendments); FINRA Rule 4240; standard broker-dealer compliance practice as of May 2026. Percentages shown as ranges reflect variation by instrument characteristics, maturity, credit rating, and individual firm house rules within regulatory bounds.</w:t>
      </w:r>
    </w:p>
    <w:p w:rsidR="00570E98" w:rsidRDefault="00570E98" w:rsidP="00570E98"/>
    <w:p w:rsidR="00570E98" w:rsidRDefault="00570E98" w:rsidP="00570E98">
      <w:r w:rsidRPr="00EC25C2">
        <w:rPr>
          <w:b/>
          <w:bCs/>
        </w:rPr>
        <w:t>House rules sit on top of everything.</w:t>
      </w:r>
      <w:r w:rsidRPr="00EC25C2">
        <w:t xml:space="preserve"> Every number in this table is a regulatory floor. Individual broker-dealers apply their own house rules that are always equal to or stricter than the regulatory minimum. A firm with a conservative risk appetite might apply 35% maintenance on long equity positions rather than FINRA's 25% floor.</w:t>
      </w:r>
    </w:p>
    <w:p w:rsidR="00570E98" w:rsidRDefault="00570E98" w:rsidP="00570E98">
      <w:pPr>
        <w:rPr>
          <w:b/>
          <w:bCs/>
        </w:rPr>
      </w:pPr>
    </w:p>
    <w:p w:rsidR="00570E98" w:rsidRDefault="00570E98" w:rsidP="00570E98">
      <w:pPr>
        <w:rPr>
          <w:b/>
          <w:bCs/>
        </w:rPr>
      </w:pPr>
    </w:p>
    <w:p w:rsidR="00570E98" w:rsidRPr="0037642E" w:rsidRDefault="00570E98" w:rsidP="00570E98">
      <w:pPr>
        <w:rPr>
          <w:b/>
          <w:bCs/>
        </w:rPr>
      </w:pPr>
      <w:r w:rsidRPr="0037642E">
        <w:rPr>
          <w:b/>
          <w:bCs/>
        </w:rPr>
        <w:t>FINRA 4210 Margin Rules amendments - 2026 update</w:t>
      </w:r>
    </w:p>
    <w:p w:rsidR="00570E98" w:rsidRDefault="00570E98" w:rsidP="00570E98"/>
    <w:p w:rsidR="00570E98" w:rsidRDefault="00570E98" w:rsidP="00570E98">
      <w:r>
        <w:t>SEC approval - 15 April 2026</w:t>
      </w:r>
    </w:p>
    <w:p w:rsidR="00570E98" w:rsidRDefault="00570E98" w:rsidP="00570E98">
      <w:r>
        <w:t>Effective date - 4 June 2026</w:t>
      </w:r>
    </w:p>
    <w:p w:rsidR="00570E98" w:rsidRDefault="00570E98" w:rsidP="00570E98">
      <w:r>
        <w:t>Implementation deadline - 20 Oct 2026</w:t>
      </w:r>
    </w:p>
    <w:p w:rsidR="00570E98" w:rsidRDefault="00570E98" w:rsidP="00570E98"/>
    <w:p w:rsidR="00570E98" w:rsidRPr="005738AF" w:rsidRDefault="00570E98" w:rsidP="00570E98">
      <w:pPr>
        <w:rPr>
          <w:b/>
          <w:bCs/>
        </w:rPr>
      </w:pPr>
    </w:p>
    <w:p w:rsidR="00570E98" w:rsidRDefault="00570E98" w:rsidP="00570E9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6"/>
        <w:gridCol w:w="7040"/>
      </w:tblGrid>
      <w:tr w:rsidR="00570E98" w:rsidRPr="0037642E" w:rsidTr="00760D97">
        <w:trPr>
          <w:tblHeader/>
          <w:tblCellSpacing w:w="15" w:type="dxa"/>
        </w:trPr>
        <w:tc>
          <w:tcPr>
            <w:tcW w:w="0" w:type="auto"/>
            <w:vAlign w:val="center"/>
            <w:hideMark/>
          </w:tcPr>
          <w:p w:rsidR="00570E98" w:rsidRPr="0037642E" w:rsidRDefault="00570E98" w:rsidP="00760D97">
            <w:pPr>
              <w:rPr>
                <w:b/>
                <w:bCs/>
                <w:color w:val="FF0000"/>
              </w:rPr>
            </w:pPr>
            <w:r w:rsidRPr="0037642E">
              <w:rPr>
                <w:b/>
                <w:bCs/>
                <w:color w:val="FF0000"/>
              </w:rPr>
              <w:lastRenderedPageBreak/>
              <w:t>Functional Requirement</w:t>
            </w:r>
          </w:p>
        </w:tc>
        <w:tc>
          <w:tcPr>
            <w:tcW w:w="0" w:type="auto"/>
            <w:vAlign w:val="center"/>
            <w:hideMark/>
          </w:tcPr>
          <w:p w:rsidR="00570E98" w:rsidRPr="0037642E" w:rsidRDefault="00570E98" w:rsidP="00760D97">
            <w:pPr>
              <w:rPr>
                <w:b/>
                <w:bCs/>
                <w:color w:val="FF0000"/>
              </w:rPr>
            </w:pPr>
            <w:r w:rsidRPr="0037642E">
              <w:rPr>
                <w:b/>
                <w:bCs/>
                <w:color w:val="FF0000"/>
              </w:rPr>
              <w:t>What it means in the control</w:t>
            </w:r>
          </w:p>
        </w:tc>
      </w:tr>
      <w:tr w:rsidR="00570E98" w:rsidRPr="0037642E" w:rsidTr="00760D97">
        <w:trPr>
          <w:tblCellSpacing w:w="15" w:type="dxa"/>
        </w:trPr>
        <w:tc>
          <w:tcPr>
            <w:tcW w:w="0" w:type="auto"/>
            <w:vAlign w:val="center"/>
            <w:hideMark/>
          </w:tcPr>
          <w:p w:rsidR="00570E98" w:rsidRPr="0037642E" w:rsidRDefault="00570E98" w:rsidP="00760D97">
            <w:pPr>
              <w:rPr>
                <w:color w:val="FF0000"/>
              </w:rPr>
            </w:pPr>
            <w:r w:rsidRPr="0037642E">
              <w:rPr>
                <w:color w:val="FF0000"/>
              </w:rPr>
              <w:t>Settlement date check</w:t>
            </w:r>
          </w:p>
        </w:tc>
        <w:tc>
          <w:tcPr>
            <w:tcW w:w="0" w:type="auto"/>
            <w:vAlign w:val="center"/>
            <w:hideMark/>
          </w:tcPr>
          <w:p w:rsidR="00570E98" w:rsidRPr="0037642E" w:rsidRDefault="00570E98" w:rsidP="00760D97">
            <w:pPr>
              <w:rPr>
                <w:color w:val="FF0000"/>
              </w:rPr>
            </w:pPr>
            <w:r w:rsidRPr="0037642E">
              <w:rPr>
                <w:color w:val="FF0000"/>
              </w:rPr>
              <w:t>For TBA and Specified Pool trades, check whether settlement date is greater than T+1. If yes, Covered Agency Transaction rules apply</w:t>
            </w:r>
          </w:p>
        </w:tc>
      </w:tr>
      <w:tr w:rsidR="00570E98" w:rsidRPr="0037642E" w:rsidTr="00760D97">
        <w:trPr>
          <w:tblCellSpacing w:w="15" w:type="dxa"/>
        </w:trPr>
        <w:tc>
          <w:tcPr>
            <w:tcW w:w="0" w:type="auto"/>
            <w:vAlign w:val="center"/>
            <w:hideMark/>
          </w:tcPr>
          <w:p w:rsidR="00570E98" w:rsidRPr="0037642E" w:rsidRDefault="00570E98" w:rsidP="00760D97">
            <w:pPr>
              <w:rPr>
                <w:color w:val="FF0000"/>
              </w:rPr>
            </w:pPr>
            <w:r w:rsidRPr="0037642E">
              <w:rPr>
                <w:color w:val="FF0000"/>
              </w:rPr>
              <w:t>Mark-to-market margin calculation</w:t>
            </w:r>
          </w:p>
        </w:tc>
        <w:tc>
          <w:tcPr>
            <w:tcW w:w="0" w:type="auto"/>
            <w:vAlign w:val="center"/>
            <w:hideMark/>
          </w:tcPr>
          <w:p w:rsidR="00570E98" w:rsidRPr="0037642E" w:rsidRDefault="00570E98" w:rsidP="00760D97">
            <w:pPr>
              <w:rPr>
                <w:color w:val="FF0000"/>
              </w:rPr>
            </w:pPr>
            <w:r w:rsidRPr="0037642E">
              <w:rPr>
                <w:color w:val="FF0000"/>
              </w:rPr>
              <w:t>System must calculate daily MTM loss on Covered Agency positions and check against margin posted</w:t>
            </w:r>
          </w:p>
        </w:tc>
      </w:tr>
      <w:tr w:rsidR="00570E98" w:rsidRPr="0037642E" w:rsidTr="00760D97">
        <w:trPr>
          <w:tblCellSpacing w:w="15" w:type="dxa"/>
        </w:trPr>
        <w:tc>
          <w:tcPr>
            <w:tcW w:w="0" w:type="auto"/>
            <w:vAlign w:val="center"/>
            <w:hideMark/>
          </w:tcPr>
          <w:p w:rsidR="00570E98" w:rsidRPr="0037642E" w:rsidRDefault="00570E98" w:rsidP="00760D97">
            <w:pPr>
              <w:rPr>
                <w:color w:val="FF0000"/>
              </w:rPr>
            </w:pPr>
            <w:r w:rsidRPr="0037642E">
              <w:rPr>
                <w:color w:val="FF0000"/>
              </w:rPr>
              <w:t>Counterparty margin collection check</w:t>
            </w:r>
          </w:p>
        </w:tc>
        <w:tc>
          <w:tcPr>
            <w:tcW w:w="0" w:type="auto"/>
            <w:vAlign w:val="center"/>
            <w:hideMark/>
          </w:tcPr>
          <w:p w:rsidR="00570E98" w:rsidRPr="0037642E" w:rsidRDefault="00570E98" w:rsidP="00760D97">
            <w:pPr>
              <w:rPr>
                <w:color w:val="FF0000"/>
              </w:rPr>
            </w:pPr>
            <w:r w:rsidRPr="0037642E">
              <w:rPr>
                <w:color w:val="FF0000"/>
              </w:rPr>
              <w:t>Before booking, verify margin has been or will be collected from counterparty for MTM losses</w:t>
            </w:r>
          </w:p>
        </w:tc>
      </w:tr>
      <w:tr w:rsidR="00570E98" w:rsidRPr="0037642E" w:rsidTr="00760D97">
        <w:trPr>
          <w:tblCellSpacing w:w="15" w:type="dxa"/>
        </w:trPr>
        <w:tc>
          <w:tcPr>
            <w:tcW w:w="0" w:type="auto"/>
            <w:vAlign w:val="center"/>
            <w:hideMark/>
          </w:tcPr>
          <w:p w:rsidR="00570E98" w:rsidRPr="0037642E" w:rsidRDefault="00570E98" w:rsidP="00760D97">
            <w:pPr>
              <w:rPr>
                <w:color w:val="FF0000"/>
              </w:rPr>
            </w:pPr>
            <w:r w:rsidRPr="0037642E">
              <w:rPr>
                <w:color w:val="FF0000"/>
              </w:rPr>
              <w:t>Exempt account flag removed</w:t>
            </w:r>
          </w:p>
        </w:tc>
        <w:tc>
          <w:tcPr>
            <w:tcW w:w="0" w:type="auto"/>
            <w:vAlign w:val="center"/>
            <w:hideMark/>
          </w:tcPr>
          <w:p w:rsidR="00570E98" w:rsidRPr="0037642E" w:rsidRDefault="00570E98" w:rsidP="00760D97">
            <w:pPr>
              <w:rPr>
                <w:color w:val="FF0000"/>
              </w:rPr>
            </w:pPr>
            <w:r w:rsidRPr="0037642E">
              <w:rPr>
                <w:color w:val="FF0000"/>
              </w:rPr>
              <w:t>Remove any logic that treats exempt accounts differently for Covered Agency margin — all counterparties now treated equally</w:t>
            </w:r>
          </w:p>
        </w:tc>
      </w:tr>
      <w:tr w:rsidR="00570E98" w:rsidRPr="0037642E" w:rsidTr="00760D97">
        <w:trPr>
          <w:tblCellSpacing w:w="15" w:type="dxa"/>
        </w:trPr>
        <w:tc>
          <w:tcPr>
            <w:tcW w:w="0" w:type="auto"/>
            <w:vAlign w:val="center"/>
            <w:hideMark/>
          </w:tcPr>
          <w:p w:rsidR="00570E98" w:rsidRPr="0037642E" w:rsidRDefault="00570E98" w:rsidP="00760D97">
            <w:pPr>
              <w:rPr>
                <w:color w:val="FF0000"/>
              </w:rPr>
            </w:pPr>
            <w:r w:rsidRPr="0037642E">
              <w:rPr>
                <w:color w:val="FF0000"/>
              </w:rPr>
              <w:t>Risk limit determination</w:t>
            </w:r>
          </w:p>
        </w:tc>
        <w:tc>
          <w:tcPr>
            <w:tcW w:w="0" w:type="auto"/>
            <w:vAlign w:val="center"/>
            <w:hideMark/>
          </w:tcPr>
          <w:p w:rsidR="00570E98" w:rsidRPr="0037642E" w:rsidRDefault="00570E98" w:rsidP="00760D97">
            <w:pPr>
              <w:rPr>
                <w:color w:val="FF0000"/>
              </w:rPr>
            </w:pPr>
            <w:r w:rsidRPr="0037642E">
              <w:rPr>
                <w:color w:val="FF0000"/>
              </w:rPr>
              <w:t>Verify a written risk limit has been set for each counterparty in a Covered Agency Transaction</w:t>
            </w:r>
          </w:p>
        </w:tc>
      </w:tr>
      <w:tr w:rsidR="00570E98" w:rsidRPr="0037642E" w:rsidTr="00760D97">
        <w:trPr>
          <w:tblCellSpacing w:w="15" w:type="dxa"/>
        </w:trPr>
        <w:tc>
          <w:tcPr>
            <w:tcW w:w="0" w:type="auto"/>
            <w:vAlign w:val="center"/>
            <w:hideMark/>
          </w:tcPr>
          <w:p w:rsidR="00570E98" w:rsidRPr="0037642E" w:rsidRDefault="00570E98" w:rsidP="00760D97">
            <w:pPr>
              <w:rPr>
                <w:color w:val="FF0000"/>
              </w:rPr>
            </w:pPr>
            <w:r w:rsidRPr="0037642E">
              <w:rPr>
                <w:color w:val="FF0000"/>
              </w:rPr>
              <w:t>Capital charge election</w:t>
            </w:r>
          </w:p>
        </w:tc>
        <w:tc>
          <w:tcPr>
            <w:tcW w:w="0" w:type="auto"/>
            <w:vAlign w:val="center"/>
            <w:hideMark/>
          </w:tcPr>
          <w:p w:rsidR="00570E98" w:rsidRPr="0037642E" w:rsidRDefault="00570E98" w:rsidP="00760D97">
            <w:pPr>
              <w:rPr>
                <w:color w:val="FF0000"/>
              </w:rPr>
            </w:pPr>
            <w:r w:rsidRPr="0037642E">
              <w:rPr>
                <w:color w:val="FF0000"/>
              </w:rPr>
              <w:t>If firm has elected capital charge option rather than margin collection, verify election is properly recorded before applying alternative treatment</w:t>
            </w:r>
          </w:p>
        </w:tc>
      </w:tr>
      <w:tr w:rsidR="00570E98" w:rsidRPr="00B03B33" w:rsidTr="00760D97">
        <w:trPr>
          <w:tblCellSpacing w:w="15" w:type="dxa"/>
        </w:trPr>
        <w:tc>
          <w:tcPr>
            <w:tcW w:w="0" w:type="auto"/>
            <w:vAlign w:val="center"/>
          </w:tcPr>
          <w:p w:rsidR="00570E98" w:rsidRPr="00B03B33" w:rsidRDefault="00570E98" w:rsidP="00760D97">
            <w:pPr>
              <w:rPr>
                <w:color w:val="FF0000"/>
              </w:rPr>
            </w:pPr>
            <w:r w:rsidRPr="00B03B33">
              <w:t>Intraday margin excess check</w:t>
            </w:r>
          </w:p>
        </w:tc>
        <w:tc>
          <w:tcPr>
            <w:tcW w:w="0" w:type="auto"/>
            <w:vAlign w:val="center"/>
          </w:tcPr>
          <w:p w:rsidR="00570E98" w:rsidRDefault="00570E98" w:rsidP="00760D97">
            <w:pPr>
              <w:rPr>
                <w:color w:val="FF0000"/>
              </w:rPr>
            </w:pPr>
            <w:r>
              <w:rPr>
                <w:color w:val="FF0000"/>
              </w:rPr>
              <w:t xml:space="preserve">Trade Booking system should send the Intraday Margin Excess calculation to Art at the time of a new trade booked for FINRA 4210 compliance. </w:t>
            </w:r>
          </w:p>
          <w:p w:rsidR="00570E98" w:rsidRDefault="00570E98" w:rsidP="00760D97">
            <w:pPr>
              <w:rPr>
                <w:color w:val="FF0000"/>
              </w:rPr>
            </w:pPr>
          </w:p>
          <w:p w:rsidR="00570E98" w:rsidRDefault="00570E98" w:rsidP="00760D97">
            <w:pPr>
              <w:rPr>
                <w:color w:val="FF0000"/>
              </w:rPr>
            </w:pPr>
            <w:r w:rsidRPr="00256F19">
              <w:rPr>
                <w:color w:val="FF0000"/>
              </w:rPr>
              <w:t xml:space="preserve">When you try to submit a new trade, </w:t>
            </w:r>
            <w:r>
              <w:rPr>
                <w:color w:val="FF0000"/>
              </w:rPr>
              <w:t xml:space="preserve">Trade booking </w:t>
            </w:r>
            <w:r w:rsidRPr="00256F19">
              <w:rPr>
                <w:color w:val="FF0000"/>
              </w:rPr>
              <w:t>system calculates what your intraday margin excess would be if that trade were executed. If the trade would create or worsen a deficit, one of two things happens depending on how the broker-dealer has implemented the rule:</w:t>
            </w:r>
          </w:p>
          <w:p w:rsidR="00570E98" w:rsidRPr="00256F19" w:rsidRDefault="00570E98" w:rsidP="00760D97">
            <w:pPr>
              <w:rPr>
                <w:color w:val="FF0000"/>
              </w:rPr>
            </w:pPr>
          </w:p>
          <w:p w:rsidR="00570E98" w:rsidRPr="00256F19" w:rsidRDefault="00570E98" w:rsidP="00760D97">
            <w:pPr>
              <w:rPr>
                <w:color w:val="FF0000"/>
              </w:rPr>
            </w:pPr>
            <w:r w:rsidRPr="00256F19">
              <w:rPr>
                <w:color w:val="FF0000"/>
              </w:rPr>
              <w:t xml:space="preserve">Either the trade is blocked in real time — a Hard Block in </w:t>
            </w:r>
            <w:proofErr w:type="spellStart"/>
            <w:r w:rsidRPr="00256F19">
              <w:rPr>
                <w:color w:val="FF0000"/>
              </w:rPr>
              <w:t>SMaRT</w:t>
            </w:r>
            <w:proofErr w:type="spellEnd"/>
            <w:r w:rsidRPr="00256F19">
              <w:rPr>
                <w:color w:val="FF0000"/>
              </w:rPr>
              <w:t xml:space="preserve"> terms — before it reaches the market.</w:t>
            </w:r>
          </w:p>
          <w:p w:rsidR="00570E98" w:rsidRPr="00256F19" w:rsidRDefault="00570E98" w:rsidP="00760D97">
            <w:pPr>
              <w:rPr>
                <w:color w:val="FF0000"/>
              </w:rPr>
            </w:pPr>
            <w:r w:rsidRPr="00256F19">
              <w:rPr>
                <w:color w:val="FF0000"/>
              </w:rPr>
              <w:t>Or the trade goes through but an end-of-day calculation identifies the deficit and a margin call is issued that evening requiring prompt resolution.</w:t>
            </w:r>
          </w:p>
          <w:p w:rsidR="00570E98" w:rsidRDefault="00570E98" w:rsidP="00760D97">
            <w:pPr>
              <w:rPr>
                <w:color w:val="FF0000"/>
              </w:rPr>
            </w:pPr>
          </w:p>
          <w:p w:rsidR="00570E98" w:rsidRPr="00B03B33" w:rsidRDefault="00570E98" w:rsidP="00760D97">
            <w:pPr>
              <w:rPr>
                <w:color w:val="FF0000"/>
              </w:rPr>
            </w:pPr>
            <w:r>
              <w:rPr>
                <w:color w:val="FF0000"/>
              </w:rPr>
              <w:t xml:space="preserve">Art design: Booking system will send the Margin excess with positive / negative sign or send a separate flag "Deficit value". </w:t>
            </w:r>
            <w:proofErr w:type="spellStart"/>
            <w:r>
              <w:rPr>
                <w:color w:val="FF0000"/>
              </w:rPr>
              <w:t>ArT</w:t>
            </w:r>
            <w:proofErr w:type="spellEnd"/>
            <w:r>
              <w:rPr>
                <w:color w:val="FF0000"/>
              </w:rPr>
              <w:t xml:space="preserve"> can then have logic to raise </w:t>
            </w:r>
            <w:proofErr w:type="gramStart"/>
            <w:r>
              <w:rPr>
                <w:color w:val="FF0000"/>
              </w:rPr>
              <w:t>a</w:t>
            </w:r>
            <w:proofErr w:type="gramEnd"/>
            <w:r>
              <w:rPr>
                <w:color w:val="FF0000"/>
              </w:rPr>
              <w:t xml:space="preserve"> HBO with deficit value for the supervisor to approve. </w:t>
            </w:r>
          </w:p>
        </w:tc>
      </w:tr>
    </w:tbl>
    <w:p w:rsidR="00570E98" w:rsidRDefault="00570E98" w:rsidP="00570E98"/>
    <w:p w:rsidR="00570E98" w:rsidRDefault="00570E98" w:rsidP="00570E98"/>
    <w:p w:rsidR="00570E98" w:rsidRDefault="00570E98" w:rsidP="00570E98">
      <w:r w:rsidRPr="008179CA">
        <w:rPr>
          <w:b/>
          <w:bCs/>
        </w:rPr>
        <w:t>Why is Minimum Equity Threshold being removed in 2026?</w:t>
      </w:r>
      <w:r w:rsidRPr="008179CA">
        <w:t xml:space="preserve"> The $25,000 threshold was a blunt instrument. It blocked ordinary retail investors from day trading simply because they did not have $25,000, regardless of whether their actual trading behaviour was risky. The new intraday margin framework replaces this fixed threshold with a dynamic, real-time calculation based on what you actually have in your account versus what your open positions actually require at any given moment. Much more precise, much fairer.</w:t>
      </w:r>
    </w:p>
    <w:p w:rsidR="00570E98" w:rsidRDefault="00570E98" w:rsidP="00570E98"/>
    <w:p w:rsidR="00570E98" w:rsidRDefault="00570E98" w:rsidP="00570E98"/>
    <w:sectPr w:rsidR="00570E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E98"/>
    <w:rsid w:val="00570E98"/>
    <w:rsid w:val="007A72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873C4A6"/>
  <w15:chartTrackingRefBased/>
  <w15:docId w15:val="{4B664669-461F-A441-B40F-F2714D3F4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E98"/>
  </w:style>
  <w:style w:type="paragraph" w:styleId="Heading1">
    <w:name w:val="heading 1"/>
    <w:basedOn w:val="Normal"/>
    <w:next w:val="Normal"/>
    <w:link w:val="Heading1Char"/>
    <w:uiPriority w:val="9"/>
    <w:qFormat/>
    <w:rsid w:val="00570E98"/>
    <w:pPr>
      <w:keepNext/>
      <w:keepLines/>
      <w:spacing w:before="240"/>
      <w:outlineLvl w:val="0"/>
    </w:pPr>
    <w:rPr>
      <w:rFonts w:asciiTheme="majorHAnsi" w:eastAsiaTheme="majorEastAsia" w:hAnsiTheme="majorHAnsi" w:cstheme="majorBidi"/>
      <w:b/>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E98"/>
    <w:rPr>
      <w:rFonts w:asciiTheme="majorHAnsi" w:eastAsiaTheme="majorEastAsia" w:hAnsiTheme="majorHAnsi" w:cstheme="majorBidi"/>
      <w:b/>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3009</Words>
  <Characters>17157</Characters>
  <Application>Microsoft Office Word</Application>
  <DocSecurity>0</DocSecurity>
  <Lines>142</Lines>
  <Paragraphs>40</Paragraphs>
  <ScaleCrop>false</ScaleCrop>
  <Company/>
  <LinksUpToDate>false</LinksUpToDate>
  <CharactersWithSpaces>20126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2026-05-17T21:19:00Z</dcterms:created>
  <dcterms:modified xsi:type="dcterms:W3CDTF">2026-05-17T21:20:00Z</dcterms:modified>
</cp:coreProperties>
</file>