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PROBLEM STATEMENT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Welfare Scheme Leakage &amp; Beneficiary Coverage Gap Analysis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PM-KISAN · MGNREGA · PMAY-G  |  Independent Policy &amp; Data Analytics Project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aps/>
          <w:color w:val="2E75B6"/>
          <w:sz w:val="22"/>
          <w:szCs w:val="22"/>
        </w:rPr>
        <w:t xml:space="preserve">1. Context — India's Welfare Delivery Architecture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India operates one of the world's largest welfare delivery systems, channelling over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₹3.5 lakh crore annually</w:t>
      </w:r>
      <w:r>
        <w:rPr>
          <w:rFonts w:ascii="Calibri" w:cs="Calibri" w:eastAsia="Calibri" w:hAnsi="Calibri"/>
          <w:sz w:val="24"/>
          <w:szCs w:val="24"/>
        </w:rPr>
        <w:t xml:space="preserve"> through its Direct Benefit Transfer (DBT) infrastructure. The JAM Trinity — Jan Dhan bank accounts, Aadhaar biometric authentication, and Mobile number verification — forms the backbone of this system, directly crediting scheme benefits into beneficiary accounts and eliminating traditional intermediaries. Three schemes represent the most significant share of this expenditure: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PM-KISAN</w:t>
      </w:r>
      <w:r>
        <w:rPr>
          <w:rFonts w:ascii="Calibri" w:cs="Calibri" w:eastAsia="Calibri" w:hAnsi="Calibri"/>
          <w:sz w:val="24"/>
          <w:szCs w:val="24"/>
        </w:rPr>
        <w:t xml:space="preserve"> (₹63,500 crore annually; income support to 9.4 crore farmer households),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MGNREGA</w:t>
      </w:r>
      <w:r>
        <w:rPr>
          <w:rFonts w:ascii="Calibri" w:cs="Calibri" w:eastAsia="Calibri" w:hAnsi="Calibri"/>
          <w:sz w:val="24"/>
          <w:szCs w:val="24"/>
        </w:rPr>
        <w:t xml:space="preserve"> (₹86,000 crore; guaranteed wage employment for rural households), and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PMAY-G</w:t>
      </w:r>
      <w:r>
        <w:rPr>
          <w:rFonts w:ascii="Calibri" w:cs="Calibri" w:eastAsia="Calibri" w:hAnsi="Calibri"/>
          <w:sz w:val="24"/>
          <w:szCs w:val="24"/>
        </w:rPr>
        <w:t xml:space="preserve"> (₹54,832 crore; rural housing construction subsidies). Together, these three schemes represent the government's primary instruments for rural income security, employment, and asset creation.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aps/>
          <w:color w:val="2E75B6"/>
          <w:sz w:val="22"/>
          <w:szCs w:val="22"/>
        </w:rPr>
        <w:t xml:space="preserve">2. The Problem — Three Structural Delivery Failures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Despite this scale of public expenditure, a persistent and measurable gap exists between the number of people entitled to benefits and the number who actually receive them. This gap manifests in three distinct failure types.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Exclusion error</w:t>
      </w:r>
      <w:r>
        <w:rPr>
          <w:rFonts w:ascii="Calibri" w:cs="Calibri" w:eastAsia="Calibri" w:hAnsi="Calibri"/>
          <w:sz w:val="24"/>
          <w:szCs w:val="24"/>
        </w:rPr>
        <w:t xml:space="preserve"> occurs when eligible beneficiaries are absent from scheme rolls — for instance, the CAG audit of PMAY-G (Uttar Pradesh) found that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18,783 eligible households were excluded from the AwaasSoft beneficiary system</w:t>
      </w:r>
      <w:r>
        <w:rPr>
          <w:rFonts w:ascii="Calibri" w:cs="Calibri" w:eastAsia="Calibri" w:hAnsi="Calibri"/>
          <w:sz w:val="24"/>
          <w:szCs w:val="24"/>
        </w:rPr>
        <w:t xml:space="preserve"> solely because their MGNREGA job cards already existed, a data conflict between two government systems that denied them housing benefits.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Inclusion error</w:t>
      </w:r>
      <w:r>
        <w:rPr>
          <w:rFonts w:ascii="Calibri" w:cs="Calibri" w:eastAsia="Calibri" w:hAnsi="Calibri"/>
          <w:sz w:val="24"/>
          <w:szCs w:val="24"/>
        </w:rPr>
        <w:t xml:space="preserve"> refers to ineligible or ghost beneficiaries receiving transfers — the CAG Performance Audit of PM-KISAN (Report No. 8 of 2021) identified that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9 deceased beneficiaries received 22 instalments worth ₹0.44 lakh</w:t>
      </w:r>
      <w:r>
        <w:rPr>
          <w:rFonts w:ascii="Calibri" w:cs="Calibri" w:eastAsia="Calibri" w:hAnsi="Calibri"/>
          <w:sz w:val="24"/>
          <w:szCs w:val="24"/>
        </w:rPr>
        <w:t xml:space="preserve">, reflecting failures in real-time beneficiary verification.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Payment failure</w:t>
      </w:r>
      <w:r>
        <w:rPr>
          <w:rFonts w:ascii="Calibri" w:cs="Calibri" w:eastAsia="Calibri" w:hAnsi="Calibri"/>
          <w:sz w:val="24"/>
          <w:szCs w:val="24"/>
        </w:rPr>
        <w:t xml:space="preserve"> occurs when approved beneficiaries do not receive funds due to pipeline breakdowns — the CAG audit of MGNREGA (Chhattisgarh) found that although workers were legally entitled to compensation for delayed wages,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only ₹7,677 of ₹24.97 crore payable in compensation was actually disbursed</w:t>
      </w:r>
      <w:r>
        <w:rPr>
          <w:rFonts w:ascii="Calibri" w:cs="Calibri" w:eastAsia="Calibri" w:hAnsi="Calibri"/>
          <w:sz w:val="24"/>
          <w:szCs w:val="24"/>
        </w:rPr>
        <w:t xml:space="preserve"> — a payment recovery rate of under 0.03%.</w:t>
      </w:r>
    </w:p>
    <w:p>
      <w:pPr>
        <w:spacing w:after="60" w:before="60"/>
      </w:pPr>
      <w:r>
        <w:rPr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CAG Evidence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4200"/>
        <w:gridCol w:w="2000"/>
      </w:tblGrid>
      <w:t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Failure Type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Scheme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 CAG Finding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Inclusion Error</w:t>
            </w:r>
          </w:p>
        </w:tc>
        <w:tc>
          <w:tcPr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PM-KISAN</w:t>
            </w:r>
          </w:p>
        </w:tc>
        <w:tc>
          <w:tcPr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 deceased beneficiaries received 22 instalments (₹0.44 lakh)</w:t>
            </w:r>
          </w:p>
        </w:tc>
        <w:tc>
          <w:tcPr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CAG Report No. 8 of 2021</w:t>
            </w:r>
          </w:p>
        </w:tc>
      </w:tr>
      <w:tr>
        <w:tc>
          <w:tcPr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Payment Failure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MGNREGA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₹7,677 of ₹24.97 crore payable in delayed wage compensation was actually disbursed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CAG Report — Chhattisgarh</w:t>
            </w:r>
          </w:p>
        </w:tc>
      </w:tr>
      <w:tr>
        <w:tc>
          <w:tcPr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Exclusion Error</w:t>
            </w:r>
          </w:p>
        </w:tc>
        <w:tc>
          <w:tcPr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PMAY-G</w:t>
            </w:r>
          </w:p>
        </w:tc>
        <w:tc>
          <w:tcPr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18,783 eligible households excluded from AwaasSoft due to MGNREGA job card data conflict</w:t>
            </w:r>
          </w:p>
        </w:tc>
        <w:tc>
          <w:tcPr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CAG Report — Uttar Pradesh</w:t>
            </w:r>
          </w:p>
        </w:tc>
      </w:tr>
    </w:tbl>
    <w:p>
      <w:pPr>
        <w:spacing w:after="80" w:before="280"/>
      </w:pPr>
      <w:r>
        <w:rPr>
          <w:rFonts w:ascii="Calibri" w:cs="Calibri" w:eastAsia="Calibri" w:hAnsi="Calibri"/>
          <w:b/>
          <w:bCs/>
          <w:caps/>
          <w:color w:val="2E75B6"/>
          <w:sz w:val="22"/>
          <w:szCs w:val="22"/>
        </w:rPr>
        <w:t xml:space="preserve">3. The Analytical Gap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Existing research on welfare delivery failure in India is largely scheme-specific or failure-type-specific. Studies on MGNREGA focus predominantly on wage payment delays; PM-KISAN literature centres on Aadhaar-seeding gaps; PMAY-G evaluations examine physical completion rates. No publicly available composite analysis measures all three failure types — exclusion error, inclusion error, and payment failure — across all three schemes simultaneously at the state level. This absence of a unified analytical framework prevents cross-scheme learning and makes it difficult for policymakers to identify whether delivery failures are scheme-specific or systemic across India's DBT architecture.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aps/>
          <w:color w:val="2E75B6"/>
          <w:sz w:val="22"/>
          <w:szCs w:val="22"/>
        </w:rPr>
        <w:t xml:space="preserve">4. This Project — Research Question and Methodology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This project asks: </w:t>
      </w: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"Which Indian states show the largest gap between eligible beneficiaries and actual payment receipt across PM-KISAN, MGNREGA, and PMAY-G — and what administrative and structural factors correlate with higher delivery failure rates?"</w:t>
      </w:r>
      <w:r>
        <w:rPr>
          <w:rFonts w:ascii="Calibri" w:cs="Calibri" w:eastAsia="Calibri" w:hAnsi="Calibri"/>
          <w:sz w:val="24"/>
          <w:szCs w:val="24"/>
        </w:rPr>
        <w:t xml:space="preserve"> Using state as the unit of analysis across 28+ Indian states, the project constructs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Delivery Efficiency Score (DES)</w:t>
      </w:r>
      <w:r>
        <w:rPr>
          <w:rFonts w:ascii="Calibri" w:cs="Calibri" w:eastAsia="Calibri" w:hAnsi="Calibri"/>
          <w:sz w:val="24"/>
          <w:szCs w:val="24"/>
        </w:rPr>
        <w:t xml:space="preserve"> — a composite index normalising exclusion error, inclusion error, and payment failure rates across all three schemes — using official government MIS data (MGNREGA MIS, PM-KISAN MIS, AwaasSoft), PFMS payment records, SECC 2011 coverage benchmarks, and CAG audit findings. The output is a ranked state-level index, an interactive Power BI dashboard, and a 1,200-word policy brief with four evidence-based reform recommendations.</w:t>
      </w:r>
    </w:p>
    <w:p>
      <w:pPr>
        <w:spacing w:after="60" w:before="60"/>
      </w:pPr>
      <w:r>
        <w:rPr>
          <w:sz w:val="24"/>
          <w:szCs w:val="24"/>
        </w:rPr>
        <w:t xml:space="preserve"/>
      </w:r>
    </w:p>
    <w:p>
      <w:pPr>
        <w:spacing w:after="0" w:before="200"/>
        <w:jc w:val="right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Geetika  |  B.Tech ICT  |  Public Policy &amp; Data Analytics  |  July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2026-07-28T16:03:43.210Z</dcterms:created>
  <dcterms:modified xsi:type="dcterms:W3CDTF">2026-07-28T16:03:43.225Z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