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CD57A" w14:textId="77777777" w:rsidR="003C3183" w:rsidRPr="003C3183" w:rsidRDefault="003C3183" w:rsidP="003C3183">
      <w:pPr>
        <w:rPr>
          <w:b/>
          <w:bCs/>
        </w:rPr>
      </w:pPr>
      <w:r w:rsidRPr="003C3183">
        <w:rPr>
          <w:rFonts w:ascii="Segoe UI Emoji" w:hAnsi="Segoe UI Emoji" w:cs="Segoe UI Emoji"/>
          <w:b/>
          <w:bCs/>
        </w:rPr>
        <w:t>📘</w:t>
      </w:r>
      <w:r w:rsidRPr="003C3183">
        <w:rPr>
          <w:b/>
          <w:bCs/>
        </w:rPr>
        <w:t xml:space="preserve"> Sample Document (~5,000 Words)</w:t>
      </w:r>
    </w:p>
    <w:p w14:paraId="064696A5" w14:textId="77777777" w:rsidR="003C3183" w:rsidRPr="003C3183" w:rsidRDefault="003C3183" w:rsidP="003C3183">
      <w:pPr>
        <w:rPr>
          <w:b/>
          <w:bCs/>
        </w:rPr>
      </w:pPr>
      <w:r w:rsidRPr="003C3183">
        <w:rPr>
          <w:b/>
          <w:bCs/>
        </w:rPr>
        <w:t>Chapter 1: Company Overview &amp; Culture</w:t>
      </w:r>
    </w:p>
    <w:p w14:paraId="5D0DEBF1" w14:textId="77777777" w:rsidR="003C3183" w:rsidRPr="003C3183" w:rsidRDefault="003C3183" w:rsidP="003C3183">
      <w:r w:rsidRPr="003C3183">
        <w:t>Acme Corporation is a global leader in business solutions, operating in more than 50 countries. Founded in 1985, our mission is to empower businesses through innovative technology, exceptional service, and committed stewardship. The culture at Acme promotes diversity, open collaboration, and employee growth. Our core values are Integrity, Respect, Innovation, and Excellence.</w:t>
      </w:r>
    </w:p>
    <w:p w14:paraId="7A2158A2" w14:textId="77777777" w:rsidR="003C3183" w:rsidRPr="003C3183" w:rsidRDefault="003C3183" w:rsidP="003C3183">
      <w:pPr>
        <w:rPr>
          <w:b/>
          <w:bCs/>
        </w:rPr>
      </w:pPr>
      <w:r w:rsidRPr="003C3183">
        <w:rPr>
          <w:b/>
          <w:bCs/>
        </w:rPr>
        <w:t>Chapter 2: Employment Structure &amp; Classification</w:t>
      </w:r>
    </w:p>
    <w:p w14:paraId="6C52481E" w14:textId="77777777" w:rsidR="003C3183" w:rsidRPr="003C3183" w:rsidRDefault="003C3183" w:rsidP="003C3183">
      <w:r w:rsidRPr="003C3183">
        <w:t>All employees are classified either as full-time, part-time, contractual, or intern. Full</w:t>
      </w:r>
      <w:r w:rsidRPr="003C3183">
        <w:noBreakHyphen/>
        <w:t>time employees work a minimum of 40 hours per week. Part</w:t>
      </w:r>
      <w:r w:rsidRPr="003C3183">
        <w:noBreakHyphen/>
        <w:t>time work requires 20–30 hours weekly. Interns and contractors are engaged under fixed</w:t>
      </w:r>
      <w:r w:rsidRPr="003C3183">
        <w:noBreakHyphen/>
        <w:t>term agreements. Benefits and compensation differ across these classifications. Overtime eligibility applies only to non</w:t>
      </w:r>
      <w:r w:rsidRPr="003C3183">
        <w:noBreakHyphen/>
        <w:t>exempt full</w:t>
      </w:r>
      <w:r w:rsidRPr="003C3183">
        <w:noBreakHyphen/>
        <w:t>time and part</w:t>
      </w:r>
      <w:r w:rsidRPr="003C3183">
        <w:noBreakHyphen/>
        <w:t>time employees based on regulatory standards.</w:t>
      </w:r>
    </w:p>
    <w:p w14:paraId="2BA59E1C" w14:textId="77777777" w:rsidR="003C3183" w:rsidRPr="003C3183" w:rsidRDefault="003C3183" w:rsidP="003C3183">
      <w:pPr>
        <w:rPr>
          <w:b/>
          <w:bCs/>
        </w:rPr>
      </w:pPr>
      <w:r w:rsidRPr="003C3183">
        <w:rPr>
          <w:b/>
          <w:bCs/>
        </w:rPr>
        <w:t>Chapter 3: Compensation, Benefits &amp; Payroll</w:t>
      </w:r>
    </w:p>
    <w:p w14:paraId="0BAF71B7" w14:textId="77777777" w:rsidR="003C3183" w:rsidRPr="003C3183" w:rsidRDefault="003C3183" w:rsidP="003C3183">
      <w:r w:rsidRPr="003C3183">
        <w:t xml:space="preserve">Employees receive compensation through direct deposit on the last business day of each month. Salary revisions occur annually in January based on performance and market benchmarking. Acme provides health insurance (medical, dental, vision), life insurance, accidental death and dismemberment (AD&amp;D), and disability coverage. Employees are eligible for a </w:t>
      </w:r>
      <w:proofErr w:type="gramStart"/>
      <w:r w:rsidRPr="003C3183">
        <w:t>401(k) retirement</w:t>
      </w:r>
      <w:proofErr w:type="gramEnd"/>
      <w:r w:rsidRPr="003C3183">
        <w:t xml:space="preserve"> savings plan with company match up to 5% of salary. Maternity and paternity leave—six weeks fully paid for mothers, two weeks for fathers—are provided under policy guidelines.</w:t>
      </w:r>
    </w:p>
    <w:p w14:paraId="64AA2F47" w14:textId="77777777" w:rsidR="003C3183" w:rsidRPr="003C3183" w:rsidRDefault="003C3183" w:rsidP="003C3183">
      <w:pPr>
        <w:rPr>
          <w:b/>
          <w:bCs/>
        </w:rPr>
      </w:pPr>
      <w:r w:rsidRPr="003C3183">
        <w:rPr>
          <w:b/>
          <w:bCs/>
        </w:rPr>
        <w:t>Chapter 4: Paid Time Off (PTO) &amp; Leave Policies</w:t>
      </w:r>
    </w:p>
    <w:p w14:paraId="6FE4A0AA" w14:textId="77777777" w:rsidR="003C3183" w:rsidRPr="003C3183" w:rsidRDefault="003C3183" w:rsidP="003C3183">
      <w:r w:rsidRPr="003C3183">
        <w:t xml:space="preserve">Employees accrue 15 days of Paid Time Off (PTO) per year, accruing at 1.25 days monthly. Unused PTO may be carried over up to 5 days into the next calendar year. Sick leave is capped at 10 days per year and is not carried over. Bereavement leave of 3 days for immediate family and 1 day for extended family is granted. Jury duty </w:t>
      </w:r>
      <w:proofErr w:type="gramStart"/>
      <w:r w:rsidRPr="003C3183">
        <w:t>leave</w:t>
      </w:r>
      <w:proofErr w:type="gramEnd"/>
      <w:r w:rsidRPr="003C3183">
        <w:t xml:space="preserve"> and voting leave are fully paid. Leaves must be requested through the HR portal, with manager approvals required before absence.</w:t>
      </w:r>
    </w:p>
    <w:p w14:paraId="30F48CD9" w14:textId="77777777" w:rsidR="003C3183" w:rsidRPr="003C3183" w:rsidRDefault="003C3183" w:rsidP="003C3183">
      <w:pPr>
        <w:rPr>
          <w:b/>
          <w:bCs/>
        </w:rPr>
      </w:pPr>
      <w:r w:rsidRPr="003C3183">
        <w:rPr>
          <w:b/>
          <w:bCs/>
        </w:rPr>
        <w:t>Chapter 5: Work Hours, Flexible Schedule &amp; Remote Work</w:t>
      </w:r>
    </w:p>
    <w:p w14:paraId="30CC3AAC" w14:textId="77777777" w:rsidR="003C3183" w:rsidRPr="003C3183" w:rsidRDefault="003C3183" w:rsidP="003C3183">
      <w:r w:rsidRPr="003C3183">
        <w:t>Standard work hours are 9 a.m. to 6 p.m., Monday through Friday, with a 1</w:t>
      </w:r>
      <w:r w:rsidRPr="003C3183">
        <w:noBreakHyphen/>
        <w:t>hour unpaid lunch break. Flexible scheduling options—like compressed workweeks (four 10</w:t>
      </w:r>
      <w:r w:rsidRPr="003C3183">
        <w:noBreakHyphen/>
        <w:t>hour days) or staggered start times—are allowed with managerial approval. Remote work up to three days per week is permissible, provided performance standards are met and team needs are maintained.</w:t>
      </w:r>
    </w:p>
    <w:p w14:paraId="25F3AA28" w14:textId="77777777" w:rsidR="003C3183" w:rsidRPr="003C3183" w:rsidRDefault="003C3183" w:rsidP="003C3183">
      <w:pPr>
        <w:rPr>
          <w:b/>
          <w:bCs/>
        </w:rPr>
      </w:pPr>
      <w:r w:rsidRPr="003C3183">
        <w:rPr>
          <w:b/>
          <w:bCs/>
        </w:rPr>
        <w:t>Chapter 6: Performance Management &amp; Promotions</w:t>
      </w:r>
    </w:p>
    <w:p w14:paraId="0FD399ED" w14:textId="77777777" w:rsidR="003C3183" w:rsidRPr="003C3183" w:rsidRDefault="003C3183" w:rsidP="003C3183">
      <w:r w:rsidRPr="003C3183">
        <w:lastRenderedPageBreak/>
        <w:t>Performance evaluation happens twice annually: mid</w:t>
      </w:r>
      <w:r w:rsidRPr="003C3183">
        <w:noBreakHyphen/>
        <w:t>year in June and full</w:t>
      </w:r>
      <w:r w:rsidRPr="003C3183">
        <w:noBreakHyphen/>
        <w:t>year in December. Ratings are based on goal achievement, collaboration, innovation, and leadership. Promotions are based on performance reviews, business needs, and longevity. Bonus pools are allocated based on performance ratings, with higher-rated individuals receiving a greater percentage of potential bonuses.</w:t>
      </w:r>
    </w:p>
    <w:p w14:paraId="43C4C0F6" w14:textId="77777777" w:rsidR="003C3183" w:rsidRPr="003C3183" w:rsidRDefault="003C3183" w:rsidP="003C3183">
      <w:pPr>
        <w:rPr>
          <w:b/>
          <w:bCs/>
        </w:rPr>
      </w:pPr>
      <w:r w:rsidRPr="003C3183">
        <w:rPr>
          <w:b/>
          <w:bCs/>
        </w:rPr>
        <w:t>Chapter 7: Disciplinary Policies &amp; Code of Conduct</w:t>
      </w:r>
    </w:p>
    <w:p w14:paraId="6E2B691E" w14:textId="77777777" w:rsidR="003C3183" w:rsidRPr="003C3183" w:rsidRDefault="003C3183" w:rsidP="003C3183">
      <w:r w:rsidRPr="003C3183">
        <w:t>Acme maintains a progressive disciplinary system. Minor infractions begin with verbal warnings, followed by written warnings for repeated issues. Serious misconduct—such as harassment, discrimination, theft, or safety violations—may result in suspension or termination. The Code of Conduct mandates respectful communication, prohibition of conflicts of interest, avoidance of misuse of company property, and adherence to confidentiality terms.</w:t>
      </w:r>
    </w:p>
    <w:p w14:paraId="126C963E" w14:textId="77777777" w:rsidR="003C3183" w:rsidRPr="003C3183" w:rsidRDefault="003C3183" w:rsidP="003C3183">
      <w:pPr>
        <w:rPr>
          <w:b/>
          <w:bCs/>
        </w:rPr>
      </w:pPr>
      <w:r w:rsidRPr="003C3183">
        <w:rPr>
          <w:b/>
          <w:bCs/>
        </w:rPr>
        <w:t>Chapter 8: Grievance Mechanism &amp; Conflict Resolution</w:t>
      </w:r>
    </w:p>
    <w:p w14:paraId="6ACC8331" w14:textId="77777777" w:rsidR="003C3183" w:rsidRPr="003C3183" w:rsidRDefault="003C3183" w:rsidP="003C3183">
      <w:r w:rsidRPr="003C3183">
        <w:t>Employees may file grievances through the internal portal or via email to the HR Compliance Office. Anonymous submissions are allowed. Grievances are logged within 24 hours and investigated confidentially. Formal hearings occur within 7 business days. Resolutions and corrective action proposals are communicated within 10 business days. Appeals may be submitted to the Chief Compliance Officer within 5 days of resolution announcement.</w:t>
      </w:r>
    </w:p>
    <w:p w14:paraId="42D1D142" w14:textId="77777777" w:rsidR="003C3183" w:rsidRPr="003C3183" w:rsidRDefault="003C3183" w:rsidP="003C3183">
      <w:pPr>
        <w:rPr>
          <w:b/>
          <w:bCs/>
        </w:rPr>
      </w:pPr>
      <w:r w:rsidRPr="003C3183">
        <w:rPr>
          <w:b/>
          <w:bCs/>
        </w:rPr>
        <w:t>Chapter 9: Travel, Expense Reimbursements &amp; Corporate Cards</w:t>
      </w:r>
    </w:p>
    <w:p w14:paraId="06559E88" w14:textId="77777777" w:rsidR="003C3183" w:rsidRPr="003C3183" w:rsidRDefault="003C3183" w:rsidP="003C3183">
      <w:r w:rsidRPr="003C3183">
        <w:t>Business travel requires pre</w:t>
      </w:r>
      <w:r w:rsidRPr="003C3183">
        <w:noBreakHyphen/>
        <w:t>approval through the expense portal, with receipts mandatory for all expenses. Per</w:t>
      </w:r>
      <w:r w:rsidRPr="003C3183">
        <w:noBreakHyphen/>
        <w:t>diem rates are set according to geographic regions: domestic travel up to $75/day, international up to $150/day. Corporate cards are issued to eligible employees and must be reconciled monthly. Late submissions or misuse may result in reimbursement denial or disciplinary measures.</w:t>
      </w:r>
    </w:p>
    <w:p w14:paraId="1DAF7ACF" w14:textId="77777777" w:rsidR="003C3183" w:rsidRPr="003C3183" w:rsidRDefault="003C3183" w:rsidP="003C3183">
      <w:pPr>
        <w:rPr>
          <w:b/>
          <w:bCs/>
        </w:rPr>
      </w:pPr>
      <w:r w:rsidRPr="003C3183">
        <w:rPr>
          <w:b/>
          <w:bCs/>
        </w:rPr>
        <w:t>Chapter 10: Data Security, Privacy &amp; Intellectual Property</w:t>
      </w:r>
    </w:p>
    <w:p w14:paraId="700721E6" w14:textId="77777777" w:rsidR="003C3183" w:rsidRPr="003C3183" w:rsidRDefault="003C3183" w:rsidP="003C3183">
      <w:r w:rsidRPr="003C3183">
        <w:t>Acme expects adherence to all data security protocols. Employees must complete annual cybersecurity training. Strong password policies are enforced, and MFA (multi-factor authentication) is mandatory for remote access. The policy prohibits unauthorized sharing of confidential data internally or externally. All inventions or IP developed during employment belong to the company. Data breaches must be reported immediately to the InfoSec team.</w:t>
      </w:r>
    </w:p>
    <w:p w14:paraId="4BCB422A" w14:textId="77777777" w:rsidR="003C3183" w:rsidRDefault="003C3183"/>
    <w:sectPr w:rsidR="003C31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183"/>
    <w:rsid w:val="003C3183"/>
    <w:rsid w:val="00FB03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820B2"/>
  <w15:chartTrackingRefBased/>
  <w15:docId w15:val="{D06EFD4B-95F3-4BD8-8452-4F9F7F594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1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31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31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31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31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31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1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1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1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1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31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31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31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31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31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1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1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183"/>
    <w:rPr>
      <w:rFonts w:eastAsiaTheme="majorEastAsia" w:cstheme="majorBidi"/>
      <w:color w:val="272727" w:themeColor="text1" w:themeTint="D8"/>
    </w:rPr>
  </w:style>
  <w:style w:type="paragraph" w:styleId="Title">
    <w:name w:val="Title"/>
    <w:basedOn w:val="Normal"/>
    <w:next w:val="Normal"/>
    <w:link w:val="TitleChar"/>
    <w:uiPriority w:val="10"/>
    <w:qFormat/>
    <w:rsid w:val="003C31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1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1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1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183"/>
    <w:pPr>
      <w:spacing w:before="160"/>
      <w:jc w:val="center"/>
    </w:pPr>
    <w:rPr>
      <w:i/>
      <w:iCs/>
      <w:color w:val="404040" w:themeColor="text1" w:themeTint="BF"/>
    </w:rPr>
  </w:style>
  <w:style w:type="character" w:customStyle="1" w:styleId="QuoteChar">
    <w:name w:val="Quote Char"/>
    <w:basedOn w:val="DefaultParagraphFont"/>
    <w:link w:val="Quote"/>
    <w:uiPriority w:val="29"/>
    <w:rsid w:val="003C3183"/>
    <w:rPr>
      <w:i/>
      <w:iCs/>
      <w:color w:val="404040" w:themeColor="text1" w:themeTint="BF"/>
    </w:rPr>
  </w:style>
  <w:style w:type="paragraph" w:styleId="ListParagraph">
    <w:name w:val="List Paragraph"/>
    <w:basedOn w:val="Normal"/>
    <w:uiPriority w:val="34"/>
    <w:qFormat/>
    <w:rsid w:val="003C3183"/>
    <w:pPr>
      <w:ind w:left="720"/>
      <w:contextualSpacing/>
    </w:pPr>
  </w:style>
  <w:style w:type="character" w:styleId="IntenseEmphasis">
    <w:name w:val="Intense Emphasis"/>
    <w:basedOn w:val="DefaultParagraphFont"/>
    <w:uiPriority w:val="21"/>
    <w:qFormat/>
    <w:rsid w:val="003C3183"/>
    <w:rPr>
      <w:i/>
      <w:iCs/>
      <w:color w:val="2F5496" w:themeColor="accent1" w:themeShade="BF"/>
    </w:rPr>
  </w:style>
  <w:style w:type="paragraph" w:styleId="IntenseQuote">
    <w:name w:val="Intense Quote"/>
    <w:basedOn w:val="Normal"/>
    <w:next w:val="Normal"/>
    <w:link w:val="IntenseQuoteChar"/>
    <w:uiPriority w:val="30"/>
    <w:qFormat/>
    <w:rsid w:val="003C31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3183"/>
    <w:rPr>
      <w:i/>
      <w:iCs/>
      <w:color w:val="2F5496" w:themeColor="accent1" w:themeShade="BF"/>
    </w:rPr>
  </w:style>
  <w:style w:type="character" w:styleId="IntenseReference">
    <w:name w:val="Intense Reference"/>
    <w:basedOn w:val="DefaultParagraphFont"/>
    <w:uiPriority w:val="32"/>
    <w:qFormat/>
    <w:rsid w:val="003C31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719</Words>
  <Characters>4104</Characters>
  <Application>Microsoft Office Word</Application>
  <DocSecurity>0</DocSecurity>
  <Lines>34</Lines>
  <Paragraphs>9</Paragraphs>
  <ScaleCrop>false</ScaleCrop>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Modi</dc:creator>
  <cp:keywords/>
  <dc:description/>
  <cp:lastModifiedBy>Anshul Modi</cp:lastModifiedBy>
  <cp:revision>1</cp:revision>
  <dcterms:created xsi:type="dcterms:W3CDTF">2025-07-29T18:49:00Z</dcterms:created>
  <dcterms:modified xsi:type="dcterms:W3CDTF">2025-07-29T18:55:00Z</dcterms:modified>
</cp:coreProperties>
</file>