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Gefen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Kibbutz Erez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Israel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0502001376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gefenbar23@gmail.com | linkedin.com/in/gefen-bar | gefenbar.netlify.app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Highly motivated Computer Science Graduate with a passion for coding, technology and innovation.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proactive problem-solver who is always looking for new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Always in favor of teamwork and brainstorming, yet possessing a strong ability to quickly grasp new concepts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Practical experience in Image Processing projects and a good understanding of Machine Learning gained through personal projects and academic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Object-Oriented Programming using Java, C#, and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Additionally, holds hands-on experience in Web Development with HTML5, CSS3, and JavaScript and is well-versed in Version Control using Git and development environments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(B.Sc) -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2019 -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Intern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2021 -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Art Division, London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 Development internship in a United Kingdom based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websites, and was in charge of their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JavaScript and CSS expertise to successfully diagnose and resolve diverse technical problems encountered on multiple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Efficiently addressed customers' issues by fulfilling their specific requests and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Maintenance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 2019 -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 IPO,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Worldwide website management, performance and usability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managed websites worldwide.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Improved user experience through improved usability and consistent maintenance of multiple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 Specialist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Nov 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2.5 years of technical support to teachers, students and executive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and trained customers with third party exam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Delivered technical installation training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Instructed teachers through class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personalized face-to-face guidance and remote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Java, C#, Git, Linux, SQL, Machine Learning, Image Processing, C++, JavaScript, HTML5, CSS3, Agile, Cybersecurity,  Unity, Problem-solving, Attention to details, Teamwork, Creativity, Time management, Analytical thinking, Patience, 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