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 xml:space="preserve">COMPAÑÍA ANÓNIMA NACIONAL TELÉFONOS DE VENEZUELA </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UNIDAD DE AUDITORÍA INTERNA</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(UAI-Cantv)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INFORME DEL AUDITOR</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lang w:val="es-VE"/>
        </w:rPr>
      </w:pPr>
    </w:p>
    <w:p w:rsidR="0037381E" w:rsidRPr="00A842D3" w:rsidRDefault="00AF6C81" w:rsidP="00BF6EEC">
      <w:pPr>
        <w:spacing w:line="276" w:lineRule="auto"/>
        <w:ind w:left="567"/>
        <w:jc w:val="both"/>
        <w:rPr>
          <w:rFonts w:ascii="Arial Narrow" w:hAnsi="Arial Narrow" w:cs="Arial"/>
          <w:sz w:val="22"/>
          <w:szCs w:val="22"/>
          <w:lang w:val="es-VE"/>
        </w:rPr>
      </w:pPr>
      <w:r w:rsidRPr="00A842D3">
        <w:rPr>
          <w:rFonts w:ascii="Arial Narrow" w:hAnsi="Arial Narrow" w:cs="Arial"/>
          <w:sz w:val="22"/>
          <w:szCs w:val="22"/>
          <w:lang w:val="es-VE"/>
        </w:rPr>
        <w:t>Actuación fiscal referida a la verificación de la sinceridad y exactitud del contenido del acta de entrega de</w:t>
      </w:r>
      <w:r w:rsidR="00B8450E"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${unidad_entrega}</w:t>
      </w:r>
      <w:r w:rsidR="00E41F50"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B8450E" w:rsidRPr="00A842D3">
        <w:rPr>
          <w:rFonts w:ascii="Arial Narrow" w:hAnsi="Arial Narrow" w:cs="Arial"/>
          <w:sz w:val="22"/>
          <w:szCs w:val="22"/>
        </w:rPr>
        <w:t xml:space="preserve"> </w:t>
      </w:r>
      <w:r w:rsidR="00E41F50" w:rsidRPr="00A842D3">
        <w:rPr>
          <w:rFonts w:ascii="Arial Narrow" w:hAnsi="Arial Narrow" w:cs="Arial"/>
          <w:sz w:val="22"/>
          <w:szCs w:val="22"/>
          <w:lang w:val="es-VE"/>
        </w:rPr>
        <w:t xml:space="preserve">${unidad_adcripta}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00236375" w:rsidRPr="00A842D3">
        <w:rPr>
          <w:rFonts w:ascii="Arial Narrow" w:hAnsi="Arial Narrow" w:cs="Arial"/>
          <w:bCs/>
          <w:sz w:val="22"/>
          <w:szCs w:val="22"/>
          <w:lang w:val="es-VE"/>
        </w:rPr>
        <w:t xml:space="preserve">a la </w:t>
      </w:r>
      <w:r w:rsidR="00894C2A" w:rsidRPr="00A842D3">
        <w:rPr>
          <w:rFonts w:ascii="Arial Narrow" w:hAnsi="Arial Narrow" w:cs="Arial"/>
          <w:bCs/>
          <w:sz w:val="22"/>
          <w:szCs w:val="22"/>
          <w:lang w:val="es-VE"/>
        </w:rPr>
        <w:t xml:space="preserve">Servidora Pública Saliente ciudadana </w:t>
      </w:r>
      <w:r w:rsidR="00894C2A" w:rsidRPr="00A842D3">
        <w:rPr>
          <w:rFonts w:ascii="Arial Narrow" w:hAnsi="Arial Narrow" w:cs="Arial"/>
          <w:sz w:val="22"/>
          <w:szCs w:val="22"/>
          <w:lang w:val="es-VE"/>
        </w:rPr>
        <w:t>$</w:t>
      </w:r>
      <w:r w:rsidRPr="00A842D3">
        <w:rPr>
          <w:rFonts w:ascii="Arial Narrow" w:hAnsi="Arial Narrow" w:cs="Arial"/>
          <w:sz w:val="22"/>
          <w:szCs w:val="22"/>
          <w:lang w:val="es-VE"/>
        </w:rPr>
        <w:t xml:space="preserve">{nombre_saliente}, titular de la cédula de identidad V-${cedula_saliente}, durante el periodo de gestión del </w:t>
      </w:r>
      <w:r w:rsidR="002B6B0E" w:rsidRPr="00A842D3">
        <w:rPr>
          <w:rFonts w:ascii="Arial Narrow" w:hAnsi="Arial Narrow" w:cs="Arial"/>
          <w:sz w:val="22"/>
          <w:szCs w:val="22"/>
          <w:lang w:val="es-VE"/>
        </w:rPr>
        <w:t xml:space="preserve">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B1119" w:rsidRDefault="00EB1119"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37381E" w:rsidRPr="00A842D3" w:rsidRDefault="00AF6C81" w:rsidP="00B80805">
      <w:pPr>
        <w:spacing w:line="276" w:lineRule="auto"/>
        <w:ind w:firstLine="708"/>
        <w:rPr>
          <w:rFonts w:ascii="Arial Narrow" w:hAnsi="Arial Narrow" w:cs="Arial"/>
          <w:b/>
          <w:sz w:val="22"/>
          <w:szCs w:val="22"/>
        </w:rPr>
      </w:pPr>
      <w:r w:rsidRPr="00A842D3">
        <w:rPr>
          <w:rFonts w:ascii="Arial Narrow" w:hAnsi="Arial Narrow" w:cs="Arial"/>
          <w:b/>
          <w:sz w:val="22"/>
          <w:szCs w:val="22"/>
        </w:rPr>
        <w:t xml:space="preserve">Código Actuación: </w:t>
      </w:r>
      <w:r w:rsidRPr="00A842D3">
        <w:rPr>
          <w:rFonts w:ascii="Arial Narrow" w:hAnsi="Arial Narrow" w:cs="Arial"/>
          <w:b/>
          <w:color w:val="000000" w:themeColor="text1"/>
          <w:sz w:val="22"/>
          <w:szCs w:val="22"/>
          <w:lang w:val="es-VE"/>
        </w:rPr>
        <w:t>${code}</w:t>
      </w: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rPr>
          <w:rFonts w:ascii="Arial Narrow" w:hAnsi="Arial Narrow" w:cs="Arial"/>
          <w:b/>
          <w:sz w:val="22"/>
          <w:szCs w:val="22"/>
        </w:rPr>
      </w:pPr>
    </w:p>
    <w:p w:rsidR="0037381E" w:rsidRPr="00A842D3" w:rsidRDefault="0037381E">
      <w:pPr>
        <w:spacing w:line="276" w:lineRule="auto"/>
        <w:jc w:val="center"/>
        <w:rPr>
          <w:rFonts w:ascii="Arial Narrow" w:hAnsi="Arial Narrow" w:cs="Arial"/>
          <w:b/>
          <w:color w:val="FF0000"/>
          <w:sz w:val="22"/>
          <w:szCs w:val="22"/>
        </w:rPr>
      </w:pPr>
    </w:p>
    <w:p w:rsidR="0037381E" w:rsidRPr="00A842D3" w:rsidRDefault="00236375">
      <w:pPr>
        <w:spacing w:line="276" w:lineRule="auto"/>
        <w:jc w:val="right"/>
        <w:rPr>
          <w:rFonts w:ascii="Arial Narrow" w:hAnsi="Arial Narrow"/>
          <w:b/>
          <w:color w:val="000000" w:themeColor="text1"/>
          <w:sz w:val="22"/>
          <w:szCs w:val="22"/>
        </w:rPr>
      </w:pPr>
      <w:r w:rsidRPr="00A842D3">
        <w:rPr>
          <w:rFonts w:ascii="Arial Narrow" w:hAnsi="Arial Narrow" w:cs="Arial"/>
          <w:b/>
          <w:color w:val="000000" w:themeColor="text1"/>
          <w:sz w:val="22"/>
          <w:szCs w:val="22"/>
        </w:rPr>
        <w:t>${fecha_progrma</w:t>
      </w:r>
      <w:r w:rsidR="00AF6C81" w:rsidRPr="00A842D3">
        <w:rPr>
          <w:rFonts w:ascii="Arial Narrow" w:hAnsi="Arial Narrow" w:cs="Arial"/>
          <w:b/>
          <w:color w:val="000000" w:themeColor="text1"/>
          <w:sz w:val="22"/>
          <w:szCs w:val="22"/>
        </w:rPr>
        <w:t>}</w:t>
      </w:r>
    </w:p>
    <w:p w:rsidR="00B24ED7" w:rsidRDefault="00B24ED7" w:rsidP="00B24ED7">
      <w:pPr>
        <w:rPr>
          <w:rFonts w:ascii="Arial Narrow" w:hAnsi="Arial Narrow"/>
          <w:b/>
          <w:color w:val="000000" w:themeColor="text1"/>
          <w:sz w:val="22"/>
          <w:szCs w:val="22"/>
        </w:rPr>
      </w:pPr>
    </w:p>
    <w:p w:rsidR="0037381E" w:rsidRPr="00B24ED7" w:rsidRDefault="00AF6C81" w:rsidP="00B30BBB">
      <w:pPr>
        <w:jc w:val="both"/>
        <w:rPr>
          <w:rFonts w:ascii="Arial Narrow" w:hAnsi="Arial Narrow"/>
          <w:b/>
          <w:color w:val="000000" w:themeColor="text1"/>
          <w:sz w:val="22"/>
          <w:szCs w:val="22"/>
        </w:rPr>
      </w:pPr>
      <w:r w:rsidRPr="00A842D3">
        <w:rPr>
          <w:rFonts w:ascii="Arial Narrow" w:hAnsi="Arial Narrow" w:cs="Arial"/>
          <w:sz w:val="22"/>
          <w:szCs w:val="22"/>
          <w:lang w:val="es-VE"/>
        </w:rPr>
        <w:lastRenderedPageBreak/>
        <w:t>Actuación fiscal referida a la verificación de la sinceridad y exactitud del contenido del acta de entrega de la</w:t>
      </w:r>
      <w:r w:rsidR="0099396A" w:rsidRPr="00A842D3">
        <w:rPr>
          <w:rFonts w:ascii="Arial Narrow" w:hAnsi="Arial Narrow" w:cs="Arial"/>
          <w:sz w:val="22"/>
          <w:szCs w:val="22"/>
          <w:lang w:val="es-VE"/>
        </w:rPr>
        <w:t xml:space="preserve"> ${unidad_entrega}</w:t>
      </w:r>
      <w:r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894C2A" w:rsidRPr="00A842D3">
        <w:rPr>
          <w:rFonts w:ascii="Arial Narrow" w:hAnsi="Arial Narrow" w:cs="Arial"/>
          <w:sz w:val="22"/>
          <w:szCs w:val="22"/>
          <w:lang w:val="es-VE"/>
        </w:rPr>
        <w:t xml:space="preserve"> ${unidad_adcripta}</w:t>
      </w:r>
      <w:r w:rsidRPr="00A842D3">
        <w:rPr>
          <w:rFonts w:ascii="Arial Narrow" w:hAnsi="Arial Narrow" w:cs="Arial"/>
          <w:sz w:val="22"/>
          <w:szCs w:val="22"/>
          <w:lang w:val="es-VE"/>
        </w:rPr>
        <w:t xml:space="preserve">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Pr="00A842D3">
        <w:rPr>
          <w:rFonts w:ascii="Arial Narrow" w:hAnsi="Arial Narrow" w:cs="Arial"/>
          <w:bCs/>
          <w:sz w:val="22"/>
          <w:szCs w:val="22"/>
          <w:lang w:val="es-VE"/>
        </w:rPr>
        <w:t xml:space="preserve"> a la Servidora Pública Saliente </w:t>
      </w:r>
      <w:r w:rsidR="00894C2A" w:rsidRPr="00A842D3">
        <w:rPr>
          <w:rFonts w:ascii="Arial Narrow" w:hAnsi="Arial Narrow" w:cs="Arial"/>
          <w:bCs/>
          <w:sz w:val="22"/>
          <w:szCs w:val="22"/>
          <w:lang w:val="es-VE"/>
        </w:rPr>
        <w:t xml:space="preserve">ciudadana </w:t>
      </w:r>
      <w:r w:rsidRPr="00A842D3">
        <w:rPr>
          <w:rFonts w:ascii="Arial Narrow" w:hAnsi="Arial Narrow" w:cs="Arial"/>
          <w:sz w:val="22"/>
          <w:szCs w:val="22"/>
          <w:lang w:val="es-VE"/>
        </w:rPr>
        <w:t>${nombre_salie</w:t>
      </w:r>
      <w:r w:rsidR="00894C2A" w:rsidRPr="00A842D3">
        <w:rPr>
          <w:rFonts w:ascii="Arial Narrow" w:hAnsi="Arial Narrow" w:cs="Arial"/>
          <w:sz w:val="22"/>
          <w:szCs w:val="22"/>
          <w:lang w:val="es-VE"/>
        </w:rPr>
        <w:t>nte}</w:t>
      </w:r>
      <w:r w:rsidRPr="00A842D3">
        <w:rPr>
          <w:rFonts w:ascii="Arial Narrow" w:hAnsi="Arial Narrow" w:cs="Arial"/>
          <w:sz w:val="22"/>
          <w:szCs w:val="22"/>
          <w:lang w:val="es-VE"/>
        </w:rPr>
        <w:t xml:space="preserve">, titular de la cédula de identidad V-${cedula_saliente}, durante el periodo de gestión del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46F48" w:rsidRPr="00A842D3" w:rsidRDefault="00346F48">
      <w:pPr>
        <w:spacing w:line="276" w:lineRule="auto"/>
        <w:jc w:val="both"/>
        <w:rPr>
          <w:rFonts w:ascii="Arial Narrow" w:hAnsi="Arial Narrow" w:cs="Arial"/>
          <w:sz w:val="22"/>
          <w:szCs w:val="22"/>
          <w:lang w:val="es-VE"/>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w:t>
      </w:r>
    </w:p>
    <w:p w:rsidR="00346F48" w:rsidRPr="00A842D3" w:rsidRDefault="00346F48">
      <w:pPr>
        <w:spacing w:line="276" w:lineRule="auto"/>
        <w:rPr>
          <w:rFonts w:ascii="Arial Narrow" w:hAnsi="Arial Narrow" w:cs="Arial"/>
          <w:b/>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Aspectos Preliminares</w:t>
      </w:r>
    </w:p>
    <w:p w:rsidR="00346F48" w:rsidRPr="00A842D3" w:rsidRDefault="00346F48" w:rsidP="00A66FCF">
      <w:pPr>
        <w:spacing w:line="276" w:lineRule="auto"/>
        <w:jc w:val="both"/>
        <w:rPr>
          <w:rFonts w:ascii="Arial Narrow" w:hAnsi="Arial Narrow" w:cs="Arial"/>
          <w:b/>
          <w:sz w:val="22"/>
          <w:szCs w:val="22"/>
        </w:rPr>
      </w:pPr>
    </w:p>
    <w:p w:rsidR="00A66FCF" w:rsidRPr="00A842D3" w:rsidRDefault="00A66FCF" w:rsidP="00346F48">
      <w:pPr>
        <w:spacing w:line="276" w:lineRule="auto"/>
        <w:jc w:val="right"/>
        <w:rPr>
          <w:rFonts w:ascii="Arial Narrow" w:hAnsi="Arial Narrow" w:cs="Arial"/>
          <w:b/>
          <w:sz w:val="22"/>
          <w:szCs w:val="22"/>
        </w:rPr>
      </w:pPr>
      <w:r w:rsidRPr="00A842D3">
        <w:rPr>
          <w:rFonts w:ascii="Arial Narrow" w:hAnsi="Arial Narrow" w:cs="Arial"/>
          <w:b/>
          <w:sz w:val="22"/>
          <w:szCs w:val="22"/>
        </w:rPr>
        <w:t>Origen de la Actuación</w:t>
      </w:r>
    </w:p>
    <w:p w:rsidR="003F2EC4" w:rsidRPr="00A842D3" w:rsidRDefault="003F2EC4" w:rsidP="00A66FCF">
      <w:pPr>
        <w:spacing w:line="276" w:lineRule="auto"/>
        <w:jc w:val="both"/>
        <w:rPr>
          <w:rFonts w:ascii="Arial Narrow" w:hAnsi="Arial Narrow" w:cs="Arial"/>
          <w:sz w:val="22"/>
          <w:szCs w:val="22"/>
        </w:rPr>
      </w:pPr>
      <w:r w:rsidRPr="00A842D3">
        <w:rPr>
          <w:rFonts w:ascii="Arial Narrow" w:hAnsi="Arial Narrow" w:cs="Arial"/>
          <w:sz w:val="22"/>
          <w:szCs w:val="22"/>
        </w:rPr>
        <w:t>${</w:t>
      </w:r>
      <w:r w:rsidR="00A1559B" w:rsidRPr="00A842D3">
        <w:rPr>
          <w:rFonts w:ascii="Arial Narrow" w:hAnsi="Arial Narrow" w:cs="Arial"/>
          <w:sz w:val="22"/>
          <w:szCs w:val="22"/>
        </w:rPr>
        <w:t>cadena_texto_origenpoa</w:t>
      </w:r>
      <w:r w:rsidRPr="00A842D3">
        <w:rPr>
          <w:rFonts w:ascii="Arial Narrow" w:hAnsi="Arial Narrow" w:cs="Arial"/>
          <w:sz w:val="22"/>
          <w:szCs w:val="22"/>
        </w:rPr>
        <w:t>}</w:t>
      </w:r>
    </w:p>
    <w:p w:rsidR="00315785" w:rsidRPr="00A842D3" w:rsidRDefault="00315785">
      <w:pPr>
        <w:spacing w:line="276" w:lineRule="auto"/>
        <w:jc w:val="both"/>
        <w:rPr>
          <w:rFonts w:ascii="Arial Narrow" w:hAnsi="Arial Narrow" w:cs="Arial"/>
          <w:b/>
          <w:sz w:val="22"/>
          <w:szCs w:val="22"/>
          <w:lang w:val="es-VE"/>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Alcance</w:t>
      </w:r>
    </w:p>
    <w:p w:rsidR="0037381E" w:rsidRPr="00A842D3" w:rsidRDefault="00AF6C81" w:rsidP="00B30BBB">
      <w:pPr>
        <w:spacing w:line="276" w:lineRule="auto"/>
        <w:jc w:val="both"/>
        <w:rPr>
          <w:rFonts w:ascii="Arial Narrow" w:hAnsi="Arial Narrow" w:cs="Arial"/>
          <w:b/>
          <w:sz w:val="22"/>
          <w:szCs w:val="22"/>
          <w:u w:val="single"/>
        </w:rPr>
      </w:pPr>
      <w:r w:rsidRPr="00A842D3">
        <w:rPr>
          <w:rFonts w:ascii="Arial Narrow" w:hAnsi="Arial Narrow" w:cs="Arial"/>
          <w:sz w:val="22"/>
          <w:szCs w:val="22"/>
        </w:rPr>
        <w:t>La actuación consistió en la verificación de la sinceridad y exactitud del contenido del Acta de Entrega de fecha $</w:t>
      </w:r>
      <w:r w:rsidR="009E7DA0" w:rsidRPr="00A842D3">
        <w:rPr>
          <w:rFonts w:ascii="Arial Narrow" w:hAnsi="Arial Narrow" w:cs="Arial"/>
          <w:bCs/>
          <w:sz w:val="22"/>
          <w:szCs w:val="22"/>
          <w:lang w:val="es-VE"/>
        </w:rPr>
        <w:t>{</w:t>
      </w:r>
      <w:r w:rsidR="009E7DA0" w:rsidRPr="00A842D3">
        <w:rPr>
          <w:rFonts w:ascii="Arial Narrow" w:hAnsi="Arial Narrow"/>
          <w:u w:val="single"/>
        </w:rPr>
        <w:t>f</w:t>
      </w:r>
      <w:r w:rsidR="009E7DA0" w:rsidRPr="00A842D3">
        <w:rPr>
          <w:rFonts w:ascii="Arial Narrow" w:hAnsi="Arial Narrow" w:cs="Arial"/>
          <w:bCs/>
          <w:sz w:val="22"/>
          <w:szCs w:val="22"/>
          <w:u w:val="single"/>
          <w:lang w:val="es-VE"/>
        </w:rPr>
        <w:t>echa</w:t>
      </w:r>
      <w:r w:rsidR="009E7DA0" w:rsidRPr="00A842D3">
        <w:rPr>
          <w:rFonts w:ascii="Arial Narrow" w:hAnsi="Arial Narrow" w:cs="Arial"/>
          <w:bCs/>
          <w:sz w:val="22"/>
          <w:szCs w:val="22"/>
          <w:lang w:val="es-VE"/>
        </w:rPr>
        <w:t>_subcripcion</w:t>
      </w:r>
      <w:r w:rsidRPr="00A842D3">
        <w:rPr>
          <w:rFonts w:ascii="Arial Narrow" w:hAnsi="Arial Narrow" w:cs="Arial"/>
          <w:bCs/>
          <w:sz w:val="22"/>
          <w:szCs w:val="22"/>
          <w:lang w:val="es-VE"/>
        </w:rPr>
        <w:t>}</w:t>
      </w:r>
      <w:r w:rsidRPr="00A842D3">
        <w:rPr>
          <w:rFonts w:ascii="Arial Narrow" w:hAnsi="Arial Narrow" w:cs="Arial"/>
          <w:sz w:val="22"/>
          <w:szCs w:val="22"/>
          <w:lang w:val="es-VE"/>
        </w:rPr>
        <w:t xml:space="preserve">, elaborada por </w:t>
      </w:r>
      <w:r w:rsidRPr="00A842D3">
        <w:rPr>
          <w:rFonts w:ascii="Arial Narrow" w:hAnsi="Arial Narrow" w:cs="Arial"/>
          <w:bCs/>
          <w:sz w:val="22"/>
          <w:szCs w:val="22"/>
          <w:lang w:val="es-VE"/>
        </w:rPr>
        <w:t>${nombre_saliente}</w:t>
      </w:r>
      <w:r w:rsidRPr="00A842D3">
        <w:rPr>
          <w:rFonts w:ascii="Arial Narrow" w:hAnsi="Arial Narrow" w:cs="Arial"/>
          <w:sz w:val="22"/>
          <w:szCs w:val="22"/>
          <w:lang w:val="es-VE"/>
        </w:rPr>
        <w:t xml:space="preserve"> Escalona, titu</w:t>
      </w:r>
      <w:r w:rsidR="005B739F">
        <w:rPr>
          <w:rFonts w:ascii="Arial Narrow" w:hAnsi="Arial Narrow" w:cs="Arial"/>
          <w:sz w:val="22"/>
          <w:szCs w:val="22"/>
          <w:lang w:val="es-VE"/>
        </w:rPr>
        <w:t xml:space="preserve">lar de la cédula de identidad V  </w:t>
      </w:r>
      <w:r w:rsidRPr="00A842D3">
        <w:rPr>
          <w:rFonts w:ascii="Arial Narrow" w:hAnsi="Arial Narrow" w:cs="Arial"/>
          <w:bCs/>
          <w:sz w:val="22"/>
          <w:szCs w:val="22"/>
          <w:lang w:val="es-VE"/>
        </w:rPr>
        <w:t>${cedula_saliente}</w:t>
      </w:r>
      <w:r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w:t>
      </w:r>
      <w:r w:rsidR="00987F7B" w:rsidRPr="00987F7B">
        <w:rPr>
          <w:rFonts w:ascii="Arial Narrow" w:hAnsi="Arial Narrow" w:cs="Arial"/>
          <w:sz w:val="22"/>
          <w:szCs w:val="22"/>
          <w:lang w:val="es-VE"/>
        </w:rPr>
        <w:t>cargo_saliente</w:t>
      </w:r>
      <w:r w:rsidR="0099396A" w:rsidRPr="00A842D3">
        <w:rPr>
          <w:rFonts w:ascii="Arial Narrow" w:hAnsi="Arial Narrow" w:cs="Arial"/>
          <w:sz w:val="22"/>
          <w:szCs w:val="22"/>
          <w:lang w:val="es-VE"/>
        </w:rPr>
        <w:t>}</w:t>
      </w:r>
      <w:r w:rsidRPr="00A842D3">
        <w:rPr>
          <w:rFonts w:ascii="Arial Narrow" w:hAnsi="Arial Narrow" w:cs="Arial"/>
          <w:sz w:val="22"/>
          <w:szCs w:val="22"/>
        </w:rPr>
        <w:t xml:space="preserve"> de la Compañía Anónima Nacional Teléfonos de Venezuela (Cantv). Acta correspondiente al cargo desempeñado durante el período comprendido desde </w:t>
      </w:r>
      <w:r w:rsidRPr="00A842D3">
        <w:rPr>
          <w:rFonts w:ascii="Arial Narrow" w:hAnsi="Arial Narrow" w:cs="Arial"/>
          <w:sz w:val="22"/>
          <w:szCs w:val="22"/>
          <w:lang w:val="es-VE"/>
        </w:rPr>
        <w:t xml:space="preserve">el </w:t>
      </w:r>
      <w:r w:rsidR="00BF6EEC" w:rsidRPr="00A842D3">
        <w:rPr>
          <w:rFonts w:ascii="Arial Narrow" w:hAnsi="Arial Narrow" w:cs="Arial"/>
          <w:sz w:val="22"/>
          <w:szCs w:val="22"/>
          <w:lang w:val="es-VE"/>
        </w:rPr>
        <w:t>${periodo_saliente}</w:t>
      </w:r>
    </w:p>
    <w:p w:rsidR="009066E0" w:rsidRPr="00A842D3" w:rsidRDefault="009066E0" w:rsidP="009066E0">
      <w:pPr>
        <w:spacing w:line="276" w:lineRule="auto"/>
        <w:rPr>
          <w:rFonts w:ascii="Arial Narrow" w:hAnsi="Arial Narrow" w:cs="Arial"/>
          <w:b/>
          <w:sz w:val="22"/>
          <w:szCs w:val="22"/>
        </w:rPr>
      </w:pPr>
    </w:p>
    <w:p w:rsidR="009066E0" w:rsidRPr="00A842D3" w:rsidRDefault="009066E0" w:rsidP="009066E0">
      <w:pPr>
        <w:spacing w:line="276" w:lineRule="auto"/>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Objetivo General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Verificar la sinceridad y exactitud del contenido del Acta de Entrega de la </w:t>
      </w:r>
      <w:r w:rsidR="009066E0" w:rsidRPr="00A842D3">
        <w:rPr>
          <w:rFonts w:ascii="Arial Narrow" w:hAnsi="Arial Narrow" w:cs="Arial"/>
          <w:sz w:val="22"/>
          <w:szCs w:val="22"/>
          <w:lang w:val="es-VE"/>
        </w:rPr>
        <w:t xml:space="preserve">${unidad_entrega} </w:t>
      </w:r>
      <w:r w:rsidRPr="00A842D3">
        <w:rPr>
          <w:rFonts w:ascii="Arial Narrow" w:hAnsi="Arial Narrow" w:cs="Arial"/>
          <w:sz w:val="22"/>
          <w:szCs w:val="22"/>
        </w:rPr>
        <w:t>de la Compañía Anónima Nacional Teléfonos de Venezuela Cantv, suscrita por el servidor público saliente y el servidor público que recibe, en el marco de las disposiciones contenidas en las Normas para Regular la Entrega de los Órganos y Entidades de la Administración Pública y de sus Respectivas Oficinas o Dependencias.</w:t>
      </w:r>
    </w:p>
    <w:p w:rsidR="0037381E" w:rsidRPr="00A842D3" w:rsidRDefault="0037381E">
      <w:pPr>
        <w:pStyle w:val="Textoindependiente2"/>
        <w:spacing w:line="276" w:lineRule="auto"/>
        <w:rPr>
          <w:rFonts w:ascii="Arial Narrow" w:hAnsi="Arial Narrow" w:cs="Arial"/>
          <w:b/>
        </w:rPr>
      </w:pPr>
    </w:p>
    <w:p w:rsidR="0037381E" w:rsidRPr="00A842D3" w:rsidRDefault="00AF6C81">
      <w:pPr>
        <w:pStyle w:val="Textoindependiente2"/>
        <w:spacing w:line="276" w:lineRule="auto"/>
        <w:jc w:val="right"/>
        <w:rPr>
          <w:rFonts w:ascii="Arial Narrow" w:hAnsi="Arial Narrow" w:cs="Arial"/>
          <w:b/>
        </w:rPr>
      </w:pPr>
      <w:r w:rsidRPr="00A842D3">
        <w:rPr>
          <w:rFonts w:ascii="Arial Narrow" w:hAnsi="Arial Narrow" w:cs="Arial"/>
          <w:b/>
        </w:rPr>
        <w:t>Objetivos Específicos:</w:t>
      </w:r>
    </w:p>
    <w:p w:rsidR="009066E0" w:rsidRPr="00B30BBB" w:rsidRDefault="00AF6C81" w:rsidP="009066E0">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Examinar la materialización, suscripción y contenido del Acta de Entrega de la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w:t>
      </w:r>
    </w:p>
    <w:p w:rsidR="0037381E" w:rsidRPr="00A842D3" w:rsidRDefault="00AF6C81">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Verificar la sinceridad y exactitud de la información y documentación anexa al Acta de Entrega de la </w:t>
      </w:r>
      <w:r w:rsidR="0099396A" w:rsidRPr="00A842D3">
        <w:rPr>
          <w:rFonts w:ascii="Arial Narrow" w:hAnsi="Arial Narrow" w:cs="Arial"/>
          <w:sz w:val="22"/>
          <w:szCs w:val="22"/>
          <w:lang w:val="es-VE"/>
        </w:rPr>
        <w:t>${unidad_entrega}</w:t>
      </w:r>
      <w:r w:rsidR="0099396A" w:rsidRPr="00A842D3">
        <w:rPr>
          <w:rFonts w:ascii="Arial Narrow" w:hAnsi="Arial Narrow" w:cs="Arial"/>
          <w:sz w:val="22"/>
          <w:szCs w:val="22"/>
        </w:rPr>
        <w:t xml:space="preserve">  </w:t>
      </w:r>
      <w:r w:rsidRPr="00A842D3">
        <w:rPr>
          <w:rFonts w:ascii="Arial Narrow" w:hAnsi="Arial Narrow" w:cs="Arial"/>
          <w:sz w:val="22"/>
          <w:szCs w:val="22"/>
        </w:rPr>
        <w:t>de Cantv.</w:t>
      </w:r>
    </w:p>
    <w:p w:rsidR="009066E0" w:rsidRPr="00A842D3" w:rsidRDefault="009066E0" w:rsidP="009066E0">
      <w:pPr>
        <w:widowControl w:val="0"/>
        <w:spacing w:line="276" w:lineRule="auto"/>
        <w:jc w:val="both"/>
        <w:textAlignment w:val="baseline"/>
        <w:rPr>
          <w:rFonts w:ascii="Arial Narrow" w:hAnsi="Arial Narrow" w:cs="Arial"/>
          <w:sz w:val="22"/>
          <w:szCs w:val="22"/>
        </w:rPr>
      </w:pPr>
    </w:p>
    <w:p w:rsidR="0037381E" w:rsidRPr="00A842D3" w:rsidRDefault="00AF6C81" w:rsidP="009066E0">
      <w:pPr>
        <w:jc w:val="right"/>
        <w:rPr>
          <w:rFonts w:ascii="Arial Narrow" w:hAnsi="Arial Narrow" w:cs="Arial"/>
          <w:b/>
        </w:rPr>
      </w:pPr>
      <w:r w:rsidRPr="00A842D3">
        <w:rPr>
          <w:rFonts w:ascii="Arial Narrow" w:hAnsi="Arial Narrow" w:cs="Arial"/>
          <w:b/>
        </w:rPr>
        <w:t>Enfoque</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La presente actuación se abordó desde el punto de vista de Control Posterior, de conformidad con lo previsto en el artículo 41 de la Ley Orgánica de la Contraloría General de la República y del Sistema Nacional de Control Fiscal, publicada en la Gaceta Oficial de la Repúblic</w:t>
      </w:r>
      <w:r w:rsidR="0085220A">
        <w:rPr>
          <w:rFonts w:ascii="Arial Narrow" w:hAnsi="Arial Narrow" w:cs="Arial"/>
          <w:sz w:val="22"/>
          <w:szCs w:val="22"/>
        </w:rPr>
        <w:t>a Bolivariana de Venezuela Nro.</w:t>
      </w:r>
      <w:r w:rsidRPr="00A842D3">
        <w:rPr>
          <w:rFonts w:ascii="Arial Narrow" w:hAnsi="Arial Narrow" w:cs="Arial"/>
          <w:sz w:val="22"/>
          <w:szCs w:val="22"/>
        </w:rPr>
        <w:t xml:space="preserve">6.013 Extraordinario de fecha 23/12/2010. En tal sentido, la evaluación se orientó a verificar la sinceridad y exactitud del contenido del Acta de Entrega de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 suscrita en fecha ${fecha_subcripcion}.</w:t>
      </w:r>
    </w:p>
    <w:p w:rsidR="0037381E" w:rsidRPr="00A842D3" w:rsidRDefault="0037381E">
      <w:pPr>
        <w:spacing w:line="276" w:lineRule="auto"/>
        <w:jc w:val="both"/>
        <w:rPr>
          <w:rFonts w:ascii="Arial Narrow" w:hAnsi="Arial Narrow" w:cs="Arial"/>
          <w:b/>
          <w:sz w:val="22"/>
          <w:szCs w:val="22"/>
        </w:rPr>
      </w:pPr>
    </w:p>
    <w:p w:rsidR="009066E0" w:rsidRPr="00A842D3" w:rsidRDefault="009066E0">
      <w:pPr>
        <w:spacing w:line="276" w:lineRule="auto"/>
        <w:jc w:val="both"/>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Métodos, Procedimientos y Técnicas</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Se aplicó métodos, </w:t>
      </w:r>
      <w:r w:rsidR="00535D63" w:rsidRPr="00A842D3">
        <w:rPr>
          <w:rFonts w:ascii="Arial Narrow" w:hAnsi="Arial Narrow" w:cs="Arial"/>
          <w:sz w:val="22"/>
          <w:szCs w:val="22"/>
        </w:rPr>
        <w:t xml:space="preserve">procedimientos y </w:t>
      </w:r>
      <w:r w:rsidRPr="00A842D3">
        <w:rPr>
          <w:rFonts w:ascii="Arial Narrow" w:hAnsi="Arial Narrow" w:cs="Arial"/>
          <w:sz w:val="22"/>
          <w:szCs w:val="22"/>
        </w:rPr>
        <w:t>técnicas de auditoría de aceptación general, de conformidad con las disposiciones previstas en las Normas Generales de Auditoría de Estado, dictadas por la Contraloría General de la República y publicadas en la Gaceta Oficial de la República Bolivariana de</w:t>
      </w:r>
      <w:r w:rsidR="0085220A">
        <w:rPr>
          <w:rFonts w:ascii="Arial Narrow" w:hAnsi="Arial Narrow" w:cs="Arial"/>
          <w:sz w:val="22"/>
          <w:szCs w:val="22"/>
        </w:rPr>
        <w:t xml:space="preserve"> Venezuela Nro.</w:t>
      </w:r>
      <w:r w:rsidRPr="00A842D3">
        <w:rPr>
          <w:rFonts w:ascii="Arial Narrow" w:hAnsi="Arial Narrow" w:cs="Arial"/>
          <w:sz w:val="22"/>
          <w:szCs w:val="22"/>
        </w:rPr>
        <w:t xml:space="preserve">40.172 de fecha 22 de </w:t>
      </w:r>
      <w:r w:rsidRPr="00A842D3">
        <w:rPr>
          <w:rFonts w:ascii="Arial Narrow" w:hAnsi="Arial Narrow" w:cs="Arial"/>
          <w:sz w:val="22"/>
          <w:szCs w:val="22"/>
        </w:rPr>
        <w:lastRenderedPageBreak/>
        <w:t>mayo de 2013, como lo son: la indagación, inspección y comparación; así como la selección de muestras para verificar la pertinencia y confiabilidad de la información contenida en el Acta de Entrega y sus respectivos anexos, de acuerdo a lo estipulado en las Normas para Regular la Entrega de los Órganos y Entidades de la Administración Pública y de sus respectivas Oficinas o Dependencias (NREOEAPROD) de fecha 27 de julio de 2009, publicada en la Gaceta Oficial de la República Bolivariana de Venezuela  Nro. 39.229 de fecha 28 de julio de 2009.</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Marco Legal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El marco regulatorio utilizado en la actuación fiscal, lo integran fundamentalmente los instrumentos normativos siguientes:</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Constitución de la República Bolivariana de Vene</w:t>
      </w:r>
      <w:r w:rsidR="0085220A">
        <w:rPr>
          <w:rFonts w:ascii="Arial Narrow" w:hAnsi="Arial Narrow" w:cs="Arial"/>
          <w:sz w:val="22"/>
          <w:szCs w:val="22"/>
        </w:rPr>
        <w:t>zuela (CRBV) y su Enmienda Nro.</w:t>
      </w:r>
      <w:r w:rsidRPr="00A842D3">
        <w:rPr>
          <w:rFonts w:ascii="Arial Narrow" w:hAnsi="Arial Narrow" w:cs="Arial"/>
          <w:sz w:val="22"/>
          <w:szCs w:val="22"/>
        </w:rPr>
        <w:t>1, publicadas en las Gacetas Oficiales de la Repúblic</w:t>
      </w:r>
      <w:r w:rsidR="0085220A">
        <w:rPr>
          <w:rFonts w:ascii="Arial Narrow" w:hAnsi="Arial Narrow" w:cs="Arial"/>
          <w:sz w:val="22"/>
          <w:szCs w:val="22"/>
        </w:rPr>
        <w:t>a Bolivariana de Venezuela Nro.</w:t>
      </w:r>
      <w:r w:rsidRPr="00A842D3">
        <w:rPr>
          <w:rFonts w:ascii="Arial Narrow" w:hAnsi="Arial Narrow" w:cs="Arial"/>
          <w:sz w:val="22"/>
          <w:szCs w:val="22"/>
        </w:rPr>
        <w:t>5.453 y 5.908, ambos Extraordinario de fechas 24/03/2000 y 19/02/2009, respectivamente.</w:t>
      </w:r>
    </w:p>
    <w:p w:rsidR="0037381E" w:rsidRPr="00A842D3" w:rsidRDefault="0037381E">
      <w:pPr>
        <w:widowControl w:val="0"/>
        <w:spacing w:line="276" w:lineRule="auto"/>
        <w:ind w:left="360"/>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Ley Orgánica de la Contraloría General de la República y del Sistema Nacional de Control Fiscal (LOCGRSNCF), publicada en la Gaceta Oficial de la Repúblic</w:t>
      </w:r>
      <w:r w:rsidR="0085220A">
        <w:rPr>
          <w:rFonts w:ascii="Arial Narrow" w:hAnsi="Arial Narrow" w:cs="Arial"/>
          <w:sz w:val="22"/>
          <w:szCs w:val="22"/>
        </w:rPr>
        <w:t>a Bolivariana de Venezuela Nro.</w:t>
      </w:r>
      <w:r w:rsidRPr="00A842D3">
        <w:rPr>
          <w:rFonts w:ascii="Arial Narrow" w:hAnsi="Arial Narrow" w:cs="Arial"/>
          <w:sz w:val="22"/>
          <w:szCs w:val="22"/>
        </w:rPr>
        <w:t>6.013 Extraordinario de fecha 23/12/2010.</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Reglamento de la Ley Orgánica de la Contraloría General de la República y del Sistema Nacional de Control Fiscal (RLOCGRSNCF), publicado en la Gaceta Oficial de la Repúblic</w:t>
      </w:r>
      <w:r w:rsidR="0085220A">
        <w:rPr>
          <w:rFonts w:ascii="Arial Narrow" w:hAnsi="Arial Narrow" w:cs="Arial"/>
          <w:sz w:val="22"/>
          <w:szCs w:val="22"/>
        </w:rPr>
        <w:t>a Bolivariana de Venezuela Nro.</w:t>
      </w:r>
      <w:r w:rsidRPr="00A842D3">
        <w:rPr>
          <w:rFonts w:ascii="Arial Narrow" w:hAnsi="Arial Narrow" w:cs="Arial"/>
          <w:sz w:val="22"/>
          <w:szCs w:val="22"/>
        </w:rPr>
        <w:t>39.240 de fecha 12/08/2009.</w:t>
      </w:r>
    </w:p>
    <w:p w:rsidR="0037381E" w:rsidRPr="00A842D3" w:rsidRDefault="0037381E">
      <w:pPr>
        <w:spacing w:line="276" w:lineRule="auto"/>
        <w:jc w:val="both"/>
        <w:rPr>
          <w:rFonts w:ascii="Arial Narrow" w:hAnsi="Arial Narrow" w:cs="Arial"/>
          <w:sz w:val="22"/>
          <w:szCs w:val="22"/>
        </w:rPr>
      </w:pPr>
    </w:p>
    <w:p w:rsidR="0037381E" w:rsidRPr="00A842D3" w:rsidRDefault="0085220A">
      <w:pPr>
        <w:widowControl w:val="0"/>
        <w:numPr>
          <w:ilvl w:val="0"/>
          <w:numId w:val="1"/>
        </w:numPr>
        <w:spacing w:line="276" w:lineRule="auto"/>
        <w:ind w:left="360"/>
        <w:jc w:val="both"/>
        <w:textAlignment w:val="baseline"/>
        <w:rPr>
          <w:rFonts w:ascii="Arial Narrow" w:hAnsi="Arial Narrow" w:cs="Arial"/>
          <w:sz w:val="22"/>
          <w:szCs w:val="22"/>
        </w:rPr>
      </w:pPr>
      <w:r>
        <w:rPr>
          <w:rFonts w:ascii="Arial Narrow" w:hAnsi="Arial Narrow" w:cs="Arial"/>
          <w:sz w:val="22"/>
          <w:szCs w:val="22"/>
        </w:rPr>
        <w:t>Decreto Nro.</w:t>
      </w:r>
      <w:r w:rsidR="00AF6C81" w:rsidRPr="00A842D3">
        <w:rPr>
          <w:rFonts w:ascii="Arial Narrow" w:hAnsi="Arial Narrow" w:cs="Arial"/>
          <w:color w:val="000000"/>
          <w:sz w:val="22"/>
          <w:szCs w:val="22"/>
        </w:rPr>
        <w:t>5974, de fecha 01/04/2008, sobre la Adscripción al Ministerio del Poder Popular para las Telecomunicaciones y la Informática de la Compañía Anónima Nacional Teléfonos de Venezuela (Cantv) y sus empresas filiales, publicada en la Gaceta Oficial de la Repúblic</w:t>
      </w:r>
      <w:r>
        <w:rPr>
          <w:rFonts w:ascii="Arial Narrow" w:hAnsi="Arial Narrow" w:cs="Arial"/>
          <w:color w:val="000000"/>
          <w:sz w:val="22"/>
          <w:szCs w:val="22"/>
        </w:rPr>
        <w:t>a Bolivariana de Venezuela Nro.</w:t>
      </w:r>
      <w:r w:rsidR="00AF6C81" w:rsidRPr="00A842D3">
        <w:rPr>
          <w:rFonts w:ascii="Arial Narrow" w:hAnsi="Arial Narrow" w:cs="Arial"/>
          <w:color w:val="000000"/>
          <w:sz w:val="22"/>
          <w:szCs w:val="22"/>
        </w:rPr>
        <w:t>38.900, de fecha 01/04/2008.</w:t>
      </w:r>
    </w:p>
    <w:p w:rsidR="0037381E" w:rsidRPr="00A842D3" w:rsidRDefault="0037381E">
      <w:pPr>
        <w:widowControl w:val="0"/>
        <w:spacing w:line="276" w:lineRule="auto"/>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Generales de Auditoría de Estado (NGAE), dictadas por la Contraloría General de la República, publicadas en la Gaceta Oficial de la Repúblic</w:t>
      </w:r>
      <w:r w:rsidR="0085220A">
        <w:rPr>
          <w:rFonts w:ascii="Arial Narrow" w:hAnsi="Arial Narrow" w:cs="Arial"/>
          <w:sz w:val="22"/>
          <w:szCs w:val="22"/>
        </w:rPr>
        <w:t>a Bolivariana de Venezuela Nro.</w:t>
      </w:r>
      <w:r w:rsidRPr="00A842D3">
        <w:rPr>
          <w:rFonts w:ascii="Arial Narrow" w:hAnsi="Arial Narrow" w:cs="Arial"/>
          <w:sz w:val="22"/>
          <w:szCs w:val="22"/>
        </w:rPr>
        <w:t>40.172 de fecha 22/05/2013.</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para Regular la Entrega de los Órganos y Entidades de la Administración Pública y de sus Respectivas Oficinas o Dependencias (NREOEAPROD), publicada en la Gaceta Oficial de la República Bolivariana de Venezuela Nro. 39.229 de fe</w:t>
      </w:r>
      <w:r w:rsidR="0085220A">
        <w:rPr>
          <w:rFonts w:ascii="Arial Narrow" w:hAnsi="Arial Narrow" w:cs="Arial"/>
          <w:sz w:val="22"/>
          <w:szCs w:val="22"/>
        </w:rPr>
        <w:t>cha 28/07/2009; Resolución Nro.</w:t>
      </w:r>
      <w:r w:rsidRPr="00A842D3">
        <w:rPr>
          <w:rFonts w:ascii="Arial Narrow" w:hAnsi="Arial Narrow" w:cs="Arial"/>
          <w:sz w:val="22"/>
          <w:szCs w:val="22"/>
        </w:rPr>
        <w:t>01-00-000162 de fecha 27/07/2009.</w:t>
      </w:r>
    </w:p>
    <w:p w:rsidR="0037381E" w:rsidRPr="00A842D3" w:rsidRDefault="0037381E">
      <w:pPr>
        <w:spacing w:line="276" w:lineRule="auto"/>
        <w:jc w:val="both"/>
        <w:rPr>
          <w:rFonts w:ascii="Arial Narrow" w:hAnsi="Arial Narrow" w:cs="Arial"/>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II</w:t>
      </w:r>
    </w:p>
    <w:p w:rsidR="0037381E" w:rsidRPr="00A842D3" w:rsidRDefault="0037381E">
      <w:pPr>
        <w:spacing w:line="276" w:lineRule="auto"/>
        <w:rPr>
          <w:rFonts w:ascii="Arial Narrow" w:hAnsi="Arial Narrow" w:cs="Arial"/>
          <w:sz w:val="22"/>
          <w:szCs w:val="22"/>
        </w:rPr>
      </w:pP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Características Generales de la Compañía Anónima Nacional Teléfonos de Venezuela (Cantv)</w:t>
      </w: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 xml:space="preserve"> </w:t>
      </w:r>
    </w:p>
    <w:p w:rsidR="0037381E" w:rsidRPr="00A842D3" w:rsidRDefault="00AF6C81">
      <w:pPr>
        <w:jc w:val="both"/>
        <w:rPr>
          <w:rFonts w:ascii="Arial Narrow" w:hAnsi="Arial Narrow" w:cs="Arial"/>
          <w:sz w:val="22"/>
          <w:szCs w:val="22"/>
          <w:lang w:val="es-VE"/>
        </w:rPr>
      </w:pPr>
      <w:r w:rsidRPr="00A842D3">
        <w:rPr>
          <w:rFonts w:ascii="Arial Narrow" w:hAnsi="Arial Narrow" w:cs="Arial"/>
          <w:sz w:val="22"/>
          <w:szCs w:val="22"/>
          <w:lang w:val="es-VE"/>
        </w:rPr>
        <w:t xml:space="preserve">La Compañía Anónima Nacional Teléfonos de Venezuela (Cantv), es el proveedor principal de servicios de telecomunicaciones en la República Bolivariana de Venezuela, y es propietaria de una red básica de telecomunicaciones con cobertura nacional, mediante la cual provee servicios de telefonía fija local, nacional e internacional, así como también servicios de redes privadas de telecomunicaciones, red de datos, servicios de </w:t>
      </w:r>
      <w:r w:rsidRPr="00A842D3">
        <w:rPr>
          <w:rFonts w:ascii="Arial Narrow" w:hAnsi="Arial Narrow" w:cs="Arial"/>
          <w:sz w:val="22"/>
          <w:szCs w:val="22"/>
          <w:lang w:val="es-VE"/>
        </w:rPr>
        <w:lastRenderedPageBreak/>
        <w:t>telefonía pública, telefonía rural, acceso a internet, televisión por suscripción (TDH) y servicios de conexión de internet banda ancha inalámbrica.</w:t>
      </w:r>
    </w:p>
    <w:p w:rsidR="0037381E" w:rsidRPr="00A842D3" w:rsidRDefault="0037381E">
      <w:pPr>
        <w:pStyle w:val="WW-Encabezamiento"/>
        <w:rPr>
          <w:rFonts w:ascii="Arial Narrow" w:hAnsi="Arial Narrow" w:cs="Arial"/>
          <w:b/>
          <w:bCs/>
          <w:iCs/>
          <w:color w:val="auto"/>
          <w:sz w:val="22"/>
          <w:szCs w:val="22"/>
        </w:rPr>
      </w:pPr>
    </w:p>
    <w:p w:rsidR="0037381E" w:rsidRPr="00A842D3" w:rsidRDefault="00AF6C81">
      <w:pPr>
        <w:pStyle w:val="WW-Encabezamiento"/>
        <w:jc w:val="right"/>
        <w:rPr>
          <w:rFonts w:ascii="Arial Narrow" w:hAnsi="Arial Narrow" w:cs="Arial"/>
          <w:b/>
          <w:bCs/>
          <w:color w:val="auto"/>
          <w:sz w:val="22"/>
          <w:szCs w:val="22"/>
        </w:rPr>
      </w:pPr>
      <w:r w:rsidRPr="00A842D3">
        <w:rPr>
          <w:rFonts w:ascii="Arial Narrow" w:hAnsi="Arial Narrow" w:cs="Arial"/>
          <w:b/>
          <w:bCs/>
          <w:color w:val="auto"/>
          <w:sz w:val="22"/>
          <w:szCs w:val="22"/>
        </w:rPr>
        <w:t>Reseña Histórica</w:t>
      </w: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constituida como Sociedad Mercantil, domiciliada en Caracas, inscrita en el Registro Mercantil que lleva el Juzgado de Comercio del Distrito Federal el día 20 de junio de 1930, bajo el Nro</w:t>
      </w:r>
      <w:r w:rsidRPr="00A842D3">
        <w:rPr>
          <w:rFonts w:ascii="Arial Narrow" w:hAnsi="Arial Narrow" w:cs="Arial"/>
          <w:b/>
          <w:bCs/>
          <w:sz w:val="22"/>
          <w:szCs w:val="22"/>
        </w:rPr>
        <w:t>.</w:t>
      </w:r>
      <w:r w:rsidRPr="00A842D3">
        <w:rPr>
          <w:rFonts w:ascii="Arial Narrow" w:hAnsi="Arial Narrow" w:cs="Arial"/>
          <w:sz w:val="22"/>
          <w:szCs w:val="22"/>
        </w:rPr>
        <w:t xml:space="preserve">2, Tomo 387, como la empresa estatal de telecomunicaciones venezolana y fue fundada el día 20 de junio de 1930, bajo una concesión otorgada por el Ministerio de Fomento para construir y explotar una red de telefonía en el Distrito Federal y los demás Estados del país. En el año 1953, el Estado venezolano inició un proceso de nacionalización de empresas telefónicas con la compra de la totalidad de las acciones ordinarias de Cantv, concluyendo en el año 1973 con la compra de la Compañía de Teléfonos de San Fernando de Apure. El 12 de noviembre de 1975 se constituye la filial C.A. Venezolana de Guías (Caveguias), con un aporte accionario del 40% de Cantv. </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privatizada el 15 de diciembre de 1991, en un acto celebrado en el Banco Central de Venezuela, cuando el Estado Venezolano le otorgó la concesión al Consorcio VenWorld, a través de un contrato que fijaba parámetros de cobertura y servicios que la empresa debía cumplir anualmente. El 19 de mayo de 1992 se constituye como empresa filial a Telecomunicaciones Movilnet C.A. (Movilnet), en la cual Cantv suscribe la totalidad de sus acciones. En el año 1994 se constituye la compañía Cantv.Net, C.A., con participación accionaria de Cantv, cuyo objeto social era administrar, desarrollar y ofrecer servicios según los avances tecnológicos en el país. Cantv en octubre de 1996, inicia sus operaciones bursátiles en la Bolsa de Valores de Caracas, mediante la oferta pública de acciones clase “D”, quedando sujeta a la Comisión Nacional de Valores (CNV), actualmente Superintendencia Nacional de Valores (SUNAVAL).</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El 09 de enero de 2007, se ordena la renacionalización de Cantv,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5.974 de fecha 1 de abril de 2008, publicado en la Gaceta Oficial de la República Bolivariana </w:t>
      </w:r>
      <w:r w:rsidR="0085220A">
        <w:rPr>
          <w:rFonts w:ascii="Arial Narrow" w:hAnsi="Arial Narrow" w:cs="Arial"/>
          <w:sz w:val="22"/>
          <w:szCs w:val="22"/>
        </w:rPr>
        <w:t>de Venezuela Nro.</w:t>
      </w:r>
      <w:r w:rsidRPr="00A842D3">
        <w:rPr>
          <w:rFonts w:ascii="Arial Narrow" w:hAnsi="Arial Narrow" w:cs="Arial"/>
          <w:sz w:val="22"/>
          <w:szCs w:val="22"/>
        </w:rPr>
        <w:t>38.900 de la misma fecha. De acuerdo con lo establecido en la Ley Orgánica de la Administración Pública, se le otorgó el carácter de empresa del Estado a Cantv y sus empresas filiales (Movilnet, Cantv.Net y Caveguias). El 17 de agosto de 2010, según Decreto Nro</w:t>
      </w:r>
      <w:r w:rsidR="0085220A">
        <w:rPr>
          <w:rFonts w:ascii="Arial Narrow" w:hAnsi="Arial Narrow" w:cs="Arial"/>
          <w:b/>
          <w:bCs/>
          <w:sz w:val="22"/>
          <w:szCs w:val="22"/>
        </w:rPr>
        <w:t>.</w:t>
      </w:r>
      <w:r w:rsidRPr="00A842D3">
        <w:rPr>
          <w:rFonts w:ascii="Arial Narrow" w:hAnsi="Arial Narrow" w:cs="Arial"/>
          <w:sz w:val="22"/>
          <w:szCs w:val="22"/>
        </w:rPr>
        <w:t>7.630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39.489 de la misma fecha, se ordena la fusión por absorción de Cantv.Net con la Compañía Anónima Nacional Teléfonos de Venezuela (Cantv).</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color w:val="FF0000"/>
          <w:sz w:val="22"/>
          <w:szCs w:val="22"/>
        </w:rPr>
      </w:pPr>
      <w:r w:rsidRPr="00A842D3">
        <w:rPr>
          <w:rFonts w:ascii="Arial Narrow" w:hAnsi="Arial Narrow" w:cs="Arial"/>
          <w:sz w:val="22"/>
          <w:szCs w:val="22"/>
        </w:rPr>
        <w:t>El Estado Venezolano autoriza la creación de la Compañía Anónima, denominada Corporación Socialista de las Telecomunicaciones y Servicios Postales, C.A., (Corpostel),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3.874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41.651 de fecha 10 de junio de 2019. La empresa Corpostel con personalidad jurídica y patrimonio propio, estará adscrita al Ministerio del Poder Popular para la Ciencia y la Tecnología; fungirá como casa matriz y en consecuencia ejercerá representación accionaria de la República Bolivariana de Venezuela en las filiales de su exclusiva propiedad y mixtas, ejerciendo la tenencia y representación de las acciones del Estado, así como nuevas empresas por existir en el área de Telecomunicaciones.</w:t>
      </w:r>
      <w:r w:rsidRPr="00A842D3">
        <w:rPr>
          <w:rFonts w:ascii="Arial Narrow" w:hAnsi="Arial Narrow" w:cs="Arial"/>
          <w:color w:val="FF0000"/>
          <w:sz w:val="22"/>
          <w:szCs w:val="22"/>
        </w:rPr>
        <w:t xml:space="preserve"> </w:t>
      </w:r>
    </w:p>
    <w:p w:rsidR="0037381E" w:rsidRPr="00A842D3" w:rsidRDefault="0037381E">
      <w:pPr>
        <w:jc w:val="both"/>
        <w:rPr>
          <w:rFonts w:ascii="Arial Narrow" w:hAnsi="Arial Narrow" w:cs="Arial"/>
          <w:color w:val="FF0000"/>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En septiembre de 2019, se autoriza la ejecución de los actos administrativos y jurídicos necesarios para la separación presupuestaria, financiera y funcional de Movilnet como filial de Cantv, formalizándose así la instrucción de separación emitida el 15 julio de 2019. En Asamblea Extraordinaria de Accionistas de Cantv, celebrada el 20 de diciembre del 2019, se acuerda la enajenación de las acciones del Estado Venezolano sobre Cantv y Movilnet a Corpostel. El Ministerio del Poder Popular para Ciencia y Tecnología en fecha 29 de diciembre de 2020, efectuó el traspaso de acciones de Cantv a la Corporación Socialista de las Telecomunicaciones y Servicios Postales, C.A.</w:t>
      </w:r>
    </w:p>
    <w:p w:rsidR="0037381E" w:rsidRPr="00A842D3" w:rsidRDefault="0037381E">
      <w:pPr>
        <w:tabs>
          <w:tab w:val="left" w:pos="1080"/>
        </w:tabs>
        <w:spacing w:line="276" w:lineRule="auto"/>
        <w:jc w:val="both"/>
        <w:rPr>
          <w:rFonts w:ascii="Arial Narrow" w:hAnsi="Arial Narrow" w:cs="Arial"/>
          <w:sz w:val="22"/>
          <w:szCs w:val="22"/>
        </w:rPr>
      </w:pPr>
    </w:p>
    <w:p w:rsidR="0037381E" w:rsidRPr="00A842D3" w:rsidRDefault="00AF6C81">
      <w:pPr>
        <w:tabs>
          <w:tab w:val="left" w:pos="1080"/>
        </w:tabs>
        <w:spacing w:line="276" w:lineRule="auto"/>
        <w:jc w:val="right"/>
        <w:rPr>
          <w:rFonts w:ascii="Arial Narrow" w:hAnsi="Arial Narrow" w:cs="Arial"/>
          <w:b/>
          <w:sz w:val="22"/>
          <w:szCs w:val="22"/>
          <w:lang w:val="es-ES_tradnl"/>
        </w:rPr>
      </w:pPr>
      <w:r w:rsidRPr="00A842D3">
        <w:rPr>
          <w:rFonts w:ascii="Arial Narrow" w:hAnsi="Arial Narrow" w:cs="Arial"/>
          <w:b/>
          <w:sz w:val="22"/>
          <w:szCs w:val="22"/>
          <w:lang w:val="es-ES_tradnl"/>
        </w:rPr>
        <w:t>Organigrama</w:t>
      </w:r>
    </w:p>
    <w:p w:rsidR="0037381E" w:rsidRPr="00A842D3" w:rsidRDefault="0037381E">
      <w:pPr>
        <w:tabs>
          <w:tab w:val="left" w:pos="1080"/>
        </w:tabs>
        <w:spacing w:line="276" w:lineRule="auto"/>
        <w:jc w:val="both"/>
        <w:rPr>
          <w:rFonts w:ascii="Arial Narrow" w:hAnsi="Arial Narrow" w:cs="Arial"/>
          <w:sz w:val="22"/>
          <w:szCs w:val="22"/>
          <w:lang w:val="es-VE" w:eastAsia="es-VE"/>
        </w:rPr>
      </w:pPr>
    </w:p>
    <w:p w:rsidR="0037381E" w:rsidRPr="00A842D3" w:rsidRDefault="00AF6C81" w:rsidP="00535D63">
      <w:pPr>
        <w:tabs>
          <w:tab w:val="left" w:pos="1080"/>
        </w:tabs>
        <w:spacing w:line="276" w:lineRule="auto"/>
        <w:jc w:val="both"/>
        <w:rPr>
          <w:rFonts w:ascii="Arial Narrow" w:hAnsi="Arial Narrow" w:cs="Arial"/>
          <w:sz w:val="22"/>
          <w:szCs w:val="22"/>
          <w:lang w:val="es-ES_tradnl"/>
        </w:rPr>
      </w:pPr>
      <w:r w:rsidRPr="00A842D3">
        <w:rPr>
          <w:rFonts w:ascii="Arial Narrow" w:hAnsi="Arial Narrow"/>
          <w:noProof/>
        </w:rPr>
        <w:lastRenderedPageBreak/>
        <mc:AlternateContent>
          <mc:Choice Requires="wps">
            <w:drawing>
              <wp:anchor distT="15875" distB="15875" distL="15875" distR="15875" simplePos="0" relativeHeight="251664384" behindDoc="0" locked="0" layoutInCell="1" allowOverlap="1">
                <wp:simplePos x="0" y="0"/>
                <wp:positionH relativeFrom="column">
                  <wp:posOffset>2472690</wp:posOffset>
                </wp:positionH>
                <wp:positionV relativeFrom="paragraph">
                  <wp:posOffset>2526665</wp:posOffset>
                </wp:positionV>
                <wp:extent cx="615950" cy="228600"/>
                <wp:effectExtent l="15875" t="15875" r="15875" b="15875"/>
                <wp:wrapNone/>
                <wp:docPr id="1" name="Rectangle 2"/>
                <wp:cNvGraphicFramePr/>
                <a:graphic xmlns:a="http://schemas.openxmlformats.org/drawingml/2006/main">
                  <a:graphicData uri="http://schemas.microsoft.com/office/word/2010/wordprocessingShape">
                    <wps:wsp>
                      <wps:cNvSpPr/>
                      <wps:spPr>
                        <a:xfrm>
                          <a:off x="0" y="0"/>
                          <a:ext cx="615950" cy="228600"/>
                        </a:xfrm>
                        <a:prstGeom prst="rect">
                          <a:avLst/>
                        </a:prstGeom>
                        <a:noFill/>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2CA74FCF" id="Rectangle 2" o:spid="_x0000_s1026" style="position:absolute;margin-left:194.7pt;margin-top:198.95pt;width:48.5pt;height:18pt;z-index:251664384;visibility:visible;mso-wrap-style:square;mso-wrap-distance-left:1.25pt;mso-wrap-distance-top:1.25pt;mso-wrap-distance-right:1.2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hi1AEAAAQEAAAOAAAAZHJzL2Uyb0RvYy54bWysU8tu2zAQvBfoPxC815JVxHAFyzkkSC9F&#10;GyTtB9AUKRHgC0vGsv++y7WipO0pRXygSe7OLGd2tbs+OcuOCpIJvuPrVc2Z8jL0xg8d//Xz7tOW&#10;s5SF74UNXnX8rBK/3n/8sJtiq5owBtsrYEjiUzvFjo85x7aqkhyVE2kVovIY1AGcyHiEoepBTMju&#10;bNXU9aaaAvQRglQp4e3tJcj3xK+1kvmH1kllZjuOb8u0Aq2Hslb7nWgHEHE0cn6G+I9XOGE8Fl2o&#10;bkUW7AnMP1TOSAgp6LySwVVBayMVaUA16/ovNY+jiIq0oDkpLjal96OV34/3wEyPvePMC4ctekDT&#10;hB+sYk2xZ4qpxazHeA/zKeG2aD1pcOUfVbATWXpeLFWnzCRebtZXX67QeImhptluarK8egFHSPmr&#10;Co6VTccBi5OR4vgtZSyIqc8ppZYPd8Za6pr1bOr45/VmWxMiBWv6Ei15CYbDjQV2FKXx9CtikO2P&#10;NAhPvr/cW4/hIvYij3b5bFVhs/5BaXSJVBK9nPkvo4SzjhqfBwqLEKAkanzPG7EzpKAVTfAb8QuI&#10;6gefF7wzPgDZ8Epd2R5Cf6b2kgE4auTU/FmUWX59JptePt79bwAAAP//AwBQSwMEFAAGAAgAAAAh&#10;AADZZtDhAAAACwEAAA8AAABkcnMvZG93bnJldi54bWxMj1tLxDAQhd8F/0MYwTc31ZbdpjZdRBBE&#10;FNb1go/ZZmyruZQk263+escnfTsz53Dmm3o9W8MmDHHwTsL5IgOGrvV6cJ2E56ebsxJYTMppZbxD&#10;CV8YYd0cH9Wq0v7gHnHapo5RiYuVktCnNFacx7ZHq+LCj+jIe/fBqkRj6LgO6kDl1vCLLFtyqwZH&#10;F3o14nWP7ed2byWI4lV/368mczd82GLzFvjD7csk5enJfHUJLOGc/sLwi0/o0BDTzu+djsxIyEtR&#10;UJSEWAlglCjKJW12JPJcAG9q/v+H5gcAAP//AwBQSwECLQAUAAYACAAAACEAtoM4kv4AAADhAQAA&#10;EwAAAAAAAAAAAAAAAAAAAAAAW0NvbnRlbnRfVHlwZXNdLnhtbFBLAQItABQABgAIAAAAIQA4/SH/&#10;1gAAAJQBAAALAAAAAAAAAAAAAAAAAC8BAABfcmVscy8ucmVsc1BLAQItABQABgAIAAAAIQDvRMhi&#10;1AEAAAQEAAAOAAAAAAAAAAAAAAAAAC4CAABkcnMvZTJvRG9jLnhtbFBLAQItABQABgAIAAAAIQAA&#10;2WbQ4QAAAAsBAAAPAAAAAAAAAAAAAAAAAC4EAABkcnMvZG93bnJldi54bWxQSwUGAAAAAAQABADz&#10;AAAAPAUAAAAA&#10;" filled="f" strokeweight=".88mm">
                <v:stroke joinstyle="round"/>
              </v:rect>
            </w:pict>
          </mc:Fallback>
        </mc:AlternateContent>
      </w:r>
      <w:r w:rsidR="00BE2577" w:rsidRPr="00A842D3">
        <w:rPr>
          <w:rFonts w:ascii="Arial Narrow" w:hAnsi="Arial Narrow"/>
          <w:noProof/>
        </w:rPr>
        <w:t xml:space="preserve"> </w:t>
      </w:r>
      <w:r w:rsidR="00BE2577" w:rsidRPr="00A842D3">
        <w:rPr>
          <w:rFonts w:ascii="Arial Narrow" w:hAnsi="Arial Narrow"/>
          <w:noProof/>
        </w:rPr>
        <w:drawing>
          <wp:inline distT="0" distB="0" distL="0" distR="0" wp14:anchorId="51322A31" wp14:editId="2EA78ACF">
            <wp:extent cx="5791835" cy="408749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srcRect l="2481" r="3152" b="7398"/>
                    <a:stretch>
                      <a:fillRect/>
                    </a:stretch>
                  </pic:blipFill>
                  <pic:spPr bwMode="auto">
                    <a:xfrm>
                      <a:off x="0" y="0"/>
                      <a:ext cx="5791835" cy="4087495"/>
                    </a:xfrm>
                    <a:prstGeom prst="rect">
                      <a:avLst/>
                    </a:prstGeom>
                    <a:noFill/>
                    <a:ln w="9525">
                      <a:noFill/>
                      <a:miter lim="800000"/>
                      <a:headEnd/>
                      <a:tailEnd/>
                    </a:ln>
                  </pic:spPr>
                </pic:pic>
              </a:graphicData>
            </a:graphic>
          </wp:inline>
        </w:drawing>
      </w:r>
    </w:p>
    <w:p w:rsidR="0037381E" w:rsidRPr="00A842D3" w:rsidRDefault="00AF6C81">
      <w:pPr>
        <w:pStyle w:val="Textocomentario"/>
        <w:spacing w:line="276" w:lineRule="auto"/>
        <w:rPr>
          <w:rFonts w:ascii="Arial Narrow" w:hAnsi="Arial Narrow" w:cs="Arial"/>
          <w:sz w:val="16"/>
          <w:szCs w:val="16"/>
        </w:rPr>
      </w:pPr>
      <w:r w:rsidRPr="00A842D3">
        <w:rPr>
          <w:rFonts w:ascii="Arial Narrow" w:hAnsi="Arial Narrow" w:cs="Arial"/>
          <w:sz w:val="16"/>
          <w:szCs w:val="16"/>
        </w:rPr>
        <w:t>Fuente: Gerencia de Organización y Procesos de la Gerencia General de Planificación</w:t>
      </w:r>
    </w:p>
    <w:p w:rsidR="00363176" w:rsidRPr="00A842D3" w:rsidRDefault="00363176" w:rsidP="00363176">
      <w:pPr>
        <w:pStyle w:val="Textocomentario"/>
        <w:spacing w:line="276" w:lineRule="auto"/>
        <w:rPr>
          <w:rFonts w:ascii="Arial Narrow" w:hAnsi="Arial Narrow" w:cs="Arial"/>
          <w:sz w:val="16"/>
          <w:szCs w:val="16"/>
        </w:rPr>
      </w:pPr>
    </w:p>
    <w:p w:rsidR="00363176" w:rsidRPr="00A842D3" w:rsidRDefault="00363176" w:rsidP="00363176">
      <w:pPr>
        <w:numPr>
          <w:ilvl w:val="0"/>
          <w:numId w:val="10"/>
        </w:numPr>
        <w:suppressAutoHyphens w:val="0"/>
        <w:spacing w:line="276" w:lineRule="auto"/>
        <w:jc w:val="both"/>
        <w:rPr>
          <w:rFonts w:ascii="Arial Narrow" w:hAnsi="Arial Narrow" w:cs="Arial"/>
          <w:bCs/>
          <w:sz w:val="22"/>
          <w:szCs w:val="22"/>
        </w:rPr>
      </w:pPr>
      <w:r w:rsidRPr="00A842D3">
        <w:rPr>
          <w:rFonts w:ascii="Arial Narrow" w:hAnsi="Arial Narrow" w:cs="Arial"/>
          <w:bCs/>
          <w:sz w:val="22"/>
          <w:szCs w:val="22"/>
        </w:rPr>
        <w:t>Presidencia Cantv</w:t>
      </w:r>
    </w:p>
    <w:p w:rsidR="00363176" w:rsidRPr="00A842D3" w:rsidRDefault="00363176" w:rsidP="00363176">
      <w:pPr>
        <w:numPr>
          <w:ilvl w:val="0"/>
          <w:numId w:val="11"/>
        </w:numPr>
        <w:suppressAutoHyphens w:val="0"/>
        <w:spacing w:line="276" w:lineRule="auto"/>
        <w:ind w:firstLine="273"/>
        <w:jc w:val="both"/>
        <w:rPr>
          <w:rFonts w:ascii="Arial Narrow" w:hAnsi="Arial Narrow" w:cs="Arial"/>
          <w:bCs/>
          <w:sz w:val="22"/>
          <w:szCs w:val="22"/>
        </w:rPr>
      </w:pPr>
      <w:r w:rsidRPr="00A842D3">
        <w:rPr>
          <w:rFonts w:ascii="Arial Narrow" w:hAnsi="Arial Narrow" w:cs="Arial"/>
          <w:bCs/>
          <w:sz w:val="22"/>
          <w:szCs w:val="22"/>
        </w:rPr>
        <w:t xml:space="preserve">Vicepresidencia Ejecutiva </w:t>
      </w:r>
    </w:p>
    <w:p w:rsidR="0099396A" w:rsidRPr="00A842D3" w:rsidRDefault="0099396A" w:rsidP="00363176">
      <w:pPr>
        <w:pStyle w:val="Prrafodelista"/>
        <w:numPr>
          <w:ilvl w:val="0"/>
          <w:numId w:val="15"/>
        </w:numPr>
        <w:spacing w:line="276" w:lineRule="auto"/>
        <w:jc w:val="both"/>
        <w:rPr>
          <w:rFonts w:ascii="Arial Narrow" w:hAnsi="Arial Narrow" w:cs="Arial"/>
          <w:bCs/>
          <w:sz w:val="22"/>
          <w:szCs w:val="22"/>
        </w:rPr>
      </w:pPr>
      <w:r w:rsidRPr="00A842D3">
        <w:rPr>
          <w:rFonts w:ascii="Arial Narrow" w:hAnsi="Arial Narrow" w:cs="Arial"/>
          <w:bCs/>
          <w:sz w:val="22"/>
          <w:szCs w:val="22"/>
        </w:rPr>
        <w:t>$</w:t>
      </w:r>
      <w:r w:rsidRPr="00A842D3">
        <w:rPr>
          <w:rFonts w:ascii="Arial Narrow" w:hAnsi="Arial Narrow" w:cs="Arial"/>
          <w:bCs/>
          <w:sz w:val="22"/>
          <w:szCs w:val="22"/>
          <w:lang w:val="en-US"/>
        </w:rPr>
        <w:t>{unidad_entrega}</w:t>
      </w:r>
    </w:p>
    <w:p w:rsidR="00AF71EA" w:rsidRPr="00A842D3" w:rsidRDefault="00AF71EA" w:rsidP="00AF71EA">
      <w:pPr>
        <w:pStyle w:val="Prrafodelista"/>
        <w:spacing w:line="276" w:lineRule="auto"/>
        <w:ind w:left="2370"/>
        <w:jc w:val="both"/>
        <w:rPr>
          <w:rFonts w:ascii="Arial Narrow" w:hAnsi="Arial Narrow" w:cs="Arial"/>
          <w:b/>
          <w:bCs/>
          <w:sz w:val="22"/>
          <w:szCs w:val="22"/>
          <w:lang w:val="en-US"/>
        </w:rPr>
      </w:pPr>
    </w:p>
    <w:p w:rsidR="00AF71EA" w:rsidRPr="00A842D3" w:rsidRDefault="00AF71EA" w:rsidP="00535D63">
      <w:pPr>
        <w:suppressAutoHyphens w:val="0"/>
        <w:spacing w:line="276" w:lineRule="auto"/>
        <w:jc w:val="right"/>
        <w:rPr>
          <w:rFonts w:ascii="Arial Narrow" w:hAnsi="Arial Narrow" w:cs="Arial"/>
          <w:b/>
          <w:bCs/>
          <w:sz w:val="22"/>
          <w:szCs w:val="22"/>
        </w:rPr>
      </w:pPr>
      <w:r w:rsidRPr="00A842D3">
        <w:rPr>
          <w:rFonts w:ascii="Arial Narrow" w:hAnsi="Arial Narrow" w:cs="Arial"/>
          <w:b/>
          <w:bCs/>
          <w:sz w:val="22"/>
          <w:szCs w:val="22"/>
        </w:rPr>
        <w:t>$</w:t>
      </w:r>
      <w:r w:rsidRPr="00A842D3">
        <w:rPr>
          <w:rFonts w:ascii="Arial Narrow" w:hAnsi="Arial Narrow" w:cs="Arial"/>
          <w:b/>
          <w:bCs/>
          <w:sz w:val="22"/>
          <w:szCs w:val="22"/>
          <w:lang w:val="en-US"/>
        </w:rPr>
        <w:t>{unidad_entrega}</w:t>
      </w:r>
    </w:p>
    <w:p w:rsidR="0037381E" w:rsidRDefault="00AF6C81" w:rsidP="00535D63">
      <w:pPr>
        <w:spacing w:line="276" w:lineRule="auto"/>
        <w:jc w:val="both"/>
        <w:rPr>
          <w:rFonts w:ascii="Arial Narrow" w:hAnsi="Arial Narrow" w:cs="Arial"/>
          <w:sz w:val="22"/>
          <w:szCs w:val="22"/>
        </w:rPr>
      </w:pPr>
      <w:r w:rsidRPr="00A842D3">
        <w:rPr>
          <w:rFonts w:ascii="Arial Narrow" w:hAnsi="Arial Narrow" w:cs="Arial"/>
          <w:sz w:val="22"/>
          <w:szCs w:val="22"/>
        </w:rPr>
        <w:t xml:space="preserve">Tiene dentro de sus funciones: </w:t>
      </w:r>
    </w:p>
    <w:p w:rsidR="00D4253E" w:rsidRPr="00D4253E" w:rsidRDefault="00D4253E" w:rsidP="00D4253E">
      <w:pPr>
        <w:pStyle w:val="Prrafodelista"/>
        <w:spacing w:line="276" w:lineRule="auto"/>
        <w:ind w:left="720"/>
        <w:jc w:val="both"/>
        <w:rPr>
          <w:rFonts w:ascii="Arial Narrow" w:hAnsi="Arial Narrow" w:cs="Arial"/>
          <w:sz w:val="22"/>
          <w:szCs w:val="22"/>
        </w:rPr>
      </w:pPr>
    </w:p>
    <w:p w:rsidR="0037381E"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 xml:space="preserve">Coordinar y promover la identificación de </w:t>
      </w:r>
      <w:r w:rsidR="0099396A" w:rsidRPr="00D4253E">
        <w:rPr>
          <w:rFonts w:ascii="Arial Narrow" w:hAnsi="Arial Narrow" w:cs="Arial"/>
          <w:sz w:val="22"/>
          <w:szCs w:val="22"/>
          <w:lang w:val="es-VE" w:eastAsia="es-VE"/>
        </w:rPr>
        <w:t>Incidencias /</w:t>
      </w:r>
      <w:r w:rsidRPr="00D4253E">
        <w:rPr>
          <w:rFonts w:ascii="Arial Narrow" w:hAnsi="Arial Narrow" w:cs="Arial"/>
          <w:sz w:val="22"/>
          <w:szCs w:val="22"/>
          <w:lang w:val="es-VE" w:eastAsia="es-VE"/>
        </w:rPr>
        <w:t xml:space="preserve"> eventos que generan desviación en la cadena de otorgamiento del servicio.</w:t>
      </w:r>
    </w:p>
    <w:p w:rsidR="0037381E"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Velar por el cumplimiento de los estándares de calidad de la atención a las usuarias</w:t>
      </w:r>
      <w:r w:rsidR="00535D63" w:rsidRPr="00D4253E">
        <w:rPr>
          <w:rFonts w:ascii="Arial Narrow" w:hAnsi="Arial Narrow" w:cs="Arial"/>
          <w:sz w:val="22"/>
          <w:szCs w:val="22"/>
          <w:lang w:val="es-VE" w:eastAsia="es-VE"/>
        </w:rPr>
        <w:t xml:space="preserve"> y los usuarios definidos para </w:t>
      </w:r>
      <w:r w:rsidRPr="00D4253E">
        <w:rPr>
          <w:rFonts w:ascii="Arial Narrow" w:hAnsi="Arial Narrow" w:cs="Arial"/>
          <w:sz w:val="22"/>
          <w:szCs w:val="22"/>
          <w:lang w:val="es-VE" w:eastAsia="es-VE"/>
        </w:rPr>
        <w:t>los canales no presenciales y para las unidades de soporte la operación.</w:t>
      </w:r>
    </w:p>
    <w:p w:rsidR="00535D63"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Dirigir, definir lineamientos y controlar el proceso de evaluación de la calidad para los canales presenciales, no presenciales y las unidades de soporte.</w:t>
      </w:r>
    </w:p>
    <w:p w:rsidR="0037381E" w:rsidRPr="00A842D3" w:rsidRDefault="00D4253E">
      <w:pPr>
        <w:pStyle w:val="Textocomentario"/>
        <w:spacing w:line="276" w:lineRule="auto"/>
        <w:rPr>
          <w:rFonts w:ascii="Arial Narrow" w:hAnsi="Arial Narrow" w:cs="Arial"/>
          <w:sz w:val="16"/>
          <w:szCs w:val="16"/>
        </w:rPr>
      </w:pPr>
      <w:r>
        <w:rPr>
          <w:rFonts w:ascii="Arial Narrow" w:hAnsi="Arial Narrow" w:cs="Arial"/>
          <w:b/>
          <w:sz w:val="16"/>
          <w:szCs w:val="16"/>
        </w:rPr>
        <w:t xml:space="preserve">            </w:t>
      </w:r>
      <w:r w:rsidR="00AF6C81" w:rsidRPr="00A842D3">
        <w:rPr>
          <w:rFonts w:ascii="Arial Narrow" w:hAnsi="Arial Narrow" w:cs="Arial"/>
          <w:b/>
          <w:sz w:val="16"/>
          <w:szCs w:val="16"/>
        </w:rPr>
        <w:t>Fuente:</w:t>
      </w:r>
      <w:r w:rsidR="00AF6C81" w:rsidRPr="00A842D3">
        <w:rPr>
          <w:rFonts w:ascii="Arial Narrow" w:hAnsi="Arial Narrow" w:cs="Arial"/>
          <w:sz w:val="16"/>
          <w:szCs w:val="16"/>
        </w:rPr>
        <w:t xml:space="preserve"> Gerencia de Organización y Procesos de la Gerencia General de Planificación</w:t>
      </w:r>
    </w:p>
    <w:p w:rsidR="00535D63" w:rsidRPr="00A842D3" w:rsidRDefault="00535D63">
      <w:pPr>
        <w:pStyle w:val="Textocomentario"/>
        <w:spacing w:line="276" w:lineRule="auto"/>
        <w:rPr>
          <w:rFonts w:ascii="Arial Narrow" w:hAnsi="Arial Narrow" w:cs="Arial"/>
          <w:sz w:val="22"/>
          <w:szCs w:val="22"/>
        </w:rPr>
      </w:pPr>
    </w:p>
    <w:p w:rsidR="00535D63" w:rsidRPr="00A842D3" w:rsidRDefault="00535D63">
      <w:pPr>
        <w:pStyle w:val="Textocomentario"/>
        <w:spacing w:line="276" w:lineRule="auto"/>
        <w:rPr>
          <w:rFonts w:ascii="Arial Narrow" w:hAnsi="Arial Narrow" w:cs="Arial"/>
          <w:sz w:val="16"/>
          <w:szCs w:val="16"/>
        </w:rPr>
      </w:pPr>
    </w:p>
    <w:p w:rsidR="00535D63" w:rsidRPr="00A842D3" w:rsidRDefault="00535D63">
      <w:pPr>
        <w:pStyle w:val="Textocomentario"/>
        <w:spacing w:line="276" w:lineRule="auto"/>
        <w:rPr>
          <w:rFonts w:ascii="Arial Narrow" w:hAnsi="Arial Narrow" w:cs="Arial"/>
          <w:sz w:val="16"/>
          <w:szCs w:val="16"/>
        </w:rPr>
      </w:pPr>
    </w:p>
    <w:p w:rsidR="0037381E" w:rsidRPr="00A842D3" w:rsidRDefault="00AF6C81">
      <w:pPr>
        <w:pStyle w:val="WW-Encabezamiento"/>
        <w:spacing w:line="276" w:lineRule="auto"/>
        <w:jc w:val="right"/>
        <w:rPr>
          <w:rFonts w:ascii="Arial Narrow" w:hAnsi="Arial Narrow" w:cs="Arial"/>
          <w:b/>
          <w:bCs/>
          <w:color w:val="auto"/>
          <w:sz w:val="22"/>
          <w:szCs w:val="22"/>
        </w:rPr>
      </w:pPr>
      <w:r w:rsidRPr="00A842D3">
        <w:rPr>
          <w:rFonts w:ascii="Arial Narrow" w:hAnsi="Arial Narrow" w:cs="Arial"/>
          <w:b/>
          <w:bCs/>
          <w:color w:val="auto"/>
          <w:sz w:val="22"/>
          <w:szCs w:val="22"/>
        </w:rPr>
        <w:t>Valoración del Riesgo</w:t>
      </w: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lastRenderedPageBreak/>
        <w:t xml:space="preserve">Se evaluó el riesgo de la actuación fiscal, a fin de determinar cómo deben ser tratados aquellos hechos cuya probabilidad de ocurrencia es incierta; pero relevante para la consecución de los objetivos de la actuación.  </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emplear la matriz de valoración de riesgo en materia de control fiscal, se consideraron tres (3) tipos de riesgos:</w:t>
      </w:r>
    </w:p>
    <w:p w:rsidR="0037381E" w:rsidRPr="00A842D3" w:rsidRDefault="00AF6C81">
      <w:pPr>
        <w:numPr>
          <w:ilvl w:val="0"/>
          <w:numId w:val="3"/>
        </w:numPr>
        <w:tabs>
          <w:tab w:val="left" w:pos="284"/>
        </w:tabs>
        <w:spacing w:line="276" w:lineRule="auto"/>
        <w:jc w:val="both"/>
        <w:rPr>
          <w:rFonts w:ascii="Arial Narrow" w:hAnsi="Arial Narrow" w:cs="Arial"/>
          <w:iCs/>
          <w:sz w:val="22"/>
          <w:szCs w:val="22"/>
        </w:rPr>
      </w:pPr>
      <w:r w:rsidRPr="00A842D3">
        <w:rPr>
          <w:rFonts w:ascii="Arial Narrow" w:hAnsi="Arial Narrow" w:cs="Arial"/>
          <w:i/>
          <w:iCs/>
          <w:sz w:val="22"/>
          <w:szCs w:val="22"/>
        </w:rPr>
        <w:t xml:space="preserve"> El riesgo inherente</w:t>
      </w:r>
      <w:r w:rsidRPr="00A842D3">
        <w:rPr>
          <w:rFonts w:ascii="Arial Narrow" w:hAnsi="Arial Narrow" w:cs="Arial"/>
          <w:iCs/>
          <w:sz w:val="22"/>
          <w:szCs w:val="22"/>
        </w:rPr>
        <w:t xml:space="preserve">: es aquel vinculado con los aspectos y características propias de las actividades del objeto a evaluar. </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control</w:t>
      </w:r>
      <w:r w:rsidRPr="00A842D3">
        <w:rPr>
          <w:rFonts w:ascii="Arial Narrow" w:hAnsi="Arial Narrow" w:cs="Arial"/>
          <w:iCs/>
          <w:sz w:val="22"/>
          <w:szCs w:val="22"/>
        </w:rPr>
        <w:t>: es aquel referido a las deficiencias del sistema de control interno del objeto a evaluar, que pudieran incidir en los resultados de la auditoría.</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detección</w:t>
      </w:r>
      <w:r w:rsidRPr="00A842D3">
        <w:rPr>
          <w:rFonts w:ascii="Arial Narrow" w:hAnsi="Arial Narrow" w:cs="Arial"/>
          <w:iCs/>
          <w:sz w:val="22"/>
          <w:szCs w:val="22"/>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cuantificar los tres (3) tipos de riesgos obtuvimos un resultado de 21 puntos, que identifica que la actuación está dentro del rango del riesgo aceptable, valorado como riesgo bajo con factores de baja posibilidad de ocurrencia.</w:t>
      </w:r>
    </w:p>
    <w:p w:rsidR="0037381E" w:rsidRPr="00A842D3" w:rsidRDefault="0037381E">
      <w:pPr>
        <w:spacing w:line="276" w:lineRule="auto"/>
        <w:jc w:val="both"/>
        <w:rPr>
          <w:rFonts w:ascii="Arial Narrow" w:hAnsi="Arial Narrow" w:cs="Arial"/>
          <w:b/>
          <w:sz w:val="22"/>
          <w:szCs w:val="22"/>
        </w:rPr>
      </w:pPr>
    </w:p>
    <w:p w:rsidR="0037381E" w:rsidRPr="00A842D3" w:rsidRDefault="0037381E">
      <w:pPr>
        <w:spacing w:line="276" w:lineRule="auto"/>
        <w:jc w:val="both"/>
        <w:rPr>
          <w:rFonts w:ascii="Arial Narrow" w:hAnsi="Arial Narrow" w:cs="Arial"/>
          <w:b/>
          <w:sz w:val="22"/>
          <w:szCs w:val="22"/>
        </w:rPr>
      </w:pPr>
    </w:p>
    <w:p w:rsidR="004D54CD" w:rsidRPr="00A842D3" w:rsidRDefault="004D54CD">
      <w:pPr>
        <w:spacing w:line="276" w:lineRule="auto"/>
        <w:jc w:val="both"/>
        <w:rPr>
          <w:rFonts w:ascii="Arial Narrow" w:hAnsi="Arial Narrow" w:cs="Arial"/>
          <w:b/>
          <w:sz w:val="22"/>
          <w:szCs w:val="22"/>
        </w:rPr>
      </w:pPr>
    </w:p>
    <w:p w:rsidR="00B80805" w:rsidRPr="00C777ED" w:rsidRDefault="00B80805" w:rsidP="00B80805">
      <w:pPr>
        <w:spacing w:line="276" w:lineRule="auto"/>
        <w:jc w:val="both"/>
        <w:rPr>
          <w:rFonts w:ascii="Arial Narrow" w:hAnsi="Arial Narrow" w:cs="Arial"/>
          <w:b/>
          <w:sz w:val="22"/>
          <w:szCs w:val="22"/>
        </w:rPr>
      </w:pPr>
    </w:p>
    <w:p w:rsidR="007D7F27" w:rsidRPr="001E18A6" w:rsidRDefault="007D7F27" w:rsidP="007D7F27">
      <w:pPr>
        <w:spacing w:line="276" w:lineRule="auto"/>
        <w:jc w:val="both"/>
        <w:rPr>
          <w:rFonts w:ascii="Arial Narrow" w:hAnsi="Arial Narrow" w:cs="Arial"/>
          <w:b/>
          <w:sz w:val="22"/>
          <w:szCs w:val="22"/>
        </w:rPr>
      </w:pPr>
      <w:r w:rsidRPr="001E18A6">
        <w:rPr>
          <w:rFonts w:ascii="Arial Narrow" w:hAnsi="Arial Narrow" w:cs="Arial"/>
          <w:b/>
          <w:sz w:val="22"/>
          <w:szCs w:val="22"/>
        </w:rPr>
        <w:t>CAPÍTULO III</w:t>
      </w:r>
    </w:p>
    <w:p w:rsidR="007D7F27" w:rsidRPr="001E18A6" w:rsidRDefault="007D7F27" w:rsidP="007D7F27">
      <w:pPr>
        <w:spacing w:line="276" w:lineRule="auto"/>
        <w:jc w:val="both"/>
        <w:rPr>
          <w:rFonts w:ascii="Arial Narrow" w:hAnsi="Arial Narrow" w:cs="Arial"/>
          <w:sz w:val="22"/>
          <w:szCs w:val="22"/>
        </w:rPr>
      </w:pPr>
    </w:p>
    <w:p w:rsidR="007D7F27" w:rsidRDefault="007D7F27" w:rsidP="007D7F27">
      <w:pPr>
        <w:tabs>
          <w:tab w:val="left" w:pos="4860"/>
        </w:tabs>
        <w:spacing w:line="276" w:lineRule="auto"/>
        <w:jc w:val="both"/>
        <w:rPr>
          <w:rFonts w:ascii="Arial Narrow" w:hAnsi="Arial Narrow" w:cs="Arial"/>
          <w:b/>
          <w:sz w:val="22"/>
          <w:szCs w:val="22"/>
        </w:rPr>
      </w:pPr>
      <w:r w:rsidRPr="001E18A6">
        <w:rPr>
          <w:rFonts w:ascii="Arial Narrow" w:hAnsi="Arial Narrow" w:cs="Arial"/>
          <w:b/>
          <w:sz w:val="22"/>
          <w:szCs w:val="22"/>
        </w:rPr>
        <w:t>Observaciones derivadas del análisis</w:t>
      </w:r>
    </w:p>
    <w:p w:rsidR="007D7F27" w:rsidRDefault="007D7F27" w:rsidP="007D7F27">
      <w:pPr>
        <w:tabs>
          <w:tab w:val="left" w:pos="4860"/>
        </w:tabs>
        <w:spacing w:line="276" w:lineRule="auto"/>
        <w:jc w:val="both"/>
        <w:rPr>
          <w:rFonts w:ascii="Arial Narrow" w:hAnsi="Arial Narrow" w:cs="Arial"/>
          <w:b/>
          <w:sz w:val="22"/>
          <w:szCs w:val="22"/>
        </w:rPr>
      </w:pPr>
    </w:p>
    <w:p w:rsidR="007D7F27" w:rsidRPr="001E18A6" w:rsidRDefault="007D7F27" w:rsidP="007D7F27">
      <w:pPr>
        <w:tabs>
          <w:tab w:val="left" w:pos="4860"/>
        </w:tabs>
        <w:spacing w:line="276" w:lineRule="auto"/>
        <w:jc w:val="both"/>
        <w:rPr>
          <w:rFonts w:ascii="Arial Narrow" w:hAnsi="Arial Narrow" w:cs="Arial"/>
          <w:b/>
          <w:sz w:val="22"/>
          <w:szCs w:val="22"/>
        </w:rPr>
      </w:pPr>
      <w:r>
        <w:rPr>
          <w:rFonts w:ascii="Arial Narrow" w:hAnsi="Arial Narrow" w:cs="Arial"/>
          <w:b/>
          <w:sz w:val="22"/>
          <w:szCs w:val="22"/>
        </w:rPr>
        <w:t>${</w:t>
      </w:r>
      <w:r w:rsidRPr="000D0114">
        <w:rPr>
          <w:rFonts w:ascii="Arial Narrow" w:hAnsi="Arial Narrow" w:cs="Arial"/>
          <w:b/>
          <w:sz w:val="22"/>
          <w:szCs w:val="22"/>
        </w:rPr>
        <w:t>fecha_variable</w:t>
      </w:r>
      <w:r>
        <w:rPr>
          <w:rFonts w:ascii="Arial Narrow" w:hAnsi="Arial Narrow" w:cs="Arial"/>
          <w:b/>
          <w:sz w:val="22"/>
          <w:szCs w:val="22"/>
        </w:rPr>
        <w:t>}</w:t>
      </w:r>
    </w:p>
    <w:p w:rsidR="007D7F27" w:rsidRPr="001E18A6" w:rsidRDefault="007D7F27" w:rsidP="007D7F27">
      <w:pPr>
        <w:tabs>
          <w:tab w:val="left" w:pos="4860"/>
        </w:tabs>
        <w:spacing w:line="276" w:lineRule="auto"/>
        <w:jc w:val="both"/>
        <w:rPr>
          <w:rFonts w:ascii="Arial Narrow" w:hAnsi="Arial Narrow" w:cs="Arial"/>
          <w:b/>
          <w:sz w:val="22"/>
          <w:szCs w:val="22"/>
        </w:rPr>
      </w:pP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r w:rsidRPr="007F1C15">
        <w:rPr>
          <w:rFonts w:ascii="Arial Narrow" w:hAnsi="Arial Narrow" w:cs="Arial"/>
          <w:iCs/>
          <w:sz w:val="22"/>
          <w:szCs w:val="22"/>
        </w:rPr>
        <w:t xml:space="preserve">De acuerdo con los requisitos establecidos en las Normas </w:t>
      </w:r>
      <w:r w:rsidRPr="007F1C15">
        <w:rPr>
          <w:rFonts w:ascii="Arial Narrow" w:hAnsi="Arial Narrow" w:cs="Arial"/>
          <w:iCs/>
          <w:sz w:val="22"/>
          <w:szCs w:val="22"/>
          <w:lang w:val="es-VE"/>
        </w:rPr>
        <w:t xml:space="preserve">para Regular la Entrega de los Órganos y Entidades de la Administración Pública y de sus Respectivas Oficinas o Dependencias (NREOEAPROD), </w:t>
      </w:r>
      <w:r w:rsidRPr="007F1C15">
        <w:rPr>
          <w:rFonts w:ascii="Arial Narrow" w:hAnsi="Arial Narrow" w:cs="Arial"/>
          <w:iCs/>
          <w:sz w:val="22"/>
          <w:szCs w:val="22"/>
        </w:rPr>
        <w:t xml:space="preserve">se efectuó análisis al Acta de Entrega elaborada por </w:t>
      </w:r>
      <w:r w:rsidRPr="00A842D3">
        <w:rPr>
          <w:rFonts w:ascii="Arial Narrow" w:hAnsi="Arial Narrow" w:cs="Arial"/>
          <w:sz w:val="22"/>
          <w:szCs w:val="22"/>
          <w:lang w:val="es-VE"/>
        </w:rPr>
        <w:t xml:space="preserve">${nombre_saliente}, </w:t>
      </w:r>
      <w:r w:rsidRPr="007F1C15">
        <w:rPr>
          <w:rFonts w:ascii="Arial Narrow" w:hAnsi="Arial Narrow" w:cs="Arial"/>
          <w:iCs/>
          <w:sz w:val="22"/>
          <w:szCs w:val="22"/>
          <w:lang w:val="es-VE"/>
        </w:rPr>
        <w:t xml:space="preserve">titular de la cédula de identidad </w:t>
      </w:r>
      <w:r w:rsidRPr="00A842D3">
        <w:rPr>
          <w:rFonts w:ascii="Arial Narrow" w:hAnsi="Arial Narrow" w:cs="Arial"/>
          <w:sz w:val="22"/>
          <w:szCs w:val="22"/>
          <w:lang w:val="es-VE"/>
        </w:rPr>
        <w:t>V-${cedula_saliente</w:t>
      </w:r>
      <w:r w:rsidRPr="007F1C15">
        <w:rPr>
          <w:rFonts w:ascii="Arial Narrow" w:hAnsi="Arial Narrow" w:cs="Arial"/>
          <w:iCs/>
          <w:sz w:val="22"/>
          <w:szCs w:val="22"/>
          <w:lang w:val="es-VE"/>
        </w:rPr>
        <w:t xml:space="preserve"> </w:t>
      </w:r>
      <w:r>
        <w:rPr>
          <w:rFonts w:ascii="Arial Narrow" w:hAnsi="Arial Narrow" w:cs="Arial"/>
          <w:iCs/>
          <w:sz w:val="22"/>
          <w:szCs w:val="22"/>
          <w:lang w:val="es-VE"/>
        </w:rPr>
        <w:t>,</w:t>
      </w:r>
      <w:r w:rsidRPr="007D7F27">
        <w:rPr>
          <w:rFonts w:ascii="Arial Narrow" w:hAnsi="Arial Narrow" w:cs="Arial"/>
          <w:sz w:val="22"/>
          <w:szCs w:val="22"/>
          <w:lang w:val="es-VE"/>
        </w:rPr>
        <w:t xml:space="preserve"> </w:t>
      </w:r>
      <w:r w:rsidRPr="00A842D3">
        <w:rPr>
          <w:rFonts w:ascii="Arial Narrow" w:hAnsi="Arial Narrow" w:cs="Arial"/>
          <w:sz w:val="22"/>
          <w:szCs w:val="22"/>
          <w:lang w:val="es-VE"/>
        </w:rPr>
        <w:t>${</w:t>
      </w:r>
      <w:r w:rsidRPr="00987F7B">
        <w:rPr>
          <w:rFonts w:ascii="Arial Narrow" w:hAnsi="Arial Narrow" w:cs="Arial"/>
          <w:sz w:val="22"/>
          <w:szCs w:val="22"/>
          <w:lang w:val="es-VE"/>
        </w:rPr>
        <w:t>cargo_saliente</w:t>
      </w:r>
      <w:r w:rsidRPr="00A842D3">
        <w:rPr>
          <w:rFonts w:ascii="Arial Narrow" w:hAnsi="Arial Narrow" w:cs="Arial"/>
          <w:sz w:val="22"/>
          <w:szCs w:val="22"/>
          <w:lang w:val="es-VE"/>
        </w:rPr>
        <w:t>}</w:t>
      </w:r>
      <w:r w:rsidRPr="007F1C15">
        <w:rPr>
          <w:rFonts w:ascii="Arial Narrow" w:hAnsi="Arial Narrow" w:cs="Arial"/>
          <w:iCs/>
          <w:sz w:val="22"/>
          <w:szCs w:val="22"/>
        </w:rPr>
        <w:t xml:space="preserve"> (Saliente); así como, a los anexos correspondientes, determinándose las observaciones y hallazgos que se detallan a continuación: </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r w:rsidRPr="007F1C15">
        <w:rPr>
          <w:rFonts w:ascii="Arial Narrow" w:hAnsi="Arial Narrow" w:cs="Arial"/>
          <w:b/>
          <w:bCs/>
          <w:iCs/>
          <w:sz w:val="22"/>
          <w:szCs w:val="22"/>
        </w:rPr>
        <w:t>1. En lo referente a la materialización, suscripción y contenido del Acta de Entrega:</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numPr>
          <w:ilvl w:val="1"/>
          <w:numId w:val="18"/>
        </w:numPr>
        <w:tabs>
          <w:tab w:val="num" w:pos="-1800"/>
          <w:tab w:val="left" w:pos="400"/>
        </w:tabs>
        <w:suppressAutoHyphens w:val="0"/>
        <w:spacing w:line="276" w:lineRule="auto"/>
        <w:jc w:val="both"/>
        <w:rPr>
          <w:rFonts w:ascii="Arial Narrow" w:hAnsi="Arial Narrow" w:cs="Arial"/>
          <w:iCs/>
          <w:sz w:val="22"/>
          <w:szCs w:val="22"/>
        </w:rPr>
      </w:pPr>
      <w:r w:rsidRPr="00A842D3">
        <w:rPr>
          <w:rFonts w:ascii="Arial Narrow" w:hAnsi="Arial Narrow" w:cs="Arial"/>
          <w:bCs/>
          <w:sz w:val="22"/>
          <w:szCs w:val="22"/>
          <w:lang w:val="es-VE"/>
        </w:rPr>
        <w:t xml:space="preserve">Servidora Pública Saliente </w:t>
      </w:r>
      <w:r>
        <w:rPr>
          <w:rFonts w:ascii="Arial Narrow" w:hAnsi="Arial Narrow" w:cs="Arial"/>
          <w:iCs/>
          <w:sz w:val="22"/>
          <w:szCs w:val="22"/>
        </w:rPr>
        <w:t xml:space="preserve">entregó formalmente la </w:t>
      </w:r>
      <w:r w:rsidRPr="00A842D3">
        <w:rPr>
          <w:rFonts w:ascii="Arial Narrow" w:hAnsi="Arial Narrow" w:cs="Arial"/>
          <w:sz w:val="22"/>
          <w:szCs w:val="22"/>
          <w:lang w:val="es-VE"/>
        </w:rPr>
        <w:t>${unidad_entrega}</w:t>
      </w:r>
      <w:r w:rsidRPr="007F1C15">
        <w:rPr>
          <w:rFonts w:ascii="Arial Narrow" w:hAnsi="Arial Narrow" w:cs="Arial"/>
          <w:iCs/>
          <w:sz w:val="22"/>
          <w:szCs w:val="22"/>
        </w:rPr>
        <w:t xml:space="preserve">, mediante Acta suscrita el </w:t>
      </w:r>
      <w:r w:rsidRPr="00A842D3">
        <w:rPr>
          <w:rFonts w:ascii="Arial Narrow" w:hAnsi="Arial Narrow" w:cs="Arial"/>
          <w:sz w:val="22"/>
          <w:szCs w:val="22"/>
        </w:rPr>
        <w:t>$</w:t>
      </w:r>
      <w:r w:rsidRPr="00A842D3">
        <w:rPr>
          <w:rFonts w:ascii="Arial Narrow" w:hAnsi="Arial Narrow" w:cs="Arial"/>
          <w:bCs/>
          <w:sz w:val="22"/>
          <w:szCs w:val="22"/>
          <w:lang w:val="es-VE"/>
        </w:rPr>
        <w:t>{</w:t>
      </w:r>
      <w:r w:rsidRPr="00A842D3">
        <w:rPr>
          <w:rFonts w:ascii="Arial Narrow" w:hAnsi="Arial Narrow"/>
          <w:u w:val="single"/>
        </w:rPr>
        <w:t>f</w:t>
      </w:r>
      <w:r w:rsidRPr="00A842D3">
        <w:rPr>
          <w:rFonts w:ascii="Arial Narrow" w:hAnsi="Arial Narrow" w:cs="Arial"/>
          <w:bCs/>
          <w:sz w:val="22"/>
          <w:szCs w:val="22"/>
          <w:u w:val="single"/>
          <w:lang w:val="es-VE"/>
        </w:rPr>
        <w:t>echa</w:t>
      </w:r>
      <w:r w:rsidRPr="00A842D3">
        <w:rPr>
          <w:rFonts w:ascii="Arial Narrow" w:hAnsi="Arial Narrow" w:cs="Arial"/>
          <w:bCs/>
          <w:sz w:val="22"/>
          <w:szCs w:val="22"/>
          <w:lang w:val="es-VE"/>
        </w:rPr>
        <w:t>_subcripcion}</w:t>
      </w:r>
      <w:r w:rsidRPr="00A842D3">
        <w:rPr>
          <w:rFonts w:ascii="Arial Narrow" w:hAnsi="Arial Narrow" w:cs="Arial"/>
          <w:sz w:val="22"/>
          <w:szCs w:val="22"/>
          <w:lang w:val="es-VE"/>
        </w:rPr>
        <w:t xml:space="preserve">, </w:t>
      </w:r>
      <w:r w:rsidRPr="007F1C15">
        <w:rPr>
          <w:rFonts w:ascii="Arial Narrow" w:hAnsi="Arial Narrow" w:cs="Arial"/>
          <w:iCs/>
          <w:sz w:val="22"/>
          <w:szCs w:val="22"/>
        </w:rPr>
        <w:t>dentro del plazo establecido, a su vez el Acta de Entrega refleja el lugar y la fecha de suscripción, la identificación de la dependencia que se entrega, la identificación de la servidora pública que realiza la entrega y de la servidora pública que recibe y la relación de los anexos que lo acompañan. De igual forma se hace mención expresa de que los anexos forman parte integrante del acta, el acta fue elaborada y debidamente entregada en original a la Unidad de Auditoría Interna, dentro de los tres (3) días hábiles siguientes de su suscripción, de conformidad con los artículos 4, 8, 10, 18 y 21 de las Normas para Regular la Entrega de los Órganos y Entidades de la Admini</w:t>
      </w:r>
      <w:bookmarkStart w:id="0" w:name="_GoBack"/>
      <w:bookmarkEnd w:id="0"/>
      <w:r w:rsidRPr="007F1C15">
        <w:rPr>
          <w:rFonts w:ascii="Arial Narrow" w:hAnsi="Arial Narrow" w:cs="Arial"/>
          <w:iCs/>
          <w:sz w:val="22"/>
          <w:szCs w:val="22"/>
        </w:rPr>
        <w:t>stración Pública y de sus Respectivas Oficinas o Dependencias (NREOEAPROD), publicada en la Gaceta Oficial de la Repúblic</w:t>
      </w:r>
      <w:r w:rsidR="0085220A">
        <w:rPr>
          <w:rFonts w:ascii="Arial Narrow" w:hAnsi="Arial Narrow" w:cs="Arial"/>
          <w:iCs/>
          <w:sz w:val="22"/>
          <w:szCs w:val="22"/>
        </w:rPr>
        <w:t>a Bolivariana de Venezuela Nro.</w:t>
      </w:r>
      <w:r w:rsidRPr="007F1C15">
        <w:rPr>
          <w:rFonts w:ascii="Arial Narrow" w:hAnsi="Arial Narrow" w:cs="Arial"/>
          <w:iCs/>
          <w:sz w:val="22"/>
          <w:szCs w:val="22"/>
        </w:rPr>
        <w:t>39.229, de fecha 28/07/2009.</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numPr>
          <w:ilvl w:val="1"/>
          <w:numId w:val="18"/>
        </w:numPr>
        <w:tabs>
          <w:tab w:val="num" w:pos="-1800"/>
          <w:tab w:val="left" w:pos="400"/>
        </w:tabs>
        <w:suppressAutoHyphens w:val="0"/>
        <w:spacing w:line="276" w:lineRule="auto"/>
        <w:jc w:val="both"/>
        <w:rPr>
          <w:rFonts w:ascii="Arial Narrow" w:hAnsi="Arial Narrow" w:cs="Arial"/>
          <w:b/>
          <w:bCs/>
          <w:iCs/>
          <w:sz w:val="22"/>
          <w:szCs w:val="22"/>
        </w:rPr>
      </w:pPr>
      <w:r w:rsidRPr="007F1C15">
        <w:rPr>
          <w:rFonts w:ascii="Arial Narrow" w:hAnsi="Arial Narrow" w:cs="Arial"/>
          <w:iCs/>
          <w:sz w:val="22"/>
          <w:szCs w:val="22"/>
        </w:rPr>
        <w:t>Se constato que los soportes que acompañan el Acta de Entrega corresponden con lo requerido en el artículo 11 y 18 de las Normas para Regular la Entrega de los Órganos y Entidades de la Administración Pública y de sus Respectivas Oficinas o Dependencias (NREOEAPROD), publicadas en la Gaceta Oficial de la Repúblic</w:t>
      </w:r>
      <w:r w:rsidR="0085220A">
        <w:rPr>
          <w:rFonts w:ascii="Arial Narrow" w:hAnsi="Arial Narrow" w:cs="Arial"/>
          <w:iCs/>
          <w:sz w:val="22"/>
          <w:szCs w:val="22"/>
        </w:rPr>
        <w:t>a Bolivariana de Venezuela Nro.</w:t>
      </w:r>
      <w:r w:rsidRPr="007F1C15">
        <w:rPr>
          <w:rFonts w:ascii="Arial Narrow" w:hAnsi="Arial Narrow" w:cs="Arial"/>
          <w:iCs/>
          <w:sz w:val="22"/>
          <w:szCs w:val="22"/>
        </w:rPr>
        <w:t>39.229 de fecha 28/07/2009; a saber: Mención del número de cargos con señalamiento de sin empleados u obreros, fijos o contratados; Inventario de los bienes muebles; Situación de la ejecución del plan operativo de conformidad con los objetivos propuestos y las metas fijadas en el presupuesto correspondiente; Índice general del archivo; así como información relativa a la gestión.</w:t>
      </w:r>
    </w:p>
    <w:p w:rsidR="0037381E" w:rsidRPr="00A842D3" w:rsidRDefault="0037381E">
      <w:pPr>
        <w:spacing w:line="276" w:lineRule="auto"/>
        <w:jc w:val="both"/>
        <w:rPr>
          <w:rFonts w:ascii="Arial Narrow" w:hAnsi="Arial Narrow" w:cs="Arial"/>
          <w:sz w:val="22"/>
          <w:szCs w:val="22"/>
        </w:rPr>
      </w:pPr>
    </w:p>
    <w:p w:rsidR="00836F59" w:rsidRDefault="00836F59" w:rsidP="00836F59">
      <w:pPr>
        <w:tabs>
          <w:tab w:val="left" w:pos="4860"/>
        </w:tabs>
        <w:spacing w:line="276" w:lineRule="auto"/>
        <w:rPr>
          <w:rFonts w:ascii="Arial Narrow" w:hAnsi="Arial Narrow" w:cs="Arial"/>
          <w:b/>
          <w:sz w:val="22"/>
          <w:szCs w:val="22"/>
        </w:rPr>
      </w:pPr>
    </w:p>
    <w:p w:rsidR="00836F59" w:rsidRPr="00836F59" w:rsidRDefault="00836F59" w:rsidP="00836F59">
      <w:pPr>
        <w:tabs>
          <w:tab w:val="left" w:pos="4860"/>
        </w:tabs>
        <w:spacing w:line="276" w:lineRule="auto"/>
        <w:rPr>
          <w:rFonts w:ascii="Arial Narrow" w:hAnsi="Arial Narrow" w:cs="Arial"/>
          <w:b/>
          <w:sz w:val="22"/>
          <w:szCs w:val="22"/>
        </w:rPr>
      </w:pPr>
    </w:p>
    <w:p w:rsidR="0037381E" w:rsidRPr="00A842D3" w:rsidRDefault="0037381E">
      <w:pPr>
        <w:spacing w:line="276" w:lineRule="auto"/>
        <w:jc w:val="center"/>
        <w:rPr>
          <w:rFonts w:ascii="Arial Narrow" w:hAnsi="Arial Narrow" w:cs="Arial"/>
          <w:iCs/>
          <w:sz w:val="22"/>
          <w:szCs w:val="22"/>
        </w:rPr>
      </w:pPr>
    </w:p>
    <w:p w:rsidR="00E95035" w:rsidRPr="00A842D3" w:rsidRDefault="00E95035">
      <w:pPr>
        <w:spacing w:line="276" w:lineRule="auto"/>
        <w:jc w:val="center"/>
        <w:rPr>
          <w:rFonts w:ascii="Arial Narrow" w:hAnsi="Arial Narrow" w:cs="Arial"/>
          <w:iCs/>
          <w:sz w:val="22"/>
          <w:szCs w:val="22"/>
        </w:rPr>
      </w:pPr>
    </w:p>
    <w:p w:rsidR="0037381E" w:rsidRPr="00A842D3" w:rsidRDefault="008E253F">
      <w:pPr>
        <w:spacing w:line="276" w:lineRule="auto"/>
        <w:jc w:val="center"/>
        <w:rPr>
          <w:rFonts w:ascii="Arial Narrow" w:hAnsi="Arial Narrow" w:cs="Arial"/>
          <w:iCs/>
          <w:sz w:val="22"/>
          <w:szCs w:val="22"/>
          <w:u w:val="single"/>
        </w:rPr>
      </w:pPr>
      <w:r>
        <w:rPr>
          <w:rFonts w:ascii="Arial Narrow" w:hAnsi="Arial Narrow" w:cs="Arial"/>
          <w:iCs/>
          <w:sz w:val="22"/>
          <w:szCs w:val="22"/>
        </w:rPr>
        <w:t>${</w:t>
      </w:r>
      <w:r w:rsidRPr="008E253F">
        <w:rPr>
          <w:rFonts w:ascii="Arial Narrow" w:hAnsi="Arial Narrow" w:cs="Arial"/>
          <w:iCs/>
          <w:sz w:val="22"/>
          <w:szCs w:val="22"/>
        </w:rPr>
        <w:t>auditor_A</w:t>
      </w:r>
      <w:r>
        <w:rPr>
          <w:rFonts w:ascii="Arial Narrow" w:hAnsi="Arial Narrow" w:cs="Arial"/>
          <w:iCs/>
          <w:sz w:val="22"/>
          <w:szCs w:val="22"/>
        </w:rPr>
        <w:t>}</w:t>
      </w:r>
      <w:r w:rsidR="003E1B5D">
        <w:rPr>
          <w:rFonts w:ascii="Arial Narrow" w:hAnsi="Arial Narrow" w:cs="Arial"/>
          <w:iCs/>
          <w:sz w:val="22"/>
          <w:szCs w:val="22"/>
        </w:rPr>
        <w:t xml:space="preserve"> </w:t>
      </w:r>
      <w:r>
        <w:rPr>
          <w:rFonts w:ascii="Arial Narrow" w:hAnsi="Arial Narrow" w:cs="Arial"/>
          <w:iCs/>
          <w:sz w:val="22"/>
          <w:szCs w:val="22"/>
        </w:rPr>
        <w:t>/</w:t>
      </w:r>
      <w:r w:rsidR="003E1B5D">
        <w:rPr>
          <w:rFonts w:ascii="Arial Narrow" w:hAnsi="Arial Narrow" w:cs="Arial"/>
          <w:iCs/>
          <w:sz w:val="22"/>
          <w:szCs w:val="22"/>
        </w:rPr>
        <w:t xml:space="preserve"> </w:t>
      </w:r>
      <w:r>
        <w:rPr>
          <w:rFonts w:ascii="Arial Narrow" w:hAnsi="Arial Narrow" w:cs="Arial"/>
          <w:iCs/>
          <w:sz w:val="22"/>
          <w:szCs w:val="22"/>
        </w:rPr>
        <w:t>${auditor_B}</w:t>
      </w:r>
    </w:p>
    <w:p w:rsidR="0037381E" w:rsidRPr="00A842D3" w:rsidRDefault="00AF6C81">
      <w:pPr>
        <w:spacing w:line="276" w:lineRule="auto"/>
        <w:jc w:val="center"/>
        <w:rPr>
          <w:rFonts w:ascii="Arial Narrow" w:hAnsi="Arial Narrow" w:cs="Arial"/>
          <w:b/>
          <w:iCs/>
          <w:sz w:val="22"/>
          <w:szCs w:val="22"/>
        </w:rPr>
      </w:pPr>
      <w:r w:rsidRPr="00A842D3">
        <w:rPr>
          <w:rFonts w:ascii="Arial Narrow" w:hAnsi="Arial Narrow" w:cs="Arial"/>
          <w:b/>
          <w:iCs/>
          <w:sz w:val="22"/>
          <w:szCs w:val="22"/>
        </w:rPr>
        <w:t>Comisión de Auditoría</w:t>
      </w:r>
    </w:p>
    <w:p w:rsidR="0037381E" w:rsidRPr="00A842D3" w:rsidRDefault="00AF6C81">
      <w:pPr>
        <w:spacing w:line="276" w:lineRule="auto"/>
        <w:jc w:val="center"/>
        <w:rPr>
          <w:rFonts w:ascii="Arial Narrow" w:hAnsi="Arial Narrow" w:cs="Arial"/>
          <w:iCs/>
          <w:sz w:val="22"/>
          <w:szCs w:val="22"/>
        </w:rPr>
      </w:pPr>
      <w:r w:rsidRPr="00A842D3">
        <w:rPr>
          <w:rFonts w:ascii="Arial Narrow" w:hAnsi="Arial Narrow" w:cs="Arial"/>
          <w:iCs/>
          <w:sz w:val="22"/>
          <w:szCs w:val="22"/>
        </w:rPr>
        <w:t>Designación de fecha ${fecha_designacion}</w:t>
      </w:r>
    </w:p>
    <w:p w:rsidR="0037381E" w:rsidRDefault="0037381E">
      <w:pPr>
        <w:tabs>
          <w:tab w:val="left" w:pos="-1800"/>
          <w:tab w:val="left" w:pos="400"/>
        </w:tabs>
        <w:spacing w:line="276" w:lineRule="auto"/>
        <w:jc w:val="both"/>
        <w:rPr>
          <w:rFonts w:ascii="Arial Narrow" w:hAnsi="Arial Narrow" w:cs="Arial"/>
          <w:iCs/>
          <w:sz w:val="22"/>
          <w:szCs w:val="22"/>
        </w:rPr>
      </w:pPr>
    </w:p>
    <w:sectPr w:rsidR="0037381E">
      <w:headerReference w:type="even" r:id="rId9"/>
      <w:headerReference w:type="default" r:id="rId10"/>
      <w:footerReference w:type="default" r:id="rId11"/>
      <w:headerReference w:type="first" r:id="rId12"/>
      <w:footerReference w:type="first" r:id="rId13"/>
      <w:pgSz w:w="12240" w:h="15840"/>
      <w:pgMar w:top="1418" w:right="1418" w:bottom="1418" w:left="1701" w:header="624" w:footer="62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D98" w:rsidRDefault="00B72D98">
      <w:r>
        <w:separator/>
      </w:r>
    </w:p>
  </w:endnote>
  <w:endnote w:type="continuationSeparator" w:id="0">
    <w:p w:rsidR="00B72D98" w:rsidRDefault="00B7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55946"/>
      <w:docPartObj>
        <w:docPartGallery w:val="Page Numbers (Top of Page)"/>
        <w:docPartUnique/>
      </w:docPartObj>
    </w:sdt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Av. Libertador, Edificio NEA, CANTV, Piso 5, Ala Norte, Caracas-Venezuela. Teléfonos: (0212) 500.7708.</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Unidad de Auditoría Interna.</w:t>
        </w:r>
      </w:p>
      <w:p w:rsidR="0037381E" w:rsidRDefault="00AF6C81">
        <w:pPr>
          <w:jc w:val="right"/>
          <w:rPr>
            <w:rFonts w:ascii="Arial" w:hAnsi="Arial" w:cs="Arial"/>
            <w:sz w:val="16"/>
            <w:szCs w:val="16"/>
          </w:rPr>
        </w:pPr>
        <w:r>
          <w:rPr>
            <w:rFonts w:ascii="Arial" w:hAnsi="Arial" w:cs="Arial"/>
            <w:color w:val="0000FF"/>
            <w:sz w:val="16"/>
            <w:szCs w:val="16"/>
          </w:rPr>
          <w:t xml:space="preserve">                                                         </w:t>
        </w:r>
        <w:r>
          <w:rPr>
            <w:rFonts w:ascii="Arial" w:hAnsi="Arial" w:cs="Arial"/>
            <w:sz w:val="16"/>
            <w:szCs w:val="16"/>
          </w:rPr>
          <w:t xml:space="preserve">Página </w:t>
        </w:r>
        <w:r>
          <w:rPr>
            <w:rFonts w:ascii="Arial" w:hAnsi="Arial" w:cs="Arial"/>
            <w:b/>
            <w:sz w:val="16"/>
            <w:szCs w:val="16"/>
          </w:rPr>
          <w:fldChar w:fldCharType="begin"/>
        </w:r>
        <w:r>
          <w:rPr>
            <w:rFonts w:ascii="Arial" w:hAnsi="Arial" w:cs="Arial"/>
            <w:b/>
            <w:sz w:val="16"/>
            <w:szCs w:val="16"/>
          </w:rPr>
          <w:instrText xml:space="preserve"> PAGE </w:instrText>
        </w:r>
        <w:r>
          <w:rPr>
            <w:rFonts w:ascii="Arial" w:hAnsi="Arial" w:cs="Arial"/>
            <w:b/>
            <w:sz w:val="16"/>
            <w:szCs w:val="16"/>
          </w:rPr>
          <w:fldChar w:fldCharType="separate"/>
        </w:r>
        <w:r w:rsidR="0085220A">
          <w:rPr>
            <w:rFonts w:ascii="Arial" w:hAnsi="Arial" w:cs="Arial"/>
            <w:b/>
            <w:noProof/>
            <w:sz w:val="16"/>
            <w:szCs w:val="16"/>
          </w:rPr>
          <w:t>7</w:t>
        </w:r>
        <w:r>
          <w:rPr>
            <w:rFonts w:ascii="Arial" w:hAnsi="Arial" w:cs="Arial"/>
            <w:b/>
            <w:sz w:val="16"/>
            <w:szCs w:val="16"/>
          </w:rPr>
          <w:fldChar w:fldCharType="end"/>
        </w:r>
        <w:r>
          <w:rPr>
            <w:rFonts w:ascii="Arial" w:hAnsi="Arial" w:cs="Arial"/>
            <w:sz w:val="16"/>
            <w:szCs w:val="16"/>
          </w:rPr>
          <w:t xml:space="preserve"> de </w:t>
        </w:r>
        <w:r>
          <w:rPr>
            <w:rFonts w:ascii="Arial" w:hAnsi="Arial" w:cs="Arial"/>
            <w:b/>
            <w:sz w:val="16"/>
            <w:szCs w:val="16"/>
          </w:rPr>
          <w:t>7</w:t>
        </w:r>
      </w:p>
    </w:sdtContent>
  </w:sdt>
  <w:p w:rsidR="0037381E" w:rsidRDefault="0037381E">
    <w:pPr>
      <w:pStyle w:val="Piedepgina"/>
      <w:rPr>
        <w:rFonts w:ascii="Arial" w:hAnsi="Arial" w:cs="Arial"/>
        <w:sz w:val="16"/>
        <w:szCs w:val="16"/>
      </w:rPr>
    </w:pPr>
  </w:p>
  <w:p w:rsidR="0037381E" w:rsidRDefault="0037381E">
    <w:pPr>
      <w:pStyle w:val="Standard"/>
      <w:tabs>
        <w:tab w:val="left" w:pos="6480"/>
      </w:tabs>
      <w:spacing w:line="200" w:lineRule="atLeast"/>
      <w:jc w:val="center"/>
      <w:rPr>
        <w:rFonts w:ascii="Arial" w:hAnsi="Arial" w:cs="Arial"/>
        <w:sz w:val="16"/>
        <w:szCs w:val="16"/>
      </w:rPr>
    </w:pPr>
  </w:p>
  <w:p w:rsidR="0037381E" w:rsidRDefault="0037381E">
    <w:pPr>
      <w:pStyle w:val="Piedepgina"/>
      <w:rPr>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8362"/>
      <w:docPartObj>
        <w:docPartGallery w:val="Page Numbers (Top of Page)"/>
        <w:docPartUnique/>
      </w:docPartObj>
    </w:sdtPr>
    <w:sdtEndPr>
      <w:rPr>
        <w:rFonts w:ascii="Arial Narrow" w:hAnsi="Arial Narrow"/>
      </w:r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Av. Libertador, Edificio NEA, CANTV, Piso 5, Ala Norte, Caracas-Venezuela. Teléfonos: (0212) 500.7708.</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Unidad de Auditoría Interna.</w:t>
        </w:r>
      </w:p>
      <w:p w:rsidR="0037381E" w:rsidRPr="00E953C1" w:rsidRDefault="00B72D98">
        <w:pPr>
          <w:jc w:val="right"/>
          <w:rPr>
            <w:rFonts w:ascii="Arial Narrow" w:hAnsi="Arial Narrow" w:cs="Arial"/>
            <w:sz w:val="16"/>
            <w:szCs w:val="16"/>
          </w:rPr>
        </w:pPr>
      </w:p>
    </w:sdtContent>
  </w:sdt>
  <w:p w:rsidR="0037381E" w:rsidRDefault="0037381E">
    <w:pPr>
      <w:pStyle w:val="Piedepgina"/>
      <w:rPr>
        <w:rFonts w:ascii="Arial" w:hAnsi="Arial" w:cs="Arial"/>
        <w:sz w:val="16"/>
        <w:szCs w:val="16"/>
      </w:rPr>
    </w:pPr>
  </w:p>
  <w:p w:rsidR="0037381E" w:rsidRDefault="0037381E">
    <w:pPr>
      <w:pStyle w:val="Piedepgina"/>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D98" w:rsidRDefault="00B72D98">
      <w:r>
        <w:separator/>
      </w:r>
    </w:p>
  </w:footnote>
  <w:footnote w:type="continuationSeparator" w:id="0">
    <w:p w:rsidR="00B72D98" w:rsidRDefault="00B72D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pStyle w:val="Encabezado"/>
      <w:ind w:right="360"/>
    </w:pPr>
    <w:r>
      <w:rPr>
        <w:noProof/>
      </w:rPr>
      <mc:AlternateContent>
        <mc:Choice Requires="wps">
          <w:drawing>
            <wp:anchor distT="0" distB="0" distL="0" distR="0" simplePos="0" relativeHeight="2"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Marco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id="Marco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D1wEAABoEAAAOAAAAZHJzL2Uyb0RvYy54bWysU9tu2zAMfR+wfxD0vjgpim4w4hTDig4D&#10;dinW7QNkWYoFSKJAqbHz96PkS9btqcNeZIoiD3kO6f3t6Cw7KYwGfMN3my1nykvojD82/OeP+zfv&#10;OItJ+E5Y8KrhZxX57eH1q/0QanUFPdhOISMQH+shNLxPKdRVFWWvnIgbCMrTowZ0ItEVj1WHYiB0&#10;Z6ur7famGgC7gCBVjOS9mx75oeBrrWT6pnVUidmGU2+pnFjONp/VYS/qI4rQGzm3If6hCyeMp6Ir&#10;1J1Igj2h+QvKGYkQQaeNBFeB1kaqwoHY7LZ/sHnsRVCFC4kTwypT/H+w8uvpAZnpGn7NmReORvRF&#10;oIRdVmYIsaaAx/CA8y2SmWmOGl3+EgE2FjXPq5pqTEySc3f99oYkl/QymYRRXVIDxvRRgWPZaDjS&#10;qIqC4vQ5pil0CcmVPNwba8kvauvZkKs9cxOy9VQg9zx1Wax0tmrK+a408SzNZkeUeGw/WGTTMtC2&#10;Uq/LShQwSsiBmsq+MHdOydmq7OAL89ekUh98WvOd8YB5NBPPiV0mmsZ2JHc2W+jONFP7ydOe5J1f&#10;DFyMdjGElz2QAJPyMbx/SiRzUf+CNBejBSzzm3+WvOG/30vU5Zc+/AIAAP//AwBQSwMEFAAGAAgA&#10;AAAhAGx/tdbUAAAAAQEAAA8AAABkcnMvZG93bnJldi54bWxMj0FPwzAMhe9I/IfISNxYsoEolKYT&#10;QuwOgwNHrzFNoHGqJtvKv8c7wcl6ftZ7n5v1HAd1oCmHxBaWCwOKuEsucG/h/W1zdQcqF2SHQ2Ky&#10;8EMZ1u35WYO1S0d+pcO29EpCONdowZcy1lrnzlPEvEgjsXifaYpYRE69dhMeJTwOemXMrY4YWBo8&#10;jvTkqfve7qMFHcJX9RGX5hk384u/r6pgQmXt5cX8+ACq0Fz+juGEL+jQCtMu7dllNViQR8ppq8Rb&#10;XYPaybgB3Tb6P3n7CwAA//8DAFBLAQItABQABgAIAAAAIQC2gziS/gAAAOEBAAATAAAAAAAAAAAA&#10;AAAAAAAAAABbQ29udGVudF9UeXBlc10ueG1sUEsBAi0AFAAGAAgAAAAhADj9If/WAAAAlAEAAAsA&#10;AAAAAAAAAAAAAAAALwEAAF9yZWxzLy5yZWxzUEsBAi0AFAAGAAgAAAAhALVXVUPXAQAAGgQAAA4A&#10;AAAAAAAAAAAAAAAALgIAAGRycy9lMm9Eb2MueG1sUEsBAi0AFAAGAAgAAAAhAGx/tdbUAAAAAQEA&#10;AA8AAAAAAAAAAAAAAAAAMQQAAGRycy9kb3ducmV2LnhtbFBLBQYAAAAABAAEAPMAAAAyBQAAAAA=&#10;" o:allowincell="f" filled="f" stroked="f" strokeweight="0">
              <v:textbox style="mso-fit-shape-to-text:t" inset="0,0,0,0">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spacing w:line="276" w:lineRule="auto"/>
    </w:pPr>
    <w:r>
      <w:rPr>
        <w:noProof/>
      </w:rPr>
      <w:drawing>
        <wp:anchor distT="0" distB="0" distL="114300" distR="114300" simplePos="0" relativeHeight="251661312" behindDoc="0" locked="0" layoutInCell="0" allowOverlap="1">
          <wp:simplePos x="0" y="0"/>
          <wp:positionH relativeFrom="column">
            <wp:posOffset>12065</wp:posOffset>
          </wp:positionH>
          <wp:positionV relativeFrom="paragraph">
            <wp:posOffset>-277495</wp:posOffset>
          </wp:positionV>
          <wp:extent cx="5753100" cy="492760"/>
          <wp:effectExtent l="0" t="0" r="0" b="0"/>
          <wp:wrapTight wrapText="bothSides">
            <wp:wrapPolygon edited="0">
              <wp:start x="20237" y="1650"/>
              <wp:lineTo x="-68" y="1650"/>
              <wp:lineTo x="-68" y="19185"/>
              <wp:lineTo x="4931" y="20017"/>
              <wp:lineTo x="20094" y="20017"/>
              <wp:lineTo x="21594" y="20017"/>
              <wp:lineTo x="21594" y="5822"/>
              <wp:lineTo x="21381" y="1650"/>
              <wp:lineTo x="20952" y="1650"/>
              <wp:lineTo x="20237" y="1650"/>
            </wp:wrapPolygon>
          </wp:wrapTight>
          <wp:docPr id="5"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Nuevo Cintillo Institucional (2)"/>
                  <pic:cNvPicPr>
                    <a:picLocks noChangeAspect="1" noChangeArrowheads="1"/>
                  </pic:cNvPicPr>
                </pic:nvPicPr>
                <pic:blipFill>
                  <a:blip r:embed="rId1"/>
                  <a:stretch>
                    <a:fillRect/>
                  </a:stretch>
                </pic:blipFill>
                <pic:spPr bwMode="auto">
                  <a:xfrm>
                    <a:off x="0" y="0"/>
                    <a:ext cx="5753100" cy="492760"/>
                  </a:xfrm>
                  <a:prstGeom prst="rect">
                    <a:avLst/>
                  </a:prstGeom>
                </pic:spPr>
              </pic:pic>
            </a:graphicData>
          </a:graphic>
        </wp:anchor>
      </w:drawing>
    </w:r>
  </w:p>
  <w:p w:rsidR="0037381E" w:rsidRPr="00A842D3" w:rsidRDefault="00DE110A">
    <w:pPr>
      <w:ind w:firstLine="708"/>
      <w:jc w:val="right"/>
      <w:rPr>
        <w:rFonts w:ascii="Arial Narrow" w:hAnsi="Arial Narrow" w:cs="Arial"/>
        <w:b/>
        <w:sz w:val="22"/>
        <w:szCs w:val="22"/>
      </w:rPr>
    </w:pPr>
    <w:r w:rsidRPr="00A842D3">
      <w:rPr>
        <w:rFonts w:ascii="Arial Narrow" w:hAnsi="Arial Narrow" w:cs="Arial"/>
        <w:sz w:val="14"/>
        <w:szCs w:val="14"/>
      </w:rPr>
      <w:t xml:space="preserve">INFORME DEL </w:t>
    </w:r>
    <w:r w:rsidRPr="00A842D3">
      <w:rPr>
        <w:rFonts w:ascii="Arial Narrow" w:hAnsi="Arial Narrow" w:cs="Arial"/>
        <w:sz w:val="14"/>
        <w:szCs w:val="16"/>
      </w:rPr>
      <w:t xml:space="preserve">AUDITOR  </w:t>
    </w:r>
    <w:r w:rsidRPr="00A842D3">
      <w:rPr>
        <w:rFonts w:ascii="Arial Narrow" w:hAnsi="Arial Narrow" w:cs="Arial"/>
        <w:color w:val="000000" w:themeColor="text1"/>
        <w:sz w:val="14"/>
        <w:szCs w:val="16"/>
        <w:lang w:val="es-VE"/>
      </w:rPr>
      <w:t>${code}</w:t>
    </w:r>
  </w:p>
  <w:p w:rsidR="0037381E" w:rsidRPr="00A842D3" w:rsidRDefault="0037381E">
    <w:pPr>
      <w:pBdr>
        <w:bottom w:val="thinThickSmallGap" w:sz="24" w:space="1" w:color="000000"/>
      </w:pBdr>
      <w:rPr>
        <w:rFonts w:ascii="Arial Narrow" w:hAnsi="Arial Narrow" w:cs="Arial"/>
        <w:sz w:val="2"/>
        <w:szCs w:val="2"/>
      </w:rPr>
    </w:pPr>
  </w:p>
  <w:p w:rsidR="0037381E" w:rsidRPr="00A842D3" w:rsidRDefault="0037381E">
    <w:pPr>
      <w:pBdr>
        <w:bottom w:val="thinThickSmallGap" w:sz="24" w:space="1" w:color="000000"/>
      </w:pBdr>
      <w:rPr>
        <w:rFonts w:ascii="Arial Narrow" w:hAnsi="Arial Narrow" w:cs="Arial"/>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37381E">
    <w:pPr>
      <w:spacing w:line="276" w:lineRule="auto"/>
    </w:pPr>
  </w:p>
  <w:p w:rsidR="0037381E" w:rsidRDefault="0037381E">
    <w:pPr>
      <w:pBdr>
        <w:bottom w:val="thinThickSmallGap" w:sz="24" w:space="1" w:color="000000"/>
      </w:pBdr>
      <w:spacing w:line="276" w:lineRule="auto"/>
      <w:ind w:right="-91"/>
      <w:jc w:val="right"/>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52E"/>
    <w:multiLevelType w:val="hybridMultilevel"/>
    <w:tmpl w:val="3DB2389A"/>
    <w:lvl w:ilvl="0" w:tplc="200A000B">
      <w:start w:val="1"/>
      <w:numFmt w:val="bullet"/>
      <w:lvlText w:val=""/>
      <w:lvlJc w:val="left"/>
      <w:pPr>
        <w:ind w:left="1080" w:hanging="360"/>
      </w:pPr>
      <w:rPr>
        <w:rFonts w:ascii="Wingdings" w:hAnsi="Wingdings" w:hint="default"/>
      </w:rPr>
    </w:lvl>
    <w:lvl w:ilvl="1" w:tplc="200A0003">
      <w:start w:val="1"/>
      <w:numFmt w:val="bullet"/>
      <w:lvlText w:val="o"/>
      <w:lvlJc w:val="left"/>
      <w:pPr>
        <w:ind w:left="1800" w:hanging="360"/>
      </w:pPr>
      <w:rPr>
        <w:rFonts w:ascii="Courier New" w:hAnsi="Courier New" w:cs="Courier New" w:hint="default"/>
      </w:rPr>
    </w:lvl>
    <w:lvl w:ilvl="2" w:tplc="200A0005">
      <w:start w:val="1"/>
      <w:numFmt w:val="bullet"/>
      <w:lvlText w:val=""/>
      <w:lvlJc w:val="left"/>
      <w:pPr>
        <w:ind w:left="2520" w:hanging="360"/>
      </w:pPr>
      <w:rPr>
        <w:rFonts w:ascii="Wingdings" w:hAnsi="Wingdings" w:hint="default"/>
      </w:rPr>
    </w:lvl>
    <w:lvl w:ilvl="3" w:tplc="200A0001">
      <w:start w:val="1"/>
      <w:numFmt w:val="bullet"/>
      <w:lvlText w:val=""/>
      <w:lvlJc w:val="left"/>
      <w:pPr>
        <w:ind w:left="3240" w:hanging="360"/>
      </w:pPr>
      <w:rPr>
        <w:rFonts w:ascii="Symbol" w:hAnsi="Symbol" w:hint="default"/>
      </w:rPr>
    </w:lvl>
    <w:lvl w:ilvl="4" w:tplc="200A0003">
      <w:start w:val="1"/>
      <w:numFmt w:val="bullet"/>
      <w:lvlText w:val="o"/>
      <w:lvlJc w:val="left"/>
      <w:pPr>
        <w:ind w:left="3960" w:hanging="360"/>
      </w:pPr>
      <w:rPr>
        <w:rFonts w:ascii="Courier New" w:hAnsi="Courier New" w:cs="Courier New" w:hint="default"/>
      </w:rPr>
    </w:lvl>
    <w:lvl w:ilvl="5" w:tplc="200A0005">
      <w:start w:val="1"/>
      <w:numFmt w:val="bullet"/>
      <w:lvlText w:val=""/>
      <w:lvlJc w:val="left"/>
      <w:pPr>
        <w:ind w:left="4680" w:hanging="360"/>
      </w:pPr>
      <w:rPr>
        <w:rFonts w:ascii="Wingdings" w:hAnsi="Wingdings" w:hint="default"/>
      </w:rPr>
    </w:lvl>
    <w:lvl w:ilvl="6" w:tplc="200A0001">
      <w:start w:val="1"/>
      <w:numFmt w:val="bullet"/>
      <w:lvlText w:val=""/>
      <w:lvlJc w:val="left"/>
      <w:pPr>
        <w:ind w:left="5400" w:hanging="360"/>
      </w:pPr>
      <w:rPr>
        <w:rFonts w:ascii="Symbol" w:hAnsi="Symbol" w:hint="default"/>
      </w:rPr>
    </w:lvl>
    <w:lvl w:ilvl="7" w:tplc="200A0003">
      <w:start w:val="1"/>
      <w:numFmt w:val="bullet"/>
      <w:lvlText w:val="o"/>
      <w:lvlJc w:val="left"/>
      <w:pPr>
        <w:ind w:left="6120" w:hanging="360"/>
      </w:pPr>
      <w:rPr>
        <w:rFonts w:ascii="Courier New" w:hAnsi="Courier New" w:cs="Courier New" w:hint="default"/>
      </w:rPr>
    </w:lvl>
    <w:lvl w:ilvl="8" w:tplc="200A0005">
      <w:start w:val="1"/>
      <w:numFmt w:val="bullet"/>
      <w:lvlText w:val=""/>
      <w:lvlJc w:val="left"/>
      <w:pPr>
        <w:ind w:left="6840" w:hanging="360"/>
      </w:pPr>
      <w:rPr>
        <w:rFonts w:ascii="Wingdings" w:hAnsi="Wingdings" w:hint="default"/>
      </w:rPr>
    </w:lvl>
  </w:abstractNum>
  <w:abstractNum w:abstractNumId="1" w15:restartNumberingAfterBreak="0">
    <w:nsid w:val="146E6C80"/>
    <w:multiLevelType w:val="hybridMultilevel"/>
    <w:tmpl w:val="59EAF6EC"/>
    <w:lvl w:ilvl="0" w:tplc="0C0A0005">
      <w:start w:val="1"/>
      <w:numFmt w:val="bullet"/>
      <w:lvlText w:val=""/>
      <w:lvlJc w:val="left"/>
      <w:pPr>
        <w:ind w:left="2370" w:hanging="360"/>
      </w:pPr>
      <w:rPr>
        <w:rFonts w:ascii="Wingdings" w:hAnsi="Wingdings" w:hint="default"/>
      </w:rPr>
    </w:lvl>
    <w:lvl w:ilvl="1" w:tplc="0C0A0003" w:tentative="1">
      <w:start w:val="1"/>
      <w:numFmt w:val="bullet"/>
      <w:lvlText w:val="o"/>
      <w:lvlJc w:val="left"/>
      <w:pPr>
        <w:ind w:left="3090" w:hanging="360"/>
      </w:pPr>
      <w:rPr>
        <w:rFonts w:ascii="Courier New" w:hAnsi="Courier New" w:cs="Courier New" w:hint="default"/>
      </w:rPr>
    </w:lvl>
    <w:lvl w:ilvl="2" w:tplc="0C0A0005" w:tentative="1">
      <w:start w:val="1"/>
      <w:numFmt w:val="bullet"/>
      <w:lvlText w:val=""/>
      <w:lvlJc w:val="left"/>
      <w:pPr>
        <w:ind w:left="3810" w:hanging="360"/>
      </w:pPr>
      <w:rPr>
        <w:rFonts w:ascii="Wingdings" w:hAnsi="Wingdings" w:hint="default"/>
      </w:rPr>
    </w:lvl>
    <w:lvl w:ilvl="3" w:tplc="0C0A0001" w:tentative="1">
      <w:start w:val="1"/>
      <w:numFmt w:val="bullet"/>
      <w:lvlText w:val=""/>
      <w:lvlJc w:val="left"/>
      <w:pPr>
        <w:ind w:left="4530" w:hanging="360"/>
      </w:pPr>
      <w:rPr>
        <w:rFonts w:ascii="Symbol" w:hAnsi="Symbol" w:hint="default"/>
      </w:rPr>
    </w:lvl>
    <w:lvl w:ilvl="4" w:tplc="0C0A0003" w:tentative="1">
      <w:start w:val="1"/>
      <w:numFmt w:val="bullet"/>
      <w:lvlText w:val="o"/>
      <w:lvlJc w:val="left"/>
      <w:pPr>
        <w:ind w:left="5250" w:hanging="360"/>
      </w:pPr>
      <w:rPr>
        <w:rFonts w:ascii="Courier New" w:hAnsi="Courier New" w:cs="Courier New" w:hint="default"/>
      </w:rPr>
    </w:lvl>
    <w:lvl w:ilvl="5" w:tplc="0C0A0005" w:tentative="1">
      <w:start w:val="1"/>
      <w:numFmt w:val="bullet"/>
      <w:lvlText w:val=""/>
      <w:lvlJc w:val="left"/>
      <w:pPr>
        <w:ind w:left="5970" w:hanging="360"/>
      </w:pPr>
      <w:rPr>
        <w:rFonts w:ascii="Wingdings" w:hAnsi="Wingdings" w:hint="default"/>
      </w:rPr>
    </w:lvl>
    <w:lvl w:ilvl="6" w:tplc="0C0A0001" w:tentative="1">
      <w:start w:val="1"/>
      <w:numFmt w:val="bullet"/>
      <w:lvlText w:val=""/>
      <w:lvlJc w:val="left"/>
      <w:pPr>
        <w:ind w:left="6690" w:hanging="360"/>
      </w:pPr>
      <w:rPr>
        <w:rFonts w:ascii="Symbol" w:hAnsi="Symbol" w:hint="default"/>
      </w:rPr>
    </w:lvl>
    <w:lvl w:ilvl="7" w:tplc="0C0A0003" w:tentative="1">
      <w:start w:val="1"/>
      <w:numFmt w:val="bullet"/>
      <w:lvlText w:val="o"/>
      <w:lvlJc w:val="left"/>
      <w:pPr>
        <w:ind w:left="7410" w:hanging="360"/>
      </w:pPr>
      <w:rPr>
        <w:rFonts w:ascii="Courier New" w:hAnsi="Courier New" w:cs="Courier New" w:hint="default"/>
      </w:rPr>
    </w:lvl>
    <w:lvl w:ilvl="8" w:tplc="0C0A0005" w:tentative="1">
      <w:start w:val="1"/>
      <w:numFmt w:val="bullet"/>
      <w:lvlText w:val=""/>
      <w:lvlJc w:val="left"/>
      <w:pPr>
        <w:ind w:left="8130" w:hanging="360"/>
      </w:pPr>
      <w:rPr>
        <w:rFonts w:ascii="Wingdings" w:hAnsi="Wingdings" w:hint="default"/>
      </w:rPr>
    </w:lvl>
  </w:abstractNum>
  <w:abstractNum w:abstractNumId="2" w15:restartNumberingAfterBreak="0">
    <w:nsid w:val="172B129C"/>
    <w:multiLevelType w:val="multilevel"/>
    <w:tmpl w:val="52EA36AA"/>
    <w:lvl w:ilvl="0">
      <w:start w:val="1"/>
      <w:numFmt w:val="decimal"/>
      <w:lvlText w:val="%1)"/>
      <w:lvlJc w:val="left"/>
      <w:pPr>
        <w:tabs>
          <w:tab w:val="num" w:pos="0"/>
        </w:tabs>
        <w:ind w:left="2136" w:hanging="360"/>
      </w:pPr>
    </w:lvl>
    <w:lvl w:ilvl="1">
      <w:start w:val="1"/>
      <w:numFmt w:val="lowerLetter"/>
      <w:lvlText w:val="%2."/>
      <w:lvlJc w:val="left"/>
      <w:pPr>
        <w:tabs>
          <w:tab w:val="num" w:pos="0"/>
        </w:tabs>
        <w:ind w:left="2856" w:hanging="360"/>
      </w:pPr>
    </w:lvl>
    <w:lvl w:ilvl="2">
      <w:start w:val="1"/>
      <w:numFmt w:val="lowerRoman"/>
      <w:lvlText w:val="%3."/>
      <w:lvlJc w:val="right"/>
      <w:pPr>
        <w:tabs>
          <w:tab w:val="num" w:pos="0"/>
        </w:tabs>
        <w:ind w:left="3576" w:hanging="180"/>
      </w:pPr>
    </w:lvl>
    <w:lvl w:ilvl="3">
      <w:start w:val="1"/>
      <w:numFmt w:val="decimal"/>
      <w:lvlText w:val="%4."/>
      <w:lvlJc w:val="left"/>
      <w:pPr>
        <w:tabs>
          <w:tab w:val="num" w:pos="0"/>
        </w:tabs>
        <w:ind w:left="4296" w:hanging="360"/>
      </w:pPr>
    </w:lvl>
    <w:lvl w:ilvl="4">
      <w:start w:val="1"/>
      <w:numFmt w:val="lowerLetter"/>
      <w:lvlText w:val="%5."/>
      <w:lvlJc w:val="left"/>
      <w:pPr>
        <w:tabs>
          <w:tab w:val="num" w:pos="0"/>
        </w:tabs>
        <w:ind w:left="5016" w:hanging="360"/>
      </w:pPr>
    </w:lvl>
    <w:lvl w:ilvl="5">
      <w:start w:val="1"/>
      <w:numFmt w:val="lowerRoman"/>
      <w:lvlText w:val="%6."/>
      <w:lvlJc w:val="right"/>
      <w:pPr>
        <w:tabs>
          <w:tab w:val="num" w:pos="0"/>
        </w:tabs>
        <w:ind w:left="5736" w:hanging="180"/>
      </w:pPr>
    </w:lvl>
    <w:lvl w:ilvl="6">
      <w:start w:val="1"/>
      <w:numFmt w:val="decimal"/>
      <w:lvlText w:val="%7."/>
      <w:lvlJc w:val="left"/>
      <w:pPr>
        <w:tabs>
          <w:tab w:val="num" w:pos="0"/>
        </w:tabs>
        <w:ind w:left="6456" w:hanging="360"/>
      </w:pPr>
    </w:lvl>
    <w:lvl w:ilvl="7">
      <w:start w:val="1"/>
      <w:numFmt w:val="lowerLetter"/>
      <w:lvlText w:val="%8."/>
      <w:lvlJc w:val="left"/>
      <w:pPr>
        <w:tabs>
          <w:tab w:val="num" w:pos="0"/>
        </w:tabs>
        <w:ind w:left="7176" w:hanging="360"/>
      </w:pPr>
    </w:lvl>
    <w:lvl w:ilvl="8">
      <w:start w:val="1"/>
      <w:numFmt w:val="lowerRoman"/>
      <w:lvlText w:val="%9."/>
      <w:lvlJc w:val="right"/>
      <w:pPr>
        <w:tabs>
          <w:tab w:val="num" w:pos="0"/>
        </w:tabs>
        <w:ind w:left="7896" w:hanging="180"/>
      </w:pPr>
    </w:lvl>
  </w:abstractNum>
  <w:abstractNum w:abstractNumId="3" w15:restartNumberingAfterBreak="0">
    <w:nsid w:val="1BFD7BD9"/>
    <w:multiLevelType w:val="hybridMultilevel"/>
    <w:tmpl w:val="F6F22BE8"/>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1CEB1479"/>
    <w:multiLevelType w:val="hybridMultilevel"/>
    <w:tmpl w:val="5DC010CC"/>
    <w:lvl w:ilvl="0" w:tplc="B8087D6E">
      <w:start w:val="1"/>
      <w:numFmt w:val="bullet"/>
      <w:lvlText w:val=""/>
      <w:lvlJc w:val="left"/>
      <w:pPr>
        <w:ind w:left="360" w:hanging="360"/>
      </w:pPr>
      <w:rPr>
        <w:rFonts w:ascii="Symbol" w:hAnsi="Symbol" w:hint="default"/>
        <w:color w:val="000000"/>
      </w:rPr>
    </w:lvl>
    <w:lvl w:ilvl="1" w:tplc="0C0A0003">
      <w:start w:val="1"/>
      <w:numFmt w:val="bullet"/>
      <w:lvlText w:val="o"/>
      <w:lvlJc w:val="left"/>
      <w:pPr>
        <w:ind w:left="1080" w:hanging="360"/>
      </w:pPr>
      <w:rPr>
        <w:rFonts w:ascii="Courier New" w:hAnsi="Courier New" w:cs="Times New Roman"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Times New Roman"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Times New Roman" w:hint="default"/>
      </w:rPr>
    </w:lvl>
    <w:lvl w:ilvl="8" w:tplc="0C0A0005">
      <w:start w:val="1"/>
      <w:numFmt w:val="bullet"/>
      <w:lvlText w:val=""/>
      <w:lvlJc w:val="left"/>
      <w:pPr>
        <w:ind w:left="6120" w:hanging="360"/>
      </w:pPr>
      <w:rPr>
        <w:rFonts w:ascii="Wingdings" w:hAnsi="Wingdings" w:hint="default"/>
      </w:rPr>
    </w:lvl>
  </w:abstractNum>
  <w:abstractNum w:abstractNumId="5" w15:restartNumberingAfterBreak="0">
    <w:nsid w:val="35233D62"/>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3ED40CDD"/>
    <w:multiLevelType w:val="multilevel"/>
    <w:tmpl w:val="6308AD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047882"/>
    <w:multiLevelType w:val="hybridMultilevel"/>
    <w:tmpl w:val="C1346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8E34FF"/>
    <w:multiLevelType w:val="multilevel"/>
    <w:tmpl w:val="B7DE3E8A"/>
    <w:lvl w:ilvl="0">
      <w:start w:val="1"/>
      <w:numFmt w:val="decimal"/>
      <w:lvlText w:val="%1)"/>
      <w:lvlJc w:val="left"/>
      <w:pPr>
        <w:tabs>
          <w:tab w:val="num" w:pos="0"/>
        </w:tabs>
        <w:ind w:left="360" w:hanging="360"/>
      </w:pPr>
      <w:rPr>
        <w:rFonts w:ascii="Arial Narrow" w:hAnsi="Arial Narrow"/>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4B110D8A"/>
    <w:multiLevelType w:val="hybridMultilevel"/>
    <w:tmpl w:val="6DE6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786334"/>
    <w:multiLevelType w:val="multilevel"/>
    <w:tmpl w:val="D292DD2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i w:val="0"/>
        <w:sz w:val="22"/>
        <w:szCs w:val="22"/>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080" w:hanging="108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440" w:hanging="1440"/>
      </w:pPr>
      <w:rPr>
        <w:rFonts w:hint="default"/>
        <w:i w:val="0"/>
      </w:rPr>
    </w:lvl>
  </w:abstractNum>
  <w:abstractNum w:abstractNumId="11" w15:restartNumberingAfterBreak="0">
    <w:nsid w:val="4FFE0042"/>
    <w:multiLevelType w:val="hybridMultilevel"/>
    <w:tmpl w:val="31107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9D3D6B"/>
    <w:multiLevelType w:val="multilevel"/>
    <w:tmpl w:val="EC7E6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0781F75"/>
    <w:multiLevelType w:val="multilevel"/>
    <w:tmpl w:val="0AEAFE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9B21F69"/>
    <w:multiLevelType w:val="hybridMultilevel"/>
    <w:tmpl w:val="F8E86B6C"/>
    <w:lvl w:ilvl="0" w:tplc="200A000D">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5" w15:restartNumberingAfterBreak="0">
    <w:nsid w:val="72D81891"/>
    <w:multiLevelType w:val="multilevel"/>
    <w:tmpl w:val="30B05BE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7DA15134"/>
    <w:multiLevelType w:val="multilevel"/>
    <w:tmpl w:val="DA7AF56C"/>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6"/>
  </w:num>
  <w:num w:numId="2">
    <w:abstractNumId w:val="8"/>
  </w:num>
  <w:num w:numId="3">
    <w:abstractNumId w:val="13"/>
  </w:num>
  <w:num w:numId="4">
    <w:abstractNumId w:val="16"/>
  </w:num>
  <w:num w:numId="5">
    <w:abstractNumId w:val="15"/>
  </w:num>
  <w:num w:numId="6">
    <w:abstractNumId w:val="5"/>
  </w:num>
  <w:num w:numId="7">
    <w:abstractNumId w:val="2"/>
  </w:num>
  <w:num w:numId="8">
    <w:abstractNumId w:val="12"/>
  </w:num>
  <w:num w:numId="9">
    <w:abstractNumId w:val="11"/>
  </w:num>
  <w:num w:numId="10">
    <w:abstractNumId w:val="0"/>
  </w:num>
  <w:num w:numId="11">
    <w:abstractNumId w:val="14"/>
  </w:num>
  <w:num w:numId="12">
    <w:abstractNumId w:val="4"/>
  </w:num>
  <w:num w:numId="13">
    <w:abstractNumId w:val="4"/>
  </w:num>
  <w:num w:numId="14">
    <w:abstractNumId w:val="3"/>
  </w:num>
  <w:num w:numId="15">
    <w:abstractNumId w:val="1"/>
  </w:num>
  <w:num w:numId="16">
    <w:abstractNumId w:val="7"/>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1E"/>
    <w:rsid w:val="00041295"/>
    <w:rsid w:val="00081018"/>
    <w:rsid w:val="000B7801"/>
    <w:rsid w:val="000D0114"/>
    <w:rsid w:val="001544B3"/>
    <w:rsid w:val="001D2A29"/>
    <w:rsid w:val="00236375"/>
    <w:rsid w:val="00284E15"/>
    <w:rsid w:val="002A64B7"/>
    <w:rsid w:val="002B6B0E"/>
    <w:rsid w:val="002F3C3F"/>
    <w:rsid w:val="00315785"/>
    <w:rsid w:val="00346F48"/>
    <w:rsid w:val="00363176"/>
    <w:rsid w:val="003679AF"/>
    <w:rsid w:val="0037381E"/>
    <w:rsid w:val="00384816"/>
    <w:rsid w:val="003860D8"/>
    <w:rsid w:val="003E1B5D"/>
    <w:rsid w:val="003F2EC4"/>
    <w:rsid w:val="00404082"/>
    <w:rsid w:val="0041145C"/>
    <w:rsid w:val="004665D5"/>
    <w:rsid w:val="004762B2"/>
    <w:rsid w:val="004A3EA5"/>
    <w:rsid w:val="004B21C8"/>
    <w:rsid w:val="004D54CD"/>
    <w:rsid w:val="004D5BA6"/>
    <w:rsid w:val="00530A04"/>
    <w:rsid w:val="00535D63"/>
    <w:rsid w:val="0057781A"/>
    <w:rsid w:val="00584DC9"/>
    <w:rsid w:val="005A3ED2"/>
    <w:rsid w:val="005B739F"/>
    <w:rsid w:val="00605752"/>
    <w:rsid w:val="00607B07"/>
    <w:rsid w:val="006937E9"/>
    <w:rsid w:val="006E4787"/>
    <w:rsid w:val="006F0E88"/>
    <w:rsid w:val="00760DD1"/>
    <w:rsid w:val="00775A3B"/>
    <w:rsid w:val="00776A2B"/>
    <w:rsid w:val="007932FC"/>
    <w:rsid w:val="007B2B0B"/>
    <w:rsid w:val="007B6B09"/>
    <w:rsid w:val="007C1DBB"/>
    <w:rsid w:val="007D7F27"/>
    <w:rsid w:val="00801059"/>
    <w:rsid w:val="00836F59"/>
    <w:rsid w:val="0085220A"/>
    <w:rsid w:val="00853957"/>
    <w:rsid w:val="00854B2A"/>
    <w:rsid w:val="00894C2A"/>
    <w:rsid w:val="008D714F"/>
    <w:rsid w:val="008E253F"/>
    <w:rsid w:val="009066E0"/>
    <w:rsid w:val="00910E38"/>
    <w:rsid w:val="00941828"/>
    <w:rsid w:val="00955512"/>
    <w:rsid w:val="00981B17"/>
    <w:rsid w:val="00987F7B"/>
    <w:rsid w:val="0099396A"/>
    <w:rsid w:val="009A3EFB"/>
    <w:rsid w:val="009E7DA0"/>
    <w:rsid w:val="00A1559B"/>
    <w:rsid w:val="00A66FCF"/>
    <w:rsid w:val="00A842D3"/>
    <w:rsid w:val="00AA141D"/>
    <w:rsid w:val="00AD14A0"/>
    <w:rsid w:val="00AF6C81"/>
    <w:rsid w:val="00AF71EA"/>
    <w:rsid w:val="00B15327"/>
    <w:rsid w:val="00B24ED7"/>
    <w:rsid w:val="00B30BBB"/>
    <w:rsid w:val="00B3604F"/>
    <w:rsid w:val="00B72D98"/>
    <w:rsid w:val="00B80805"/>
    <w:rsid w:val="00B8450E"/>
    <w:rsid w:val="00BE2577"/>
    <w:rsid w:val="00BF6EEC"/>
    <w:rsid w:val="00C35601"/>
    <w:rsid w:val="00C60B22"/>
    <w:rsid w:val="00C86A7B"/>
    <w:rsid w:val="00CC6FC6"/>
    <w:rsid w:val="00D26F2F"/>
    <w:rsid w:val="00D4253E"/>
    <w:rsid w:val="00D53EB1"/>
    <w:rsid w:val="00DB5597"/>
    <w:rsid w:val="00DB5E60"/>
    <w:rsid w:val="00DC02D9"/>
    <w:rsid w:val="00DE110A"/>
    <w:rsid w:val="00E31785"/>
    <w:rsid w:val="00E41F50"/>
    <w:rsid w:val="00E91407"/>
    <w:rsid w:val="00E95035"/>
    <w:rsid w:val="00E953C1"/>
    <w:rsid w:val="00EB099E"/>
    <w:rsid w:val="00EB1119"/>
    <w:rsid w:val="00F1055A"/>
    <w:rsid w:val="00F803AD"/>
    <w:rsid w:val="00F8080C"/>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7078"/>
  <w15:docId w15:val="{18EFF587-2E16-4FC6-A203-516D971F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31"/>
    <w:rPr>
      <w:sz w:val="24"/>
      <w:szCs w:val="24"/>
      <w:lang w:val="es-ES" w:eastAsia="es-ES"/>
    </w:rPr>
  </w:style>
  <w:style w:type="paragraph" w:styleId="Ttulo4">
    <w:name w:val="heading 4"/>
    <w:basedOn w:val="Normal"/>
    <w:next w:val="Normal"/>
    <w:link w:val="Ttulo4Car"/>
    <w:qFormat/>
    <w:rsid w:val="00CF1AA9"/>
    <w:pPr>
      <w:keepNext/>
      <w:overflowPunct w:val="0"/>
      <w:textAlignment w:val="baseline"/>
      <w:outlineLvl w:val="3"/>
    </w:pPr>
    <w:rPr>
      <w:rFonts w:ascii="Arial" w:hAnsi="Arial"/>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E50040"/>
  </w:style>
  <w:style w:type="character" w:styleId="Refdenotaalpi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semiHidden/>
    <w:qFormat/>
    <w:rsid w:val="00862416"/>
    <w:rPr>
      <w:vertAlign w:val="superscript"/>
    </w:rPr>
  </w:style>
  <w:style w:type="character" w:styleId="Refdecomentario">
    <w:name w:val="annotation reference"/>
    <w:uiPriority w:val="99"/>
    <w:semiHidden/>
    <w:qFormat/>
    <w:rsid w:val="000D0896"/>
    <w:rPr>
      <w:sz w:val="16"/>
      <w:szCs w:val="16"/>
    </w:rPr>
  </w:style>
  <w:style w:type="character" w:customStyle="1" w:styleId="EncabezadoCar">
    <w:name w:val="Encabezado Car"/>
    <w:link w:val="Encabezado"/>
    <w:uiPriority w:val="99"/>
    <w:qFormat/>
    <w:rsid w:val="00E7513F"/>
    <w:rPr>
      <w:sz w:val="24"/>
      <w:szCs w:val="24"/>
      <w:lang w:val="es-ES" w:eastAsia="es-ES" w:bidi="ar-SA"/>
    </w:rPr>
  </w:style>
  <w:style w:type="character" w:customStyle="1" w:styleId="TextonotapieCar">
    <w:name w:val="Texto nota pie Car"/>
    <w:link w:val="Textonotapie"/>
    <w:semiHidden/>
    <w:qFormat/>
    <w:rsid w:val="00FF5FA5"/>
    <w:rPr>
      <w:lang w:val="es-ES" w:eastAsia="es-ES" w:bidi="ar-SA"/>
    </w:rPr>
  </w:style>
  <w:style w:type="character" w:customStyle="1" w:styleId="Ttulo4Car">
    <w:name w:val="Título 4 Car"/>
    <w:link w:val="Ttulo4"/>
    <w:qFormat/>
    <w:rsid w:val="005109CF"/>
    <w:rPr>
      <w:rFonts w:ascii="Arial" w:hAnsi="Arial"/>
      <w:sz w:val="24"/>
      <w:lang w:val="es-ES_tradnl" w:eastAsia="ar-SA"/>
    </w:rPr>
  </w:style>
  <w:style w:type="character" w:customStyle="1" w:styleId="TextocomentarioCar">
    <w:name w:val="Texto comentario Car"/>
    <w:link w:val="Textocomentario"/>
    <w:uiPriority w:val="99"/>
    <w:qFormat/>
    <w:rsid w:val="00A46D65"/>
    <w:rPr>
      <w:lang w:val="es-ES" w:eastAsia="es-ES"/>
    </w:rPr>
  </w:style>
  <w:style w:type="character" w:styleId="Textoennegrita">
    <w:name w:val="Strong"/>
    <w:uiPriority w:val="22"/>
    <w:qFormat/>
    <w:rsid w:val="008272E9"/>
    <w:rPr>
      <w:b/>
      <w:bCs/>
    </w:rPr>
  </w:style>
  <w:style w:type="character" w:customStyle="1" w:styleId="apple-converted-space">
    <w:name w:val="apple-converted-space"/>
    <w:basedOn w:val="Fuentedeprrafopredeter"/>
    <w:qFormat/>
    <w:rsid w:val="008272E9"/>
  </w:style>
  <w:style w:type="character" w:customStyle="1" w:styleId="InternetLink">
    <w:name w:val="Internet Link"/>
    <w:uiPriority w:val="99"/>
    <w:unhideWhenUsed/>
    <w:qFormat/>
    <w:rsid w:val="00A75DDC"/>
    <w:rPr>
      <w:color w:val="0000FF"/>
      <w:u w:val="single"/>
    </w:rPr>
  </w:style>
  <w:style w:type="character" w:customStyle="1" w:styleId="PiedepginaCar">
    <w:name w:val="Pie de página Car"/>
    <w:link w:val="Piedepgina"/>
    <w:uiPriority w:val="99"/>
    <w:qFormat/>
    <w:rsid w:val="00DA3A13"/>
    <w:rPr>
      <w:sz w:val="24"/>
      <w:szCs w:val="24"/>
      <w:lang w:val="es-ES" w:eastAsia="es-ES"/>
    </w:rPr>
  </w:style>
  <w:style w:type="character" w:customStyle="1" w:styleId="TextosinformatoCar">
    <w:name w:val="Texto sin formato Car"/>
    <w:link w:val="Textosinformato"/>
    <w:uiPriority w:val="99"/>
    <w:qFormat/>
    <w:rsid w:val="001F4FAB"/>
    <w:rPr>
      <w:rFonts w:ascii="Consolas" w:eastAsia="Calibri" w:hAnsi="Consolas" w:cs="Times New Roman"/>
      <w:sz w:val="21"/>
      <w:szCs w:val="21"/>
      <w:lang w:val="es-VE" w:eastAsia="en-US"/>
    </w:rPr>
  </w:style>
  <w:style w:type="character" w:customStyle="1" w:styleId="hgkelc">
    <w:name w:val="hgkelc"/>
    <w:basedOn w:val="Fuentedeprrafopredeter"/>
    <w:qFormat/>
    <w:rsid w:val="00FD3CC5"/>
  </w:style>
  <w:style w:type="character" w:customStyle="1" w:styleId="Textoindependiente2Car">
    <w:name w:val="Texto independiente 2 Car"/>
    <w:basedOn w:val="Fuentedeprrafopredeter"/>
    <w:link w:val="Textoindependiente2"/>
    <w:uiPriority w:val="99"/>
    <w:qFormat/>
    <w:rsid w:val="00461183"/>
    <w:rPr>
      <w:rFonts w:ascii="Arial" w:hAnsi="Arial"/>
      <w:sz w:val="22"/>
      <w:szCs w:val="22"/>
      <w:lang w:val="es-ES" w:eastAsia="es-MX"/>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rsid w:val="00D70CD8"/>
    <w:pPr>
      <w:spacing w:line="360" w:lineRule="auto"/>
      <w:jc w:val="both"/>
    </w:pPr>
    <w:rPr>
      <w:szCs w:val="20"/>
      <w:lang w:val="es-VE"/>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styleId="Textodeglobo">
    <w:name w:val="Balloon Text"/>
    <w:basedOn w:val="Normal"/>
    <w:semiHidden/>
    <w:qFormat/>
    <w:rsid w:val="008347E2"/>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rsid w:val="00E50040"/>
    <w:pPr>
      <w:tabs>
        <w:tab w:val="center" w:pos="4252"/>
        <w:tab w:val="right" w:pos="8504"/>
      </w:tabs>
    </w:pPr>
  </w:style>
  <w:style w:type="paragraph" w:styleId="Piedepgina">
    <w:name w:val="footer"/>
    <w:basedOn w:val="Normal"/>
    <w:link w:val="PiedepginaCar"/>
    <w:uiPriority w:val="99"/>
    <w:rsid w:val="00AE40A1"/>
    <w:pPr>
      <w:tabs>
        <w:tab w:val="center" w:pos="4252"/>
        <w:tab w:val="right" w:pos="8504"/>
      </w:tabs>
    </w:pPr>
  </w:style>
  <w:style w:type="paragraph" w:styleId="Textonotapie">
    <w:name w:val="footnote text"/>
    <w:basedOn w:val="Normal"/>
    <w:link w:val="TextonotapieCar"/>
    <w:semiHidden/>
    <w:rsid w:val="00862416"/>
    <w:rPr>
      <w:sz w:val="20"/>
      <w:szCs w:val="20"/>
    </w:rPr>
  </w:style>
  <w:style w:type="paragraph" w:styleId="Textocomentario">
    <w:name w:val="annotation text"/>
    <w:basedOn w:val="Normal"/>
    <w:link w:val="TextocomentarioCar"/>
    <w:uiPriority w:val="99"/>
    <w:rsid w:val="000D0896"/>
    <w:rPr>
      <w:sz w:val="20"/>
      <w:szCs w:val="20"/>
    </w:rPr>
  </w:style>
  <w:style w:type="paragraph" w:styleId="Asuntodelcomentario">
    <w:name w:val="annotation subject"/>
    <w:basedOn w:val="Textocomentario"/>
    <w:next w:val="Textocomentario"/>
    <w:semiHidden/>
    <w:qFormat/>
    <w:rsid w:val="000D0896"/>
    <w:rPr>
      <w:b/>
      <w:bCs/>
    </w:rPr>
  </w:style>
  <w:style w:type="paragraph" w:styleId="Prrafodelista">
    <w:name w:val="List Paragraph"/>
    <w:basedOn w:val="Normal"/>
    <w:uiPriority w:val="34"/>
    <w:qFormat/>
    <w:rsid w:val="009C5BBF"/>
    <w:pPr>
      <w:ind w:left="708"/>
    </w:pPr>
  </w:style>
  <w:style w:type="paragraph" w:customStyle="1" w:styleId="Default">
    <w:name w:val="Default"/>
    <w:qFormat/>
    <w:rsid w:val="00D950A9"/>
    <w:rPr>
      <w:color w:val="000000"/>
      <w:sz w:val="24"/>
      <w:szCs w:val="24"/>
    </w:rPr>
  </w:style>
  <w:style w:type="paragraph" w:styleId="Textosinformato">
    <w:name w:val="Plain Text"/>
    <w:basedOn w:val="Normal"/>
    <w:link w:val="TextosinformatoCar"/>
    <w:uiPriority w:val="99"/>
    <w:unhideWhenUsed/>
    <w:qFormat/>
    <w:rsid w:val="001F4FAB"/>
    <w:rPr>
      <w:rFonts w:ascii="Consolas" w:eastAsia="Calibri" w:hAnsi="Consolas"/>
      <w:sz w:val="21"/>
      <w:szCs w:val="21"/>
      <w:lang w:val="es-VE" w:eastAsia="en-US"/>
    </w:rPr>
  </w:style>
  <w:style w:type="paragraph" w:styleId="Sinespaciado">
    <w:name w:val="No Spacing"/>
    <w:uiPriority w:val="1"/>
    <w:qFormat/>
    <w:rsid w:val="00102DE2"/>
    <w:rPr>
      <w:rFonts w:ascii="Calibri" w:eastAsia="Calibri" w:hAnsi="Calibri"/>
      <w:sz w:val="22"/>
      <w:szCs w:val="22"/>
      <w:lang w:eastAsia="en-US"/>
    </w:rPr>
  </w:style>
  <w:style w:type="paragraph" w:customStyle="1" w:styleId="Standard">
    <w:name w:val="Standard"/>
    <w:qFormat/>
    <w:rsid w:val="00102DE2"/>
    <w:pPr>
      <w:textAlignment w:val="baseline"/>
    </w:pPr>
    <w:rPr>
      <w:rFonts w:ascii="Tahoma" w:hAnsi="Tahoma" w:cs="Tahoma"/>
      <w:kern w:val="2"/>
      <w:sz w:val="24"/>
      <w:szCs w:val="24"/>
      <w:lang w:val="es-ES" w:eastAsia="zh-CN"/>
    </w:rPr>
  </w:style>
  <w:style w:type="paragraph" w:styleId="Textoindependiente2">
    <w:name w:val="Body Text 2"/>
    <w:basedOn w:val="Normal"/>
    <w:link w:val="Textoindependiente2Car"/>
    <w:uiPriority w:val="99"/>
    <w:qFormat/>
    <w:rsid w:val="00461183"/>
    <w:pPr>
      <w:jc w:val="both"/>
    </w:pPr>
    <w:rPr>
      <w:rFonts w:ascii="Arial" w:hAnsi="Arial"/>
      <w:sz w:val="22"/>
      <w:szCs w:val="22"/>
      <w:lang w:eastAsia="es-MX"/>
    </w:rPr>
  </w:style>
  <w:style w:type="paragraph" w:customStyle="1" w:styleId="style11">
    <w:name w:val="style11"/>
    <w:basedOn w:val="Normal"/>
    <w:uiPriority w:val="99"/>
    <w:qFormat/>
    <w:rsid w:val="00461183"/>
    <w:pPr>
      <w:spacing w:beforeAutospacing="1" w:afterAutospacing="1"/>
    </w:pPr>
    <w:rPr>
      <w:rFonts w:ascii="Arial" w:hAnsi="Arial" w:cs="Arial"/>
      <w:sz w:val="11"/>
      <w:szCs w:val="11"/>
      <w:lang w:val="es-ES_tradnl" w:eastAsia="es-ES_tradnl"/>
    </w:rPr>
  </w:style>
  <w:style w:type="paragraph" w:customStyle="1" w:styleId="WW-Encabezamiento">
    <w:name w:val="WW-Encabezamiento"/>
    <w:basedOn w:val="Normal"/>
    <w:qFormat/>
    <w:rsid w:val="00BC320C"/>
    <w:pPr>
      <w:overflowPunct w:val="0"/>
      <w:jc w:val="both"/>
    </w:pPr>
    <w:rPr>
      <w:color w:val="00000A"/>
      <w:lang w:eastAsia="zh-CN"/>
    </w:rPr>
  </w:style>
  <w:style w:type="paragraph" w:customStyle="1" w:styleId="western">
    <w:name w:val="western"/>
    <w:basedOn w:val="Normal"/>
    <w:qFormat/>
    <w:rsid w:val="005B7651"/>
    <w:pPr>
      <w:spacing w:beforeAutospacing="1" w:after="119"/>
    </w:pPr>
    <w:rPr>
      <w:color w:val="000000"/>
      <w:lang w:val="es-VE" w:eastAsia="es-VE"/>
    </w:rPr>
  </w:style>
  <w:style w:type="paragraph" w:customStyle="1" w:styleId="m8013895012438433063default">
    <w:name w:val="m_8013895012438433063default"/>
    <w:basedOn w:val="Normal"/>
    <w:qFormat/>
    <w:rsid w:val="007A0018"/>
    <w:pPr>
      <w:spacing w:beforeAutospacing="1" w:afterAutospacing="1"/>
    </w:pPr>
    <w:rPr>
      <w:lang w:val="es-VE" w:eastAsia="ko-KR"/>
    </w:r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table" w:styleId="Tablaconcuadrcula">
    <w:name w:val="Table Grid"/>
    <w:basedOn w:val="Tablanormal"/>
    <w:rsid w:val="003D2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016">
      <w:bodyDiv w:val="1"/>
      <w:marLeft w:val="0"/>
      <w:marRight w:val="0"/>
      <w:marTop w:val="0"/>
      <w:marBottom w:val="0"/>
      <w:divBdr>
        <w:top w:val="none" w:sz="0" w:space="0" w:color="auto"/>
        <w:left w:val="none" w:sz="0" w:space="0" w:color="auto"/>
        <w:bottom w:val="none" w:sz="0" w:space="0" w:color="auto"/>
        <w:right w:val="none" w:sz="0" w:space="0" w:color="auto"/>
      </w:divBdr>
      <w:divsChild>
        <w:div w:id="547300945">
          <w:marLeft w:val="0"/>
          <w:marRight w:val="0"/>
          <w:marTop w:val="0"/>
          <w:marBottom w:val="0"/>
          <w:divBdr>
            <w:top w:val="none" w:sz="0" w:space="0" w:color="auto"/>
            <w:left w:val="none" w:sz="0" w:space="0" w:color="auto"/>
            <w:bottom w:val="none" w:sz="0" w:space="0" w:color="auto"/>
            <w:right w:val="none" w:sz="0" w:space="0" w:color="auto"/>
          </w:divBdr>
          <w:divsChild>
            <w:div w:id="1665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6010">
      <w:bodyDiv w:val="1"/>
      <w:marLeft w:val="0"/>
      <w:marRight w:val="0"/>
      <w:marTop w:val="0"/>
      <w:marBottom w:val="0"/>
      <w:divBdr>
        <w:top w:val="none" w:sz="0" w:space="0" w:color="auto"/>
        <w:left w:val="none" w:sz="0" w:space="0" w:color="auto"/>
        <w:bottom w:val="none" w:sz="0" w:space="0" w:color="auto"/>
        <w:right w:val="none" w:sz="0" w:space="0" w:color="auto"/>
      </w:divBdr>
      <w:divsChild>
        <w:div w:id="1341085432">
          <w:marLeft w:val="0"/>
          <w:marRight w:val="0"/>
          <w:marTop w:val="0"/>
          <w:marBottom w:val="0"/>
          <w:divBdr>
            <w:top w:val="none" w:sz="0" w:space="0" w:color="auto"/>
            <w:left w:val="none" w:sz="0" w:space="0" w:color="auto"/>
            <w:bottom w:val="none" w:sz="0" w:space="0" w:color="auto"/>
            <w:right w:val="none" w:sz="0" w:space="0" w:color="auto"/>
          </w:divBdr>
          <w:divsChild>
            <w:div w:id="147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641">
      <w:bodyDiv w:val="1"/>
      <w:marLeft w:val="0"/>
      <w:marRight w:val="0"/>
      <w:marTop w:val="0"/>
      <w:marBottom w:val="0"/>
      <w:divBdr>
        <w:top w:val="none" w:sz="0" w:space="0" w:color="auto"/>
        <w:left w:val="none" w:sz="0" w:space="0" w:color="auto"/>
        <w:bottom w:val="none" w:sz="0" w:space="0" w:color="auto"/>
        <w:right w:val="none" w:sz="0" w:space="0" w:color="auto"/>
      </w:divBdr>
      <w:divsChild>
        <w:div w:id="1887254372">
          <w:marLeft w:val="0"/>
          <w:marRight w:val="0"/>
          <w:marTop w:val="0"/>
          <w:marBottom w:val="0"/>
          <w:divBdr>
            <w:top w:val="none" w:sz="0" w:space="0" w:color="auto"/>
            <w:left w:val="none" w:sz="0" w:space="0" w:color="auto"/>
            <w:bottom w:val="none" w:sz="0" w:space="0" w:color="auto"/>
            <w:right w:val="none" w:sz="0" w:space="0" w:color="auto"/>
          </w:divBdr>
          <w:divsChild>
            <w:div w:id="290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513">
      <w:bodyDiv w:val="1"/>
      <w:marLeft w:val="0"/>
      <w:marRight w:val="0"/>
      <w:marTop w:val="0"/>
      <w:marBottom w:val="0"/>
      <w:divBdr>
        <w:top w:val="none" w:sz="0" w:space="0" w:color="auto"/>
        <w:left w:val="none" w:sz="0" w:space="0" w:color="auto"/>
        <w:bottom w:val="none" w:sz="0" w:space="0" w:color="auto"/>
        <w:right w:val="none" w:sz="0" w:space="0" w:color="auto"/>
      </w:divBdr>
      <w:divsChild>
        <w:div w:id="1740515269">
          <w:marLeft w:val="0"/>
          <w:marRight w:val="0"/>
          <w:marTop w:val="0"/>
          <w:marBottom w:val="0"/>
          <w:divBdr>
            <w:top w:val="none" w:sz="0" w:space="0" w:color="auto"/>
            <w:left w:val="none" w:sz="0" w:space="0" w:color="auto"/>
            <w:bottom w:val="none" w:sz="0" w:space="0" w:color="auto"/>
            <w:right w:val="none" w:sz="0" w:space="0" w:color="auto"/>
          </w:divBdr>
          <w:divsChild>
            <w:div w:id="3316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804">
      <w:bodyDiv w:val="1"/>
      <w:marLeft w:val="0"/>
      <w:marRight w:val="0"/>
      <w:marTop w:val="0"/>
      <w:marBottom w:val="0"/>
      <w:divBdr>
        <w:top w:val="none" w:sz="0" w:space="0" w:color="auto"/>
        <w:left w:val="none" w:sz="0" w:space="0" w:color="auto"/>
        <w:bottom w:val="none" w:sz="0" w:space="0" w:color="auto"/>
        <w:right w:val="none" w:sz="0" w:space="0" w:color="auto"/>
      </w:divBdr>
      <w:divsChild>
        <w:div w:id="1638336767">
          <w:marLeft w:val="0"/>
          <w:marRight w:val="0"/>
          <w:marTop w:val="0"/>
          <w:marBottom w:val="0"/>
          <w:divBdr>
            <w:top w:val="none" w:sz="0" w:space="0" w:color="auto"/>
            <w:left w:val="none" w:sz="0" w:space="0" w:color="auto"/>
            <w:bottom w:val="none" w:sz="0" w:space="0" w:color="auto"/>
            <w:right w:val="none" w:sz="0" w:space="0" w:color="auto"/>
          </w:divBdr>
          <w:divsChild>
            <w:div w:id="1584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4644">
      <w:bodyDiv w:val="1"/>
      <w:marLeft w:val="0"/>
      <w:marRight w:val="0"/>
      <w:marTop w:val="0"/>
      <w:marBottom w:val="0"/>
      <w:divBdr>
        <w:top w:val="none" w:sz="0" w:space="0" w:color="auto"/>
        <w:left w:val="none" w:sz="0" w:space="0" w:color="auto"/>
        <w:bottom w:val="none" w:sz="0" w:space="0" w:color="auto"/>
        <w:right w:val="none" w:sz="0" w:space="0" w:color="auto"/>
      </w:divBdr>
    </w:div>
    <w:div w:id="1348868719">
      <w:bodyDiv w:val="1"/>
      <w:marLeft w:val="0"/>
      <w:marRight w:val="0"/>
      <w:marTop w:val="0"/>
      <w:marBottom w:val="0"/>
      <w:divBdr>
        <w:top w:val="none" w:sz="0" w:space="0" w:color="auto"/>
        <w:left w:val="none" w:sz="0" w:space="0" w:color="auto"/>
        <w:bottom w:val="none" w:sz="0" w:space="0" w:color="auto"/>
        <w:right w:val="none" w:sz="0" w:space="0" w:color="auto"/>
      </w:divBdr>
      <w:divsChild>
        <w:div w:id="291130198">
          <w:marLeft w:val="0"/>
          <w:marRight w:val="0"/>
          <w:marTop w:val="0"/>
          <w:marBottom w:val="0"/>
          <w:divBdr>
            <w:top w:val="none" w:sz="0" w:space="0" w:color="auto"/>
            <w:left w:val="none" w:sz="0" w:space="0" w:color="auto"/>
            <w:bottom w:val="none" w:sz="0" w:space="0" w:color="auto"/>
            <w:right w:val="none" w:sz="0" w:space="0" w:color="auto"/>
          </w:divBdr>
          <w:divsChild>
            <w:div w:id="1583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990">
      <w:bodyDiv w:val="1"/>
      <w:marLeft w:val="0"/>
      <w:marRight w:val="0"/>
      <w:marTop w:val="0"/>
      <w:marBottom w:val="0"/>
      <w:divBdr>
        <w:top w:val="none" w:sz="0" w:space="0" w:color="auto"/>
        <w:left w:val="none" w:sz="0" w:space="0" w:color="auto"/>
        <w:bottom w:val="none" w:sz="0" w:space="0" w:color="auto"/>
        <w:right w:val="none" w:sz="0" w:space="0" w:color="auto"/>
      </w:divBdr>
      <w:divsChild>
        <w:div w:id="1284388516">
          <w:marLeft w:val="0"/>
          <w:marRight w:val="0"/>
          <w:marTop w:val="0"/>
          <w:marBottom w:val="0"/>
          <w:divBdr>
            <w:top w:val="none" w:sz="0" w:space="0" w:color="auto"/>
            <w:left w:val="none" w:sz="0" w:space="0" w:color="auto"/>
            <w:bottom w:val="none" w:sz="0" w:space="0" w:color="auto"/>
            <w:right w:val="none" w:sz="0" w:space="0" w:color="auto"/>
          </w:divBdr>
          <w:divsChild>
            <w:div w:id="3164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566">
      <w:bodyDiv w:val="1"/>
      <w:marLeft w:val="0"/>
      <w:marRight w:val="0"/>
      <w:marTop w:val="0"/>
      <w:marBottom w:val="0"/>
      <w:divBdr>
        <w:top w:val="none" w:sz="0" w:space="0" w:color="auto"/>
        <w:left w:val="none" w:sz="0" w:space="0" w:color="auto"/>
        <w:bottom w:val="none" w:sz="0" w:space="0" w:color="auto"/>
        <w:right w:val="none" w:sz="0" w:space="0" w:color="auto"/>
      </w:divBdr>
      <w:divsChild>
        <w:div w:id="1128744393">
          <w:marLeft w:val="0"/>
          <w:marRight w:val="0"/>
          <w:marTop w:val="0"/>
          <w:marBottom w:val="0"/>
          <w:divBdr>
            <w:top w:val="none" w:sz="0" w:space="0" w:color="auto"/>
            <w:left w:val="none" w:sz="0" w:space="0" w:color="auto"/>
            <w:bottom w:val="none" w:sz="0" w:space="0" w:color="auto"/>
            <w:right w:val="none" w:sz="0" w:space="0" w:color="auto"/>
          </w:divBdr>
          <w:divsChild>
            <w:div w:id="1885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399">
      <w:bodyDiv w:val="1"/>
      <w:marLeft w:val="0"/>
      <w:marRight w:val="0"/>
      <w:marTop w:val="0"/>
      <w:marBottom w:val="0"/>
      <w:divBdr>
        <w:top w:val="none" w:sz="0" w:space="0" w:color="auto"/>
        <w:left w:val="none" w:sz="0" w:space="0" w:color="auto"/>
        <w:bottom w:val="none" w:sz="0" w:space="0" w:color="auto"/>
        <w:right w:val="none" w:sz="0" w:space="0" w:color="auto"/>
      </w:divBdr>
      <w:divsChild>
        <w:div w:id="372924055">
          <w:marLeft w:val="0"/>
          <w:marRight w:val="0"/>
          <w:marTop w:val="0"/>
          <w:marBottom w:val="0"/>
          <w:divBdr>
            <w:top w:val="none" w:sz="0" w:space="0" w:color="auto"/>
            <w:left w:val="none" w:sz="0" w:space="0" w:color="auto"/>
            <w:bottom w:val="none" w:sz="0" w:space="0" w:color="auto"/>
            <w:right w:val="none" w:sz="0" w:space="0" w:color="auto"/>
          </w:divBdr>
          <w:divsChild>
            <w:div w:id="15769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717">
      <w:bodyDiv w:val="1"/>
      <w:marLeft w:val="0"/>
      <w:marRight w:val="0"/>
      <w:marTop w:val="0"/>
      <w:marBottom w:val="0"/>
      <w:divBdr>
        <w:top w:val="none" w:sz="0" w:space="0" w:color="auto"/>
        <w:left w:val="none" w:sz="0" w:space="0" w:color="auto"/>
        <w:bottom w:val="none" w:sz="0" w:space="0" w:color="auto"/>
        <w:right w:val="none" w:sz="0" w:space="0" w:color="auto"/>
      </w:divBdr>
      <w:divsChild>
        <w:div w:id="1930499289">
          <w:marLeft w:val="0"/>
          <w:marRight w:val="0"/>
          <w:marTop w:val="0"/>
          <w:marBottom w:val="0"/>
          <w:divBdr>
            <w:top w:val="none" w:sz="0" w:space="0" w:color="auto"/>
            <w:left w:val="none" w:sz="0" w:space="0" w:color="auto"/>
            <w:bottom w:val="none" w:sz="0" w:space="0" w:color="auto"/>
            <w:right w:val="none" w:sz="0" w:space="0" w:color="auto"/>
          </w:divBdr>
          <w:divsChild>
            <w:div w:id="917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566">
      <w:bodyDiv w:val="1"/>
      <w:marLeft w:val="0"/>
      <w:marRight w:val="0"/>
      <w:marTop w:val="0"/>
      <w:marBottom w:val="0"/>
      <w:divBdr>
        <w:top w:val="none" w:sz="0" w:space="0" w:color="auto"/>
        <w:left w:val="none" w:sz="0" w:space="0" w:color="auto"/>
        <w:bottom w:val="none" w:sz="0" w:space="0" w:color="auto"/>
        <w:right w:val="none" w:sz="0" w:space="0" w:color="auto"/>
      </w:divBdr>
      <w:divsChild>
        <w:div w:id="1247500043">
          <w:marLeft w:val="0"/>
          <w:marRight w:val="0"/>
          <w:marTop w:val="0"/>
          <w:marBottom w:val="0"/>
          <w:divBdr>
            <w:top w:val="none" w:sz="0" w:space="0" w:color="auto"/>
            <w:left w:val="none" w:sz="0" w:space="0" w:color="auto"/>
            <w:bottom w:val="none" w:sz="0" w:space="0" w:color="auto"/>
            <w:right w:val="none" w:sz="0" w:space="0" w:color="auto"/>
          </w:divBdr>
          <w:divsChild>
            <w:div w:id="303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D38725-1A11-4639-92F4-96B62A21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2217</Words>
  <Characters>12195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INFORME PRELIMINAR</vt:lpstr>
    </vt:vector>
  </TitlesOfParts>
  <Company>minep</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
  <dc:creator>svarga04</dc:creator>
  <cp:keywords/>
  <dc:description/>
  <cp:lastModifiedBy>pier</cp:lastModifiedBy>
  <cp:revision>5</cp:revision>
  <cp:lastPrinted>2024-04-23T13:07:00Z</cp:lastPrinted>
  <dcterms:created xsi:type="dcterms:W3CDTF">2024-06-26T18:20:00Z</dcterms:created>
  <dcterms:modified xsi:type="dcterms:W3CDTF">2024-11-26T18:04:00Z</dcterms:modified>
  <dc:language>es-VE</dc:language>
</cp:coreProperties>
</file>