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1E" w:rsidRDefault="00AF6C81">
      <w:pPr>
        <w:spacing w:line="276" w:lineRule="auto"/>
        <w:jc w:val="center"/>
        <w:rPr>
          <w:rFonts w:ascii="Arial Narrow" w:hAnsi="Arial Narrow" w:cs="Arial"/>
          <w:b/>
          <w:sz w:val="22"/>
          <w:szCs w:val="22"/>
        </w:rPr>
      </w:pPr>
      <w:r>
        <w:rPr>
          <w:rFonts w:ascii="Arial Narrow" w:hAnsi="Arial Narrow" w:cs="Arial"/>
          <w:b/>
          <w:sz w:val="22"/>
          <w:szCs w:val="22"/>
        </w:rPr>
        <w:t xml:space="preserve">COMPAÑÍA ANÓNIMA NACIONAL TELÉFONOS DE VENEZUELA </w:t>
      </w:r>
    </w:p>
    <w:p w:rsidR="0037381E" w:rsidRDefault="00AF6C81">
      <w:pPr>
        <w:spacing w:line="276" w:lineRule="auto"/>
        <w:jc w:val="center"/>
        <w:rPr>
          <w:rFonts w:ascii="Arial Narrow" w:hAnsi="Arial Narrow" w:cs="Arial"/>
          <w:b/>
          <w:sz w:val="22"/>
          <w:szCs w:val="22"/>
        </w:rPr>
      </w:pPr>
      <w:r>
        <w:rPr>
          <w:rFonts w:ascii="Arial Narrow" w:hAnsi="Arial Narrow" w:cs="Arial"/>
          <w:b/>
          <w:sz w:val="22"/>
          <w:szCs w:val="22"/>
        </w:rPr>
        <w:t>(Cantv)</w:t>
      </w: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AF6C81">
      <w:pPr>
        <w:spacing w:line="276" w:lineRule="auto"/>
        <w:jc w:val="center"/>
        <w:rPr>
          <w:rFonts w:ascii="Arial Narrow" w:hAnsi="Arial Narrow" w:cs="Arial"/>
          <w:b/>
          <w:sz w:val="22"/>
          <w:szCs w:val="22"/>
        </w:rPr>
      </w:pPr>
      <w:r>
        <w:rPr>
          <w:rFonts w:ascii="Arial Narrow" w:hAnsi="Arial Narrow" w:cs="Arial"/>
          <w:b/>
          <w:sz w:val="22"/>
          <w:szCs w:val="22"/>
        </w:rPr>
        <w:t>UNIDAD DE AUDITORÍA INTERNA</w:t>
      </w:r>
    </w:p>
    <w:p w:rsidR="0037381E" w:rsidRDefault="00AF6C81">
      <w:pPr>
        <w:spacing w:line="276" w:lineRule="auto"/>
        <w:jc w:val="center"/>
        <w:rPr>
          <w:rFonts w:ascii="Arial Narrow" w:hAnsi="Arial Narrow" w:cs="Arial"/>
          <w:b/>
          <w:sz w:val="22"/>
          <w:szCs w:val="22"/>
        </w:rPr>
      </w:pPr>
      <w:r>
        <w:rPr>
          <w:rFonts w:ascii="Arial Narrow" w:hAnsi="Arial Narrow" w:cs="Arial"/>
          <w:b/>
          <w:sz w:val="22"/>
          <w:szCs w:val="22"/>
        </w:rPr>
        <w:t>(UAI-Cantv)</w:t>
      </w: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AF6C81">
      <w:pPr>
        <w:spacing w:line="276" w:lineRule="auto"/>
        <w:jc w:val="center"/>
        <w:rPr>
          <w:rFonts w:ascii="Arial Narrow" w:hAnsi="Arial Narrow" w:cs="Arial"/>
          <w:b/>
          <w:sz w:val="22"/>
          <w:szCs w:val="22"/>
        </w:rPr>
      </w:pPr>
      <w:r>
        <w:rPr>
          <w:rFonts w:ascii="Arial Narrow" w:hAnsi="Arial Narrow" w:cs="Arial"/>
          <w:b/>
          <w:sz w:val="22"/>
          <w:szCs w:val="22"/>
        </w:rPr>
        <w:t>INFORME DEL AUDITOR</w:t>
      </w: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AF6C81">
      <w:pPr>
        <w:spacing w:line="276" w:lineRule="auto"/>
        <w:ind w:left="567"/>
        <w:jc w:val="both"/>
        <w:rPr>
          <w:rFonts w:ascii="Arial Narrow" w:hAnsi="Arial Narrow" w:cs="Arial"/>
          <w:sz w:val="22"/>
          <w:szCs w:val="22"/>
          <w:lang w:val="es-VE"/>
        </w:rPr>
      </w:pPr>
      <w:r>
        <w:rPr>
          <w:rFonts w:ascii="Arial Narrow" w:hAnsi="Arial Narrow" w:cs="Arial"/>
          <w:sz w:val="22"/>
          <w:szCs w:val="22"/>
          <w:lang w:val="es-VE"/>
        </w:rPr>
        <w:t xml:space="preserve">Actuación fiscal referida a la verificación de la sinceridad y exactitud del contenido del acta de entrega de la Coordinación de Aseguramiento de la Calidad, </w:t>
      </w:r>
      <w:r>
        <w:rPr>
          <w:rFonts w:ascii="Arial Narrow" w:hAnsi="Arial Narrow" w:cs="Arial"/>
          <w:sz w:val="22"/>
          <w:szCs w:val="22"/>
        </w:rPr>
        <w:t>adscrita a la</w:t>
      </w:r>
      <w:r>
        <w:rPr>
          <w:rFonts w:ascii="Arial Narrow" w:hAnsi="Arial Narrow" w:cs="Arial"/>
          <w:sz w:val="22"/>
          <w:szCs w:val="22"/>
          <w:lang w:val="es-VE"/>
        </w:rPr>
        <w:t xml:space="preserve"> ${unidad_adcripta}, </w:t>
      </w:r>
      <w:r>
        <w:rPr>
          <w:rFonts w:ascii="Arial Narrow" w:hAnsi="Arial Narrow" w:cs="Arial"/>
          <w:sz w:val="22"/>
          <w:szCs w:val="22"/>
        </w:rPr>
        <w:t xml:space="preserve">de la Compañía Anónima Nacional Teléfonos De Venezuela (Cantv), </w:t>
      </w:r>
      <w:r>
        <w:rPr>
          <w:rFonts w:ascii="Arial Narrow" w:hAnsi="Arial Narrow" w:cs="Arial"/>
          <w:sz w:val="22"/>
          <w:szCs w:val="22"/>
          <w:lang w:val="es-VE"/>
        </w:rPr>
        <w:t xml:space="preserve">correspondiente </w:t>
      </w:r>
      <w:r>
        <w:rPr>
          <w:rFonts w:ascii="Arial Narrow" w:hAnsi="Arial Narrow" w:cs="Arial"/>
          <w:bCs/>
          <w:sz w:val="22"/>
          <w:szCs w:val="22"/>
          <w:lang w:val="es-VE"/>
        </w:rPr>
        <w:t xml:space="preserve"> a la Servidora Pública Saliente ${articulo}</w:t>
      </w:r>
      <w:r>
        <w:rPr>
          <w:rFonts w:ascii="Arial Narrow" w:hAnsi="Arial Narrow" w:cs="Arial"/>
          <w:sz w:val="22"/>
          <w:szCs w:val="22"/>
          <w:lang w:val="es-VE"/>
        </w:rPr>
        <w:t xml:space="preserve">  ${nombre_saliente}, titular de la cédula de identidad V-${cedula_saliente}, durante el periodo de gestión del ${periodo_gestion} al ${periodo_gestiona}.</w:t>
      </w:r>
    </w:p>
    <w:p w:rsidR="0037381E" w:rsidRDefault="0037381E">
      <w:pPr>
        <w:spacing w:line="276" w:lineRule="auto"/>
        <w:jc w:val="center"/>
        <w:rPr>
          <w:rFonts w:ascii="Arial Narrow" w:hAnsi="Arial Narrow" w:cs="Arial"/>
          <w:sz w:val="22"/>
          <w:szCs w:val="22"/>
          <w:lang w:val="es-VE"/>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AF6C81">
      <w:pPr>
        <w:spacing w:line="276" w:lineRule="auto"/>
        <w:ind w:firstLine="708"/>
        <w:rPr>
          <w:rFonts w:ascii="Arial" w:hAnsi="Arial" w:cs="Arial"/>
          <w:b/>
          <w:sz w:val="22"/>
          <w:szCs w:val="22"/>
        </w:rPr>
      </w:pPr>
      <w:r>
        <w:rPr>
          <w:rFonts w:ascii="Arial Narrow" w:hAnsi="Arial Narrow" w:cs="Arial"/>
          <w:b/>
          <w:sz w:val="22"/>
          <w:szCs w:val="22"/>
        </w:rPr>
        <w:t xml:space="preserve">Código Actuación: </w:t>
      </w:r>
      <w:r>
        <w:rPr>
          <w:rFonts w:ascii="Arial" w:hAnsi="Arial" w:cs="Arial"/>
          <w:b/>
          <w:color w:val="000000" w:themeColor="text1"/>
          <w:sz w:val="22"/>
          <w:szCs w:val="22"/>
          <w:lang w:val="es-VE"/>
        </w:rPr>
        <w:t>${code}</w:t>
      </w:r>
    </w:p>
    <w:p w:rsidR="0037381E" w:rsidRDefault="0037381E">
      <w:pPr>
        <w:spacing w:line="276" w:lineRule="auto"/>
        <w:jc w:val="center"/>
        <w:rPr>
          <w:rFonts w:ascii="Arial Narrow" w:hAnsi="Arial Narrow" w:cs="Arial"/>
          <w:b/>
          <w:sz w:val="22"/>
          <w:szCs w:val="22"/>
        </w:rPr>
      </w:pPr>
    </w:p>
    <w:p w:rsidR="0037381E" w:rsidRDefault="0037381E">
      <w:pPr>
        <w:spacing w:line="276" w:lineRule="auto"/>
        <w:jc w:val="center"/>
        <w:rPr>
          <w:rFonts w:ascii="Arial Narrow" w:hAnsi="Arial Narrow" w:cs="Arial"/>
          <w:b/>
          <w:sz w:val="22"/>
          <w:szCs w:val="22"/>
        </w:rPr>
      </w:pPr>
    </w:p>
    <w:p w:rsidR="0037381E" w:rsidRDefault="0037381E">
      <w:pPr>
        <w:spacing w:line="276" w:lineRule="auto"/>
        <w:rPr>
          <w:rFonts w:ascii="Arial Narrow" w:hAnsi="Arial Narrow" w:cs="Arial"/>
          <w:b/>
          <w:sz w:val="22"/>
          <w:szCs w:val="22"/>
        </w:rPr>
      </w:pPr>
    </w:p>
    <w:p w:rsidR="0037381E" w:rsidRDefault="0037381E">
      <w:pPr>
        <w:spacing w:line="276" w:lineRule="auto"/>
        <w:jc w:val="center"/>
        <w:rPr>
          <w:rFonts w:ascii="Arial Narrow" w:hAnsi="Arial Narrow" w:cs="Arial"/>
          <w:b/>
          <w:color w:val="FF0000"/>
          <w:sz w:val="22"/>
          <w:szCs w:val="22"/>
        </w:rPr>
      </w:pPr>
    </w:p>
    <w:p w:rsidR="0037381E" w:rsidRDefault="00AF6C81">
      <w:pPr>
        <w:spacing w:line="276" w:lineRule="auto"/>
        <w:jc w:val="right"/>
        <w:rPr>
          <w:b/>
          <w:color w:val="000000" w:themeColor="text1"/>
          <w:sz w:val="22"/>
          <w:szCs w:val="22"/>
        </w:rPr>
      </w:pPr>
      <w:r>
        <w:rPr>
          <w:rFonts w:ascii="Arial Narrow" w:hAnsi="Arial Narrow" w:cs="Arial"/>
          <w:b/>
          <w:color w:val="000000" w:themeColor="text1"/>
          <w:sz w:val="22"/>
          <w:szCs w:val="22"/>
        </w:rPr>
        <w:t>${fecha}</w:t>
      </w:r>
    </w:p>
    <w:p w:rsidR="0037381E" w:rsidRDefault="0037381E">
      <w:pPr>
        <w:spacing w:line="276" w:lineRule="auto"/>
        <w:jc w:val="right"/>
        <w:outlineLvl w:val="0"/>
        <w:rPr>
          <w:rFonts w:ascii="Arial Narrow" w:hAnsi="Arial Narrow"/>
          <w:b/>
          <w:color w:val="000000" w:themeColor="text1"/>
          <w:sz w:val="22"/>
          <w:szCs w:val="22"/>
        </w:rPr>
      </w:pPr>
    </w:p>
    <w:p w:rsidR="0037381E" w:rsidRDefault="00AF6C81">
      <w:pPr>
        <w:rPr>
          <w:rFonts w:ascii="Arial Narrow" w:hAnsi="Arial Narrow"/>
          <w:b/>
          <w:color w:val="000000" w:themeColor="text1"/>
          <w:sz w:val="22"/>
          <w:szCs w:val="22"/>
        </w:rPr>
      </w:pPr>
      <w:r>
        <w:br w:type="page"/>
      </w:r>
    </w:p>
    <w:p w:rsidR="0037381E" w:rsidRDefault="00AF6C81">
      <w:pPr>
        <w:spacing w:line="276" w:lineRule="auto"/>
        <w:jc w:val="both"/>
        <w:rPr>
          <w:rFonts w:ascii="Arial Narrow" w:hAnsi="Arial Narrow" w:cs="Arial"/>
          <w:sz w:val="22"/>
          <w:szCs w:val="22"/>
          <w:lang w:val="es-VE"/>
        </w:rPr>
      </w:pPr>
      <w:r>
        <w:rPr>
          <w:rFonts w:ascii="Arial Narrow" w:hAnsi="Arial Narrow" w:cs="Arial"/>
          <w:sz w:val="22"/>
          <w:szCs w:val="22"/>
          <w:lang w:val="es-VE"/>
        </w:rPr>
        <w:lastRenderedPageBreak/>
        <w:t xml:space="preserve">Actuación fiscal referida a la verificación de la sinceridad y exactitud del contenido del acta de entrega de la Coordinación de Aseguramiento de Calidad, </w:t>
      </w:r>
      <w:r>
        <w:rPr>
          <w:rFonts w:ascii="Arial Narrow" w:hAnsi="Arial Narrow" w:cs="Arial"/>
          <w:sz w:val="22"/>
          <w:szCs w:val="22"/>
        </w:rPr>
        <w:t>adscrita a la</w:t>
      </w:r>
      <w:r>
        <w:rPr>
          <w:rFonts w:ascii="Arial Narrow" w:hAnsi="Arial Narrow" w:cs="Arial"/>
          <w:sz w:val="22"/>
          <w:szCs w:val="22"/>
          <w:lang w:val="es-VE"/>
        </w:rPr>
        <w:t xml:space="preserve"> ${unidad_adcripta}, </w:t>
      </w:r>
      <w:r>
        <w:rPr>
          <w:rFonts w:ascii="Arial Narrow" w:hAnsi="Arial Narrow" w:cs="Arial"/>
          <w:sz w:val="22"/>
          <w:szCs w:val="22"/>
        </w:rPr>
        <w:t xml:space="preserve">de la Compañía Anónima Nacional Teléfonos De Venezuela (Cantv), </w:t>
      </w:r>
      <w:r>
        <w:rPr>
          <w:rFonts w:ascii="Arial Narrow" w:hAnsi="Arial Narrow" w:cs="Arial"/>
          <w:sz w:val="22"/>
          <w:szCs w:val="22"/>
          <w:lang w:val="es-VE"/>
        </w:rPr>
        <w:t xml:space="preserve">correspondiente </w:t>
      </w:r>
      <w:r>
        <w:rPr>
          <w:rFonts w:ascii="Arial Narrow" w:hAnsi="Arial Narrow" w:cs="Arial"/>
          <w:bCs/>
          <w:sz w:val="22"/>
          <w:szCs w:val="22"/>
          <w:lang w:val="es-VE"/>
        </w:rPr>
        <w:t xml:space="preserve"> a la Servidora Pública Saliente ${articulo}</w:t>
      </w:r>
      <w:r>
        <w:rPr>
          <w:rFonts w:ascii="Arial Narrow" w:hAnsi="Arial Narrow" w:cs="Arial"/>
          <w:sz w:val="22"/>
          <w:szCs w:val="22"/>
          <w:lang w:val="es-VE"/>
        </w:rPr>
        <w:t xml:space="preserve">  ${nombre_saliente} Escalona, titular de la cédula de identidad V-${cedula_saliente}, durante el periodo de gestión del ${periodo_g</w:t>
      </w:r>
      <w:r>
        <w:rPr>
          <w:rFonts w:ascii="Arial Narrow" w:hAnsi="Arial Narrow" w:cs="Arial"/>
          <w:sz w:val="22"/>
          <w:szCs w:val="22"/>
          <w:lang w:val="es-VE"/>
        </w:rPr>
        <w:t>estion} al ${periodo_gestiona}.</w:t>
      </w:r>
    </w:p>
    <w:p w:rsidR="0037381E" w:rsidRDefault="0037381E">
      <w:pPr>
        <w:spacing w:line="276" w:lineRule="auto"/>
        <w:jc w:val="both"/>
        <w:rPr>
          <w:rFonts w:ascii="Arial Narrow" w:hAnsi="Arial Narrow" w:cs="Arial"/>
          <w:sz w:val="22"/>
          <w:szCs w:val="22"/>
          <w:lang w:val="es-VE"/>
        </w:rPr>
      </w:pPr>
    </w:p>
    <w:p w:rsidR="0037381E" w:rsidRDefault="00AF6C81">
      <w:pPr>
        <w:spacing w:line="276" w:lineRule="auto"/>
        <w:rPr>
          <w:rFonts w:ascii="Arial Narrow" w:hAnsi="Arial Narrow" w:cs="Arial"/>
          <w:b/>
          <w:sz w:val="22"/>
          <w:szCs w:val="22"/>
        </w:rPr>
      </w:pPr>
      <w:r>
        <w:rPr>
          <w:rFonts w:ascii="Arial Narrow" w:hAnsi="Arial Narrow" w:cs="Arial"/>
          <w:b/>
          <w:sz w:val="22"/>
          <w:szCs w:val="22"/>
        </w:rPr>
        <w:t>CAPÍTULO I</w:t>
      </w:r>
    </w:p>
    <w:p w:rsidR="0037381E" w:rsidRDefault="00AF6C81">
      <w:pPr>
        <w:spacing w:line="276" w:lineRule="auto"/>
        <w:rPr>
          <w:rFonts w:ascii="Arial Narrow" w:hAnsi="Arial Narrow" w:cs="Arial"/>
          <w:b/>
          <w:sz w:val="22"/>
          <w:szCs w:val="22"/>
        </w:rPr>
      </w:pPr>
      <w:r>
        <w:rPr>
          <w:rFonts w:ascii="Arial Narrow" w:hAnsi="Arial Narrow" w:cs="Arial"/>
          <w:b/>
          <w:sz w:val="22"/>
          <w:szCs w:val="22"/>
        </w:rPr>
        <w:t>Aspectos Preliminares</w:t>
      </w:r>
    </w:p>
    <w:p w:rsidR="0037381E" w:rsidRDefault="0037381E">
      <w:pPr>
        <w:spacing w:line="276" w:lineRule="auto"/>
        <w:rPr>
          <w:rFonts w:ascii="Arial Narrow" w:hAnsi="Arial Narrow" w:cs="Arial"/>
          <w:sz w:val="22"/>
          <w:szCs w:val="22"/>
        </w:rPr>
      </w:pPr>
    </w:p>
    <w:p w:rsidR="0037381E" w:rsidRDefault="00AF6C81">
      <w:pPr>
        <w:spacing w:line="276" w:lineRule="auto"/>
        <w:jc w:val="right"/>
        <w:rPr>
          <w:rFonts w:ascii="Arial Narrow" w:hAnsi="Arial Narrow" w:cs="Arial"/>
          <w:b/>
          <w:sz w:val="22"/>
          <w:szCs w:val="22"/>
        </w:rPr>
      </w:pPr>
      <w:r>
        <w:rPr>
          <w:rFonts w:ascii="Arial Narrow" w:hAnsi="Arial Narrow" w:cs="Arial"/>
          <w:b/>
          <w:sz w:val="22"/>
          <w:szCs w:val="22"/>
        </w:rPr>
        <w:t>Origen de la Actuación</w:t>
      </w:r>
    </w:p>
    <w:p w:rsidR="0037381E" w:rsidRDefault="00AF6C81">
      <w:pPr>
        <w:spacing w:line="276" w:lineRule="auto"/>
        <w:jc w:val="both"/>
        <w:rPr>
          <w:rFonts w:ascii="Arial Narrow" w:hAnsi="Arial Narrow" w:cs="Arial"/>
          <w:sz w:val="22"/>
          <w:szCs w:val="22"/>
          <w:lang w:val="es-VE"/>
        </w:rPr>
      </w:pPr>
      <w:r>
        <w:rPr>
          <w:rFonts w:ascii="Arial Narrow" w:hAnsi="Arial Narrow" w:cs="Arial"/>
          <w:sz w:val="22"/>
          <w:szCs w:val="22"/>
        </w:rPr>
        <w:t>En el marco de la formulación del Plan Operativo Anual 2024, aprobado por la Superintendencia Nacional de Auditoría Interna (SUNAI), mediante Oficio SUNAI-23-DS-936 d</w:t>
      </w:r>
      <w:r>
        <w:rPr>
          <w:rFonts w:ascii="Arial Narrow" w:hAnsi="Arial Narrow" w:cs="Arial"/>
          <w:sz w:val="22"/>
          <w:szCs w:val="22"/>
        </w:rPr>
        <w:t>e fecha 5/12/2023, de acuerdo a lo establecido en el artículo 41 de la Ley Orgánica de la Contraloría General de la República y del Sistema Nacional de Control Fiscal, publicada en la Gaceta Oficial de la República Bolivariana de Venezuela Nro. 6013 Extrao</w:t>
      </w:r>
      <w:r>
        <w:rPr>
          <w:rFonts w:ascii="Arial Narrow" w:hAnsi="Arial Narrow" w:cs="Arial"/>
          <w:sz w:val="22"/>
          <w:szCs w:val="22"/>
        </w:rPr>
        <w:t xml:space="preserve">rdinario de fecha 23 de diciembre de 2010, y de conformidad con las instrucciones contenidas en memorando de designación </w:t>
      </w:r>
      <w:r>
        <w:rPr>
          <w:rFonts w:ascii="Arial Narrow" w:hAnsi="Arial Narrow" w:cs="Arial"/>
          <w:sz w:val="22"/>
          <w:szCs w:val="22"/>
          <w:lang w:val="es-VE"/>
        </w:rPr>
        <w:t xml:space="preserve"> ${codigo_desgisnacion} </w:t>
      </w:r>
      <w:r>
        <w:rPr>
          <w:rFonts w:ascii="Arial Narrow" w:hAnsi="Arial Narrow" w:cs="Arial"/>
          <w:sz w:val="22"/>
          <w:szCs w:val="22"/>
        </w:rPr>
        <w:t xml:space="preserve">de fecha el </w:t>
      </w:r>
      <w:r>
        <w:rPr>
          <w:rFonts w:ascii="Arial Narrow" w:hAnsi="Arial Narrow" w:cs="Arial"/>
          <w:sz w:val="22"/>
          <w:szCs w:val="22"/>
          <w:lang w:val="es-VE"/>
        </w:rPr>
        <w:t>${fecha_designacion}</w:t>
      </w:r>
      <w:r>
        <w:rPr>
          <w:rFonts w:ascii="Arial Narrow" w:hAnsi="Arial Narrow" w:cs="Arial"/>
          <w:sz w:val="22"/>
          <w:szCs w:val="22"/>
        </w:rPr>
        <w:t>, en concordancia con el artículo 23 de las Normas para Regular la Entrega de l</w:t>
      </w:r>
      <w:r>
        <w:rPr>
          <w:rFonts w:ascii="Arial Narrow" w:hAnsi="Arial Narrow" w:cs="Arial"/>
          <w:sz w:val="22"/>
          <w:szCs w:val="22"/>
        </w:rPr>
        <w:t xml:space="preserve">os Órganos y Entidades de la Administración Pública y de sus Respectivas Oficinas o Dependencias (NREOEAPROD), publicada en la Gaceta Oficial de la República Bolivariana de Venezuela Nro. 39.229 de fecha 28/07/2009, se procedió a verificar la sinceridad y </w:t>
      </w:r>
      <w:r>
        <w:rPr>
          <w:rFonts w:ascii="Arial Narrow" w:hAnsi="Arial Narrow" w:cs="Arial"/>
          <w:sz w:val="22"/>
          <w:szCs w:val="22"/>
        </w:rPr>
        <w:t xml:space="preserve">exactitud del contenido del Acta de Entrega de la </w:t>
      </w:r>
      <w:r>
        <w:rPr>
          <w:rFonts w:ascii="Arial Narrow" w:hAnsi="Arial Narrow" w:cs="Arial"/>
          <w:sz w:val="22"/>
          <w:szCs w:val="22"/>
          <w:lang w:val="es-VE"/>
        </w:rPr>
        <w:t>Coordinación Aseguramiento de Calidad</w:t>
      </w:r>
      <w:r>
        <w:rPr>
          <w:rFonts w:ascii="Arial Narrow" w:hAnsi="Arial Narrow" w:cs="Arial"/>
          <w:sz w:val="22"/>
          <w:szCs w:val="22"/>
        </w:rPr>
        <w:t>, correspondiente</w:t>
      </w:r>
      <w:r>
        <w:rPr>
          <w:rFonts w:ascii="Arial Narrow" w:hAnsi="Arial Narrow" w:cs="Arial"/>
          <w:sz w:val="22"/>
          <w:szCs w:val="22"/>
          <w:lang w:val="es-VE"/>
        </w:rPr>
        <w:t xml:space="preserve"> </w:t>
      </w:r>
      <w:r>
        <w:rPr>
          <w:rFonts w:ascii="Arial Narrow" w:hAnsi="Arial Narrow" w:cs="Arial"/>
          <w:bCs/>
          <w:sz w:val="22"/>
          <w:szCs w:val="22"/>
          <w:lang w:val="es-VE"/>
        </w:rPr>
        <w:t xml:space="preserve"> a la Servidora Pública Saliente ${articulo}  ${nombre_saliente} Escalona, titular de la cédula de identidad V-${cedula_saliente}, durante el periodo d</w:t>
      </w:r>
      <w:r>
        <w:rPr>
          <w:rFonts w:ascii="Arial Narrow" w:hAnsi="Arial Narrow" w:cs="Arial"/>
          <w:bCs/>
          <w:sz w:val="22"/>
          <w:szCs w:val="22"/>
          <w:lang w:val="es-VE"/>
        </w:rPr>
        <w:t>e gestión del ${periodo_gestion} al ${periodo_gestiona}.</w:t>
      </w:r>
    </w:p>
    <w:p w:rsidR="0037381E" w:rsidRDefault="0037381E">
      <w:pPr>
        <w:spacing w:line="276" w:lineRule="auto"/>
        <w:jc w:val="both"/>
        <w:rPr>
          <w:rFonts w:ascii="Arial Narrow" w:hAnsi="Arial Narrow" w:cs="Arial"/>
          <w:b/>
          <w:sz w:val="22"/>
          <w:szCs w:val="22"/>
          <w:lang w:val="es-VE"/>
        </w:rPr>
      </w:pPr>
    </w:p>
    <w:p w:rsidR="0037381E" w:rsidRDefault="00AF6C81">
      <w:pPr>
        <w:spacing w:line="276" w:lineRule="auto"/>
        <w:jc w:val="right"/>
        <w:rPr>
          <w:rFonts w:ascii="Arial Narrow" w:hAnsi="Arial Narrow" w:cs="Arial"/>
          <w:b/>
          <w:sz w:val="22"/>
          <w:szCs w:val="22"/>
        </w:rPr>
      </w:pPr>
      <w:r>
        <w:rPr>
          <w:rFonts w:ascii="Arial Narrow" w:hAnsi="Arial Narrow" w:cs="Arial"/>
          <w:b/>
          <w:sz w:val="22"/>
          <w:szCs w:val="22"/>
        </w:rPr>
        <w:t>Alcance</w:t>
      </w:r>
    </w:p>
    <w:p w:rsidR="0037381E" w:rsidRDefault="00AF6C81">
      <w:pPr>
        <w:spacing w:line="276" w:lineRule="auto"/>
        <w:jc w:val="both"/>
        <w:rPr>
          <w:rFonts w:ascii="Arial Narrow" w:hAnsi="Arial Narrow" w:cs="Arial"/>
          <w:sz w:val="22"/>
          <w:szCs w:val="22"/>
        </w:rPr>
      </w:pPr>
      <w:r>
        <w:rPr>
          <w:rFonts w:ascii="Arial Narrow" w:hAnsi="Arial Narrow" w:cs="Arial"/>
          <w:sz w:val="22"/>
          <w:szCs w:val="22"/>
        </w:rPr>
        <w:t>La actuación consistió en la verificación de la sinceridad y exactitud del contenido del Acta de Entrega de fecha $</w:t>
      </w:r>
      <w:r>
        <w:rPr>
          <w:rFonts w:ascii="Arial Narrow" w:hAnsi="Arial Narrow" w:cs="Arial"/>
          <w:bCs/>
          <w:sz w:val="22"/>
          <w:szCs w:val="22"/>
          <w:lang w:val="es-VE"/>
        </w:rPr>
        <w:t>{fecha_acta}</w:t>
      </w:r>
      <w:r>
        <w:rPr>
          <w:rFonts w:ascii="Arial Narrow" w:hAnsi="Arial Narrow" w:cs="Arial"/>
          <w:sz w:val="22"/>
          <w:szCs w:val="22"/>
          <w:lang w:val="es-VE"/>
        </w:rPr>
        <w:t xml:space="preserve">, elaborada por </w:t>
      </w:r>
      <w:r>
        <w:rPr>
          <w:rFonts w:ascii="Arial Narrow" w:hAnsi="Arial Narrow" w:cs="Arial"/>
          <w:bCs/>
          <w:sz w:val="22"/>
          <w:szCs w:val="22"/>
          <w:lang w:val="es-VE"/>
        </w:rPr>
        <w:t>${nombre_saliente}</w:t>
      </w:r>
      <w:r>
        <w:rPr>
          <w:rFonts w:ascii="Arial Narrow" w:hAnsi="Arial Narrow" w:cs="Arial"/>
          <w:sz w:val="22"/>
          <w:szCs w:val="22"/>
          <w:lang w:val="es-VE"/>
        </w:rPr>
        <w:t xml:space="preserve"> Escalona, titular de la cédu</w:t>
      </w:r>
      <w:r>
        <w:rPr>
          <w:rFonts w:ascii="Arial Narrow" w:hAnsi="Arial Narrow" w:cs="Arial"/>
          <w:sz w:val="22"/>
          <w:szCs w:val="22"/>
          <w:lang w:val="es-VE"/>
        </w:rPr>
        <w:t>la de identidad V-</w:t>
      </w:r>
      <w:r>
        <w:rPr>
          <w:rFonts w:ascii="Arial Narrow" w:hAnsi="Arial Narrow" w:cs="Arial"/>
          <w:bCs/>
          <w:sz w:val="22"/>
          <w:szCs w:val="22"/>
          <w:lang w:val="es-VE"/>
        </w:rPr>
        <w:t>${cedula_saliente}</w:t>
      </w:r>
      <w:r>
        <w:rPr>
          <w:rFonts w:ascii="Arial Narrow" w:hAnsi="Arial Narrow" w:cs="Arial"/>
          <w:sz w:val="22"/>
          <w:szCs w:val="22"/>
          <w:lang w:val="es-VE"/>
        </w:rPr>
        <w:t>, Coordinadora Aseguramiento de Calidad (E)</w:t>
      </w:r>
      <w:r>
        <w:rPr>
          <w:rFonts w:ascii="Arial Narrow" w:hAnsi="Arial Narrow" w:cs="Arial"/>
          <w:sz w:val="22"/>
          <w:szCs w:val="22"/>
        </w:rPr>
        <w:t xml:space="preserve"> de la Compañía Anónima Nacional Teléfonos de Venezuela (Cantv). Acta correspondiente al cargo desempeñado durante el período comprendido desde </w:t>
      </w:r>
      <w:r>
        <w:rPr>
          <w:rFonts w:ascii="Arial Narrow" w:hAnsi="Arial Narrow" w:cs="Arial"/>
          <w:sz w:val="22"/>
          <w:szCs w:val="22"/>
          <w:lang w:val="es-VE"/>
        </w:rPr>
        <w:t xml:space="preserve">el </w:t>
      </w:r>
      <w:r>
        <w:rPr>
          <w:rFonts w:ascii="Arial Narrow" w:hAnsi="Arial Narrow" w:cs="Arial"/>
          <w:bCs/>
          <w:sz w:val="22"/>
          <w:szCs w:val="22"/>
          <w:lang w:val="es-VE"/>
        </w:rPr>
        <w:t>${periodo_gestion} al ${period</w:t>
      </w:r>
      <w:r>
        <w:rPr>
          <w:rFonts w:ascii="Arial Narrow" w:hAnsi="Arial Narrow" w:cs="Arial"/>
          <w:bCs/>
          <w:sz w:val="22"/>
          <w:szCs w:val="22"/>
          <w:lang w:val="es-VE"/>
        </w:rPr>
        <w:t>o_gestiona}.</w:t>
      </w:r>
    </w:p>
    <w:p w:rsidR="0037381E" w:rsidRDefault="0037381E">
      <w:pPr>
        <w:spacing w:line="276" w:lineRule="auto"/>
        <w:jc w:val="both"/>
        <w:rPr>
          <w:rFonts w:ascii="Arial Narrow" w:hAnsi="Arial Narrow" w:cs="Arial"/>
          <w:b/>
          <w:sz w:val="22"/>
          <w:szCs w:val="22"/>
        </w:rPr>
      </w:pPr>
    </w:p>
    <w:p w:rsidR="0037381E" w:rsidRDefault="00AF6C81">
      <w:pPr>
        <w:spacing w:line="276" w:lineRule="auto"/>
        <w:jc w:val="right"/>
        <w:rPr>
          <w:rFonts w:ascii="Arial Narrow" w:hAnsi="Arial Narrow" w:cs="Arial"/>
          <w:b/>
          <w:sz w:val="22"/>
          <w:szCs w:val="22"/>
        </w:rPr>
      </w:pPr>
      <w:r>
        <w:rPr>
          <w:rFonts w:ascii="Arial Narrow" w:hAnsi="Arial Narrow" w:cs="Arial"/>
          <w:b/>
          <w:sz w:val="22"/>
          <w:szCs w:val="22"/>
        </w:rPr>
        <w:t>Objetivo General</w:t>
      </w:r>
    </w:p>
    <w:p w:rsidR="0037381E" w:rsidRDefault="00AF6C81">
      <w:pPr>
        <w:spacing w:line="276" w:lineRule="auto"/>
        <w:jc w:val="both"/>
        <w:rPr>
          <w:rFonts w:ascii="Arial Narrow" w:hAnsi="Arial Narrow" w:cs="Arial"/>
          <w:sz w:val="22"/>
          <w:szCs w:val="22"/>
        </w:rPr>
      </w:pPr>
      <w:r>
        <w:rPr>
          <w:rFonts w:ascii="Arial Narrow" w:hAnsi="Arial Narrow" w:cs="Arial"/>
          <w:sz w:val="22"/>
          <w:szCs w:val="22"/>
        </w:rPr>
        <w:t xml:space="preserve">Verificar la sinceridad y exactitud del contenido del Acta de Entrega de la </w:t>
      </w:r>
      <w:r>
        <w:rPr>
          <w:rFonts w:ascii="Arial Narrow" w:hAnsi="Arial Narrow" w:cs="Arial"/>
          <w:sz w:val="22"/>
          <w:szCs w:val="22"/>
          <w:lang w:val="es-VE"/>
        </w:rPr>
        <w:t>Coordinación de Aseguramiento de la Calidad</w:t>
      </w:r>
      <w:r>
        <w:rPr>
          <w:rFonts w:ascii="Arial Narrow" w:hAnsi="Arial Narrow" w:cs="Arial"/>
          <w:sz w:val="22"/>
          <w:szCs w:val="22"/>
        </w:rPr>
        <w:t xml:space="preserve"> de la Compañía Anónima Nacional Teléfonos de Venezuela Cantv, suscrita por el servidor público saliente y</w:t>
      </w:r>
      <w:r>
        <w:rPr>
          <w:rFonts w:ascii="Arial Narrow" w:hAnsi="Arial Narrow" w:cs="Arial"/>
          <w:sz w:val="22"/>
          <w:szCs w:val="22"/>
        </w:rPr>
        <w:t xml:space="preserve"> el servidor público que recibe, en el marco de las disposiciones contenidas en las Normas para Regular la Entrega de los Órganos y Entidades de la Administración Pública y de sus Respectivas Oficinas o Dependencias.</w:t>
      </w:r>
    </w:p>
    <w:p w:rsidR="0037381E" w:rsidRDefault="0037381E">
      <w:pPr>
        <w:pStyle w:val="Textoindependiente2"/>
        <w:spacing w:line="276" w:lineRule="auto"/>
        <w:rPr>
          <w:rFonts w:ascii="Arial Narrow" w:hAnsi="Arial Narrow" w:cs="Arial"/>
          <w:b/>
        </w:rPr>
      </w:pPr>
    </w:p>
    <w:p w:rsidR="0037381E" w:rsidRDefault="00AF6C81">
      <w:pPr>
        <w:pStyle w:val="Textoindependiente2"/>
        <w:spacing w:line="276" w:lineRule="auto"/>
        <w:jc w:val="right"/>
        <w:rPr>
          <w:rFonts w:ascii="Arial Narrow" w:hAnsi="Arial Narrow" w:cs="Arial"/>
          <w:b/>
        </w:rPr>
      </w:pPr>
      <w:r>
        <w:rPr>
          <w:rFonts w:ascii="Arial Narrow" w:hAnsi="Arial Narrow" w:cs="Arial"/>
          <w:b/>
        </w:rPr>
        <w:t>Objetivos Específicos:</w:t>
      </w:r>
    </w:p>
    <w:p w:rsidR="0037381E" w:rsidRDefault="00AF6C81">
      <w:pPr>
        <w:widowControl w:val="0"/>
        <w:numPr>
          <w:ilvl w:val="0"/>
          <w:numId w:val="2"/>
        </w:numPr>
        <w:spacing w:line="276" w:lineRule="auto"/>
        <w:jc w:val="both"/>
        <w:textAlignment w:val="baseline"/>
        <w:rPr>
          <w:rFonts w:ascii="Arial Narrow" w:hAnsi="Arial Narrow" w:cs="Arial"/>
          <w:sz w:val="22"/>
          <w:szCs w:val="22"/>
        </w:rPr>
      </w:pPr>
      <w:r>
        <w:rPr>
          <w:rFonts w:ascii="Arial Narrow" w:hAnsi="Arial Narrow" w:cs="Arial"/>
          <w:sz w:val="22"/>
          <w:szCs w:val="22"/>
        </w:rPr>
        <w:t xml:space="preserve">Examinar la materialización, suscripción y contenido del Acta de Entrega de la </w:t>
      </w:r>
      <w:r>
        <w:rPr>
          <w:rFonts w:ascii="Arial Narrow" w:hAnsi="Arial Narrow" w:cs="Arial"/>
          <w:sz w:val="22"/>
          <w:szCs w:val="22"/>
          <w:lang w:val="es-VE"/>
        </w:rPr>
        <w:t>Coordinación de Aseguramiento de la Calidad</w:t>
      </w:r>
      <w:r>
        <w:rPr>
          <w:rFonts w:ascii="Arial Narrow" w:hAnsi="Arial Narrow" w:cs="Arial"/>
          <w:sz w:val="22"/>
          <w:szCs w:val="22"/>
        </w:rPr>
        <w:t xml:space="preserve"> de Cantv.</w:t>
      </w:r>
    </w:p>
    <w:p w:rsidR="0037381E" w:rsidRDefault="00AF6C81">
      <w:pPr>
        <w:widowControl w:val="0"/>
        <w:numPr>
          <w:ilvl w:val="0"/>
          <w:numId w:val="2"/>
        </w:numPr>
        <w:spacing w:line="276" w:lineRule="auto"/>
        <w:jc w:val="both"/>
        <w:textAlignment w:val="baseline"/>
        <w:rPr>
          <w:rFonts w:ascii="Arial Narrow" w:hAnsi="Arial Narrow" w:cs="Arial"/>
          <w:sz w:val="22"/>
          <w:szCs w:val="22"/>
        </w:rPr>
      </w:pPr>
      <w:r>
        <w:rPr>
          <w:rFonts w:ascii="Arial Narrow" w:hAnsi="Arial Narrow" w:cs="Arial"/>
          <w:sz w:val="22"/>
          <w:szCs w:val="22"/>
        </w:rPr>
        <w:t xml:space="preserve">Verificar la sinceridad y exactitud de la información y documentación anexa al Acta de Entrega de la </w:t>
      </w:r>
      <w:r>
        <w:rPr>
          <w:rFonts w:ascii="Arial Narrow" w:hAnsi="Arial Narrow" w:cs="Arial"/>
          <w:sz w:val="22"/>
          <w:szCs w:val="22"/>
          <w:lang w:val="es-VE"/>
        </w:rPr>
        <w:t>Coordinación Asegurami</w:t>
      </w:r>
      <w:r>
        <w:rPr>
          <w:rFonts w:ascii="Arial Narrow" w:hAnsi="Arial Narrow" w:cs="Arial"/>
          <w:sz w:val="22"/>
          <w:szCs w:val="22"/>
          <w:lang w:val="es-VE"/>
        </w:rPr>
        <w:t>ento de la Calidad</w:t>
      </w:r>
      <w:r>
        <w:rPr>
          <w:rFonts w:ascii="Arial Narrow" w:hAnsi="Arial Narrow" w:cs="Arial"/>
          <w:sz w:val="22"/>
          <w:szCs w:val="22"/>
        </w:rPr>
        <w:t xml:space="preserve"> de Cantv.</w:t>
      </w:r>
      <w:r>
        <w:br w:type="page"/>
      </w:r>
    </w:p>
    <w:p w:rsidR="0037381E" w:rsidRDefault="00AF6C81">
      <w:pPr>
        <w:rPr>
          <w:rFonts w:ascii="Arial Narrow" w:hAnsi="Arial Narrow" w:cs="Arial"/>
          <w:b/>
        </w:rPr>
      </w:pPr>
      <w:r>
        <w:rPr>
          <w:rFonts w:ascii="Arial Narrow" w:hAnsi="Arial Narrow" w:cs="Arial"/>
          <w:b/>
        </w:rPr>
        <w:lastRenderedPageBreak/>
        <w:t>Enfoque</w:t>
      </w:r>
    </w:p>
    <w:p w:rsidR="0037381E" w:rsidRDefault="00AF6C81">
      <w:pPr>
        <w:spacing w:line="276" w:lineRule="auto"/>
        <w:jc w:val="both"/>
        <w:rPr>
          <w:rFonts w:ascii="Arial Narrow" w:hAnsi="Arial Narrow" w:cs="Arial"/>
          <w:sz w:val="22"/>
          <w:szCs w:val="22"/>
        </w:rPr>
      </w:pPr>
      <w:r>
        <w:rPr>
          <w:rFonts w:ascii="Arial Narrow" w:hAnsi="Arial Narrow" w:cs="Arial"/>
          <w:sz w:val="22"/>
          <w:szCs w:val="22"/>
        </w:rPr>
        <w:t>La presente actuación se abordó desde el punto de vista de Control Posterior, de conformidad con lo previsto en el artículo 41 de la Ley Orgánica de la Contraloría General de la República y del Sistema Nacional de Cont</w:t>
      </w:r>
      <w:r>
        <w:rPr>
          <w:rFonts w:ascii="Arial Narrow" w:hAnsi="Arial Narrow" w:cs="Arial"/>
          <w:sz w:val="22"/>
          <w:szCs w:val="22"/>
        </w:rPr>
        <w:t xml:space="preserve">rol Fiscal, publicada en la Gaceta Oficial de la República Bolivariana de Venezuela Nro. 6.013 Extraordinario de fecha 23/12/2010. En tal sentido, la evaluación se orientó a verificar la sinceridad y exactitud del contenido del Acta de Entrega de la </w:t>
      </w:r>
      <w:r>
        <w:rPr>
          <w:rFonts w:ascii="Arial Narrow" w:hAnsi="Arial Narrow" w:cs="Arial"/>
          <w:sz w:val="22"/>
          <w:szCs w:val="22"/>
          <w:lang w:val="es-VE"/>
        </w:rPr>
        <w:t>Coordi</w:t>
      </w:r>
      <w:r>
        <w:rPr>
          <w:rFonts w:ascii="Arial Narrow" w:hAnsi="Arial Narrow" w:cs="Arial"/>
          <w:sz w:val="22"/>
          <w:szCs w:val="22"/>
          <w:lang w:val="es-VE"/>
        </w:rPr>
        <w:t>nación Aseguramiento de Calidad</w:t>
      </w:r>
      <w:r>
        <w:rPr>
          <w:rFonts w:ascii="Arial Narrow" w:hAnsi="Arial Narrow" w:cs="Arial"/>
          <w:sz w:val="22"/>
          <w:szCs w:val="22"/>
        </w:rPr>
        <w:t xml:space="preserve"> de Cantv, suscrita en fecha ${fecha_subcripcion}.</w:t>
      </w:r>
    </w:p>
    <w:p w:rsidR="0037381E" w:rsidRDefault="0037381E">
      <w:pPr>
        <w:spacing w:line="276" w:lineRule="auto"/>
        <w:jc w:val="both"/>
        <w:rPr>
          <w:rFonts w:ascii="Arial Narrow" w:hAnsi="Arial Narrow" w:cs="Arial"/>
          <w:b/>
          <w:sz w:val="22"/>
          <w:szCs w:val="22"/>
        </w:rPr>
      </w:pPr>
    </w:p>
    <w:p w:rsidR="0037381E" w:rsidRDefault="00AF6C81">
      <w:pPr>
        <w:spacing w:line="276" w:lineRule="auto"/>
        <w:jc w:val="right"/>
        <w:rPr>
          <w:rFonts w:ascii="Arial Narrow" w:hAnsi="Arial Narrow" w:cs="Arial"/>
          <w:b/>
          <w:sz w:val="22"/>
          <w:szCs w:val="22"/>
        </w:rPr>
      </w:pPr>
      <w:r>
        <w:rPr>
          <w:rFonts w:ascii="Arial Narrow" w:hAnsi="Arial Narrow" w:cs="Arial"/>
          <w:b/>
          <w:sz w:val="22"/>
          <w:szCs w:val="22"/>
        </w:rPr>
        <w:t>Métodos, Procedimientos y Técnicas</w:t>
      </w:r>
    </w:p>
    <w:p w:rsidR="0037381E" w:rsidRDefault="00AF6C81">
      <w:pPr>
        <w:spacing w:line="276" w:lineRule="auto"/>
        <w:jc w:val="both"/>
        <w:rPr>
          <w:rFonts w:ascii="Arial Narrow" w:hAnsi="Arial Narrow" w:cs="Arial"/>
          <w:sz w:val="22"/>
          <w:szCs w:val="22"/>
        </w:rPr>
      </w:pPr>
      <w:r>
        <w:rPr>
          <w:rFonts w:ascii="Arial Narrow" w:hAnsi="Arial Narrow" w:cs="Arial"/>
          <w:sz w:val="22"/>
          <w:szCs w:val="22"/>
        </w:rPr>
        <w:t>Se aplicó métodos, técnicas y procedimientos de auditoría de aceptación general, de conformidad con las disposiciones previstas en las Nor</w:t>
      </w:r>
      <w:r>
        <w:rPr>
          <w:rFonts w:ascii="Arial Narrow" w:hAnsi="Arial Narrow" w:cs="Arial"/>
          <w:sz w:val="22"/>
          <w:szCs w:val="22"/>
        </w:rPr>
        <w:t>mas Generales de Auditoría de Estado, dictadas por la Contraloría General de la República y publicadas en la Gaceta Oficial de la República Bolivariana de Venezuela Nro. 40.172 de fecha 22 de mayo de 2013, como lo son: la indagación, inspección y comparaci</w:t>
      </w:r>
      <w:r>
        <w:rPr>
          <w:rFonts w:ascii="Arial Narrow" w:hAnsi="Arial Narrow" w:cs="Arial"/>
          <w:sz w:val="22"/>
          <w:szCs w:val="22"/>
        </w:rPr>
        <w:t>ón; así como la selección de muestras para verificar la pertinencia y confiabilidad de la información contenida en el Acta de Entrega y sus respectivos anexos, de acuerdo a lo estipulado en las Normas para Regular la Entrega de los Órganos y Entidades de l</w:t>
      </w:r>
      <w:r>
        <w:rPr>
          <w:rFonts w:ascii="Arial Narrow" w:hAnsi="Arial Narrow" w:cs="Arial"/>
          <w:sz w:val="22"/>
          <w:szCs w:val="22"/>
        </w:rPr>
        <w:t>a Administración Pública y de sus respectivas Oficinas o Dependencias (NREOEAPROD) de fecha 27 de julio de 2009, publicada en la Gaceta Oficial de la República Bolivariana de Venezuela  Nro. 39.229 de fecha 28 de julio de 2009.</w:t>
      </w:r>
    </w:p>
    <w:p w:rsidR="0037381E" w:rsidRDefault="0037381E">
      <w:pPr>
        <w:spacing w:line="276" w:lineRule="auto"/>
        <w:jc w:val="both"/>
        <w:rPr>
          <w:rFonts w:ascii="Arial Narrow" w:hAnsi="Arial Narrow" w:cs="Arial"/>
          <w:iCs/>
          <w:sz w:val="22"/>
          <w:szCs w:val="22"/>
        </w:rPr>
      </w:pPr>
    </w:p>
    <w:p w:rsidR="0037381E" w:rsidRDefault="00AF6C81">
      <w:pPr>
        <w:spacing w:line="276" w:lineRule="auto"/>
        <w:jc w:val="right"/>
        <w:rPr>
          <w:rFonts w:ascii="Arial Narrow" w:hAnsi="Arial Narrow" w:cs="Arial"/>
          <w:b/>
          <w:sz w:val="22"/>
          <w:szCs w:val="22"/>
        </w:rPr>
      </w:pPr>
      <w:r>
        <w:rPr>
          <w:rFonts w:ascii="Arial Narrow" w:hAnsi="Arial Narrow" w:cs="Arial"/>
          <w:b/>
          <w:sz w:val="22"/>
          <w:szCs w:val="22"/>
        </w:rPr>
        <w:t>Marco Legal</w:t>
      </w:r>
    </w:p>
    <w:p w:rsidR="0037381E" w:rsidRDefault="00AF6C81">
      <w:pPr>
        <w:spacing w:line="276" w:lineRule="auto"/>
        <w:jc w:val="both"/>
        <w:rPr>
          <w:rFonts w:ascii="Arial Narrow" w:hAnsi="Arial Narrow" w:cs="Arial"/>
          <w:sz w:val="22"/>
          <w:szCs w:val="22"/>
        </w:rPr>
      </w:pPr>
      <w:r>
        <w:rPr>
          <w:rFonts w:ascii="Arial Narrow" w:hAnsi="Arial Narrow" w:cs="Arial"/>
          <w:sz w:val="22"/>
          <w:szCs w:val="22"/>
        </w:rPr>
        <w:t>El marco regula</w:t>
      </w:r>
      <w:r>
        <w:rPr>
          <w:rFonts w:ascii="Arial Narrow" w:hAnsi="Arial Narrow" w:cs="Arial"/>
          <w:sz w:val="22"/>
          <w:szCs w:val="22"/>
        </w:rPr>
        <w:t>torio utilizado en la actuación fiscal, lo integran fundamentalmente los instrumentos normativos siguientes:</w:t>
      </w:r>
    </w:p>
    <w:p w:rsidR="0037381E" w:rsidRDefault="0037381E">
      <w:pPr>
        <w:spacing w:line="276" w:lineRule="auto"/>
        <w:jc w:val="both"/>
        <w:rPr>
          <w:rFonts w:ascii="Arial Narrow" w:hAnsi="Arial Narrow" w:cs="Arial"/>
          <w:sz w:val="22"/>
          <w:szCs w:val="22"/>
        </w:rPr>
      </w:pPr>
    </w:p>
    <w:p w:rsidR="0037381E" w:rsidRDefault="00AF6C81">
      <w:pPr>
        <w:widowControl w:val="0"/>
        <w:numPr>
          <w:ilvl w:val="0"/>
          <w:numId w:val="1"/>
        </w:numPr>
        <w:spacing w:line="276" w:lineRule="auto"/>
        <w:ind w:left="360"/>
        <w:jc w:val="both"/>
        <w:textAlignment w:val="baseline"/>
        <w:rPr>
          <w:rFonts w:ascii="Arial Narrow" w:hAnsi="Arial Narrow" w:cs="Arial"/>
          <w:sz w:val="22"/>
          <w:szCs w:val="22"/>
        </w:rPr>
      </w:pPr>
      <w:r>
        <w:rPr>
          <w:rFonts w:ascii="Arial Narrow" w:hAnsi="Arial Narrow" w:cs="Arial"/>
          <w:sz w:val="22"/>
          <w:szCs w:val="22"/>
        </w:rPr>
        <w:t>Constitución de la República Bolivariana de Venezuela (CRBV) y su Enmienda Nro. 1, publicadas en las Gacetas Oficiales de la República Bolivariana</w:t>
      </w:r>
      <w:r>
        <w:rPr>
          <w:rFonts w:ascii="Arial Narrow" w:hAnsi="Arial Narrow" w:cs="Arial"/>
          <w:sz w:val="22"/>
          <w:szCs w:val="22"/>
        </w:rPr>
        <w:t xml:space="preserve"> de Venezuela Nro. 5.453 y 5.908, ambos Extraordinario de fechas 24/03/2000 y 19/02/2009, respectivamente.</w:t>
      </w:r>
    </w:p>
    <w:p w:rsidR="0037381E" w:rsidRDefault="0037381E">
      <w:pPr>
        <w:widowControl w:val="0"/>
        <w:spacing w:line="276" w:lineRule="auto"/>
        <w:ind w:left="360"/>
        <w:jc w:val="both"/>
        <w:textAlignment w:val="baseline"/>
        <w:rPr>
          <w:rFonts w:ascii="Arial Narrow" w:hAnsi="Arial Narrow" w:cs="Arial"/>
          <w:sz w:val="22"/>
          <w:szCs w:val="22"/>
        </w:rPr>
      </w:pPr>
    </w:p>
    <w:p w:rsidR="0037381E" w:rsidRDefault="00AF6C81">
      <w:pPr>
        <w:widowControl w:val="0"/>
        <w:numPr>
          <w:ilvl w:val="0"/>
          <w:numId w:val="1"/>
        </w:numPr>
        <w:spacing w:line="276" w:lineRule="auto"/>
        <w:ind w:left="360"/>
        <w:jc w:val="both"/>
        <w:textAlignment w:val="baseline"/>
        <w:rPr>
          <w:rFonts w:ascii="Arial Narrow" w:hAnsi="Arial Narrow" w:cs="Arial"/>
          <w:sz w:val="22"/>
          <w:szCs w:val="22"/>
        </w:rPr>
      </w:pPr>
      <w:r>
        <w:rPr>
          <w:rFonts w:ascii="Arial Narrow" w:hAnsi="Arial Narrow" w:cs="Arial"/>
          <w:sz w:val="22"/>
          <w:szCs w:val="22"/>
        </w:rPr>
        <w:t>Ley Orgánica de la Contraloría General de la República y del Sistema Nacional de Control Fiscal (LOCGRSNCF), publicada en la Gaceta Oficial de la Re</w:t>
      </w:r>
      <w:r>
        <w:rPr>
          <w:rFonts w:ascii="Arial Narrow" w:hAnsi="Arial Narrow" w:cs="Arial"/>
          <w:sz w:val="22"/>
          <w:szCs w:val="22"/>
        </w:rPr>
        <w:t>pública Bolivariana de Venezuela Nro. 6.013 Extraordinario de fecha 23/12/2010.</w:t>
      </w:r>
    </w:p>
    <w:p w:rsidR="0037381E" w:rsidRDefault="0037381E">
      <w:pPr>
        <w:spacing w:line="276" w:lineRule="auto"/>
        <w:jc w:val="both"/>
        <w:rPr>
          <w:rFonts w:ascii="Arial Narrow" w:hAnsi="Arial Narrow" w:cs="Arial"/>
          <w:sz w:val="22"/>
          <w:szCs w:val="22"/>
        </w:rPr>
      </w:pPr>
    </w:p>
    <w:p w:rsidR="0037381E" w:rsidRDefault="00AF6C81">
      <w:pPr>
        <w:widowControl w:val="0"/>
        <w:numPr>
          <w:ilvl w:val="0"/>
          <w:numId w:val="1"/>
        </w:numPr>
        <w:spacing w:line="276" w:lineRule="auto"/>
        <w:ind w:left="360"/>
        <w:jc w:val="both"/>
        <w:textAlignment w:val="baseline"/>
        <w:rPr>
          <w:rFonts w:ascii="Arial Narrow" w:hAnsi="Arial Narrow" w:cs="Arial"/>
          <w:sz w:val="22"/>
          <w:szCs w:val="22"/>
        </w:rPr>
      </w:pPr>
      <w:r>
        <w:rPr>
          <w:rFonts w:ascii="Arial Narrow" w:hAnsi="Arial Narrow" w:cs="Arial"/>
          <w:sz w:val="22"/>
          <w:szCs w:val="22"/>
        </w:rPr>
        <w:t>Reglamento de la Ley Orgánica de la Contraloría General de la República y del Sistema Nacional de Control Fiscal (RLOCGRSNCF), publicado en la Gaceta Oficial de la República B</w:t>
      </w:r>
      <w:r>
        <w:rPr>
          <w:rFonts w:ascii="Arial Narrow" w:hAnsi="Arial Narrow" w:cs="Arial"/>
          <w:sz w:val="22"/>
          <w:szCs w:val="22"/>
        </w:rPr>
        <w:t>olivariana de Venezuela Nro. 39.240 de fecha 12/08/2009.</w:t>
      </w:r>
    </w:p>
    <w:p w:rsidR="0037381E" w:rsidRDefault="0037381E">
      <w:pPr>
        <w:spacing w:line="276" w:lineRule="auto"/>
        <w:jc w:val="both"/>
        <w:rPr>
          <w:rFonts w:ascii="Arial Narrow" w:hAnsi="Arial Narrow" w:cs="Arial"/>
          <w:sz w:val="22"/>
          <w:szCs w:val="22"/>
        </w:rPr>
      </w:pPr>
    </w:p>
    <w:p w:rsidR="0037381E" w:rsidRDefault="00AF6C81">
      <w:pPr>
        <w:widowControl w:val="0"/>
        <w:numPr>
          <w:ilvl w:val="0"/>
          <w:numId w:val="1"/>
        </w:numPr>
        <w:spacing w:line="276" w:lineRule="auto"/>
        <w:ind w:left="360"/>
        <w:jc w:val="both"/>
        <w:textAlignment w:val="baseline"/>
        <w:rPr>
          <w:rFonts w:ascii="Arial Narrow" w:hAnsi="Arial Narrow" w:cs="Arial"/>
          <w:sz w:val="22"/>
          <w:szCs w:val="22"/>
        </w:rPr>
      </w:pPr>
      <w:r>
        <w:rPr>
          <w:rFonts w:ascii="Arial Narrow" w:hAnsi="Arial Narrow" w:cs="Arial"/>
          <w:sz w:val="22"/>
          <w:szCs w:val="22"/>
        </w:rPr>
        <w:t xml:space="preserve">Decreto Nro. </w:t>
      </w:r>
      <w:r>
        <w:rPr>
          <w:rFonts w:ascii="Arial Narrow" w:hAnsi="Arial Narrow" w:cs="Arial"/>
          <w:color w:val="000000"/>
          <w:sz w:val="22"/>
          <w:szCs w:val="22"/>
        </w:rPr>
        <w:t>5974, de fecha 01/04/2008, sobre la Adscripción al Ministerio del Poder Popular para las Telecomunicaciones y la Informática de la Compañía Anónima Nacional Teléfonos de Venezuela (Cant</w:t>
      </w:r>
      <w:r>
        <w:rPr>
          <w:rFonts w:ascii="Arial Narrow" w:hAnsi="Arial Narrow" w:cs="Arial"/>
          <w:color w:val="000000"/>
          <w:sz w:val="22"/>
          <w:szCs w:val="22"/>
        </w:rPr>
        <w:t>v) y sus empresas filiales, publicada en la Gaceta Oficial de la República Bolivariana de Venezuela Nro. 38.900, de fecha 01/04/2008.</w:t>
      </w:r>
    </w:p>
    <w:p w:rsidR="0037381E" w:rsidRDefault="0037381E">
      <w:pPr>
        <w:widowControl w:val="0"/>
        <w:spacing w:line="276" w:lineRule="auto"/>
        <w:jc w:val="both"/>
        <w:textAlignment w:val="baseline"/>
        <w:rPr>
          <w:rFonts w:ascii="Arial Narrow" w:hAnsi="Arial Narrow" w:cs="Arial"/>
          <w:sz w:val="22"/>
          <w:szCs w:val="22"/>
        </w:rPr>
      </w:pPr>
    </w:p>
    <w:p w:rsidR="0037381E" w:rsidRDefault="00AF6C81">
      <w:pPr>
        <w:widowControl w:val="0"/>
        <w:numPr>
          <w:ilvl w:val="0"/>
          <w:numId w:val="1"/>
        </w:numPr>
        <w:spacing w:line="276" w:lineRule="auto"/>
        <w:ind w:left="360"/>
        <w:jc w:val="both"/>
        <w:textAlignment w:val="baseline"/>
        <w:rPr>
          <w:rFonts w:ascii="Arial Narrow" w:hAnsi="Arial Narrow" w:cs="Arial"/>
          <w:sz w:val="22"/>
          <w:szCs w:val="22"/>
        </w:rPr>
      </w:pPr>
      <w:r>
        <w:rPr>
          <w:rFonts w:ascii="Arial Narrow" w:hAnsi="Arial Narrow" w:cs="Arial"/>
          <w:sz w:val="22"/>
          <w:szCs w:val="22"/>
        </w:rPr>
        <w:t xml:space="preserve">Normas Generales de Auditoría de Estado (NGAE), dictadas por la Contraloría General de la República, publicadas en la </w:t>
      </w:r>
      <w:r>
        <w:rPr>
          <w:rFonts w:ascii="Arial Narrow" w:hAnsi="Arial Narrow" w:cs="Arial"/>
          <w:sz w:val="22"/>
          <w:szCs w:val="22"/>
        </w:rPr>
        <w:t>Gaceta Oficial de la República Bolivariana de Venezuela Nro. 40.172 de fecha 22/05/2013.</w:t>
      </w:r>
    </w:p>
    <w:p w:rsidR="0037381E" w:rsidRDefault="0037381E">
      <w:pPr>
        <w:spacing w:line="276" w:lineRule="auto"/>
        <w:jc w:val="both"/>
        <w:rPr>
          <w:rFonts w:ascii="Arial Narrow" w:hAnsi="Arial Narrow" w:cs="Arial"/>
          <w:sz w:val="22"/>
          <w:szCs w:val="22"/>
        </w:rPr>
      </w:pPr>
    </w:p>
    <w:p w:rsidR="0037381E" w:rsidRDefault="00AF6C81">
      <w:pPr>
        <w:widowControl w:val="0"/>
        <w:numPr>
          <w:ilvl w:val="0"/>
          <w:numId w:val="1"/>
        </w:numPr>
        <w:spacing w:line="276" w:lineRule="auto"/>
        <w:ind w:left="360"/>
        <w:jc w:val="both"/>
        <w:textAlignment w:val="baseline"/>
        <w:rPr>
          <w:rFonts w:ascii="Arial Narrow" w:hAnsi="Arial Narrow" w:cs="Arial"/>
          <w:sz w:val="22"/>
          <w:szCs w:val="22"/>
        </w:rPr>
      </w:pPr>
      <w:r>
        <w:rPr>
          <w:rFonts w:ascii="Arial Narrow" w:hAnsi="Arial Narrow" w:cs="Arial"/>
          <w:sz w:val="22"/>
          <w:szCs w:val="22"/>
        </w:rPr>
        <w:lastRenderedPageBreak/>
        <w:t>Normas para Regular la Entrega de los Órganos y Entidades de la Administración Pública y de sus Respectivas Oficinas o Dependencias (NREOEAPROD), publicada en la Gace</w:t>
      </w:r>
      <w:r>
        <w:rPr>
          <w:rFonts w:ascii="Arial Narrow" w:hAnsi="Arial Narrow" w:cs="Arial"/>
          <w:sz w:val="22"/>
          <w:szCs w:val="22"/>
        </w:rPr>
        <w:t>ta Oficial de la República Bolivariana de Venezuela Nro. 39.229 de fecha 28/07/2009; Resolución Nro. 01-00-000162 de fecha 27/07/2009.</w:t>
      </w:r>
    </w:p>
    <w:p w:rsidR="0037381E" w:rsidRDefault="0037381E">
      <w:pPr>
        <w:spacing w:line="276" w:lineRule="auto"/>
        <w:jc w:val="both"/>
        <w:rPr>
          <w:rFonts w:ascii="Arial Narrow" w:hAnsi="Arial Narrow" w:cs="Arial"/>
          <w:sz w:val="22"/>
          <w:szCs w:val="22"/>
        </w:rPr>
      </w:pPr>
    </w:p>
    <w:p w:rsidR="0037381E" w:rsidRDefault="00AF6C81">
      <w:pPr>
        <w:spacing w:line="276" w:lineRule="auto"/>
        <w:rPr>
          <w:rFonts w:ascii="Arial Narrow" w:hAnsi="Arial Narrow" w:cs="Arial"/>
          <w:b/>
          <w:sz w:val="22"/>
          <w:szCs w:val="22"/>
        </w:rPr>
      </w:pPr>
      <w:r>
        <w:rPr>
          <w:rFonts w:ascii="Arial Narrow" w:hAnsi="Arial Narrow" w:cs="Arial"/>
          <w:b/>
          <w:sz w:val="22"/>
          <w:szCs w:val="22"/>
        </w:rPr>
        <w:t>CAPÍTULO II</w:t>
      </w:r>
    </w:p>
    <w:p w:rsidR="0037381E" w:rsidRDefault="0037381E">
      <w:pPr>
        <w:spacing w:line="276" w:lineRule="auto"/>
        <w:rPr>
          <w:rFonts w:ascii="Arial Narrow" w:hAnsi="Arial Narrow" w:cs="Arial"/>
          <w:sz w:val="22"/>
          <w:szCs w:val="22"/>
        </w:rPr>
      </w:pPr>
    </w:p>
    <w:p w:rsidR="0037381E" w:rsidRDefault="00AF6C81">
      <w:pPr>
        <w:tabs>
          <w:tab w:val="left" w:pos="1080"/>
        </w:tabs>
        <w:rPr>
          <w:rFonts w:ascii="Arial Narrow" w:hAnsi="Arial Narrow" w:cs="Arial"/>
          <w:b/>
          <w:iCs/>
          <w:sz w:val="22"/>
          <w:szCs w:val="22"/>
        </w:rPr>
      </w:pPr>
      <w:r>
        <w:rPr>
          <w:rFonts w:ascii="Arial Narrow" w:hAnsi="Arial Narrow" w:cs="Arial"/>
          <w:b/>
          <w:iCs/>
          <w:sz w:val="22"/>
          <w:szCs w:val="22"/>
        </w:rPr>
        <w:t>Características Generales de la Compañía Anónima Nacional Teléfonos de Venezuela (Cantv)</w:t>
      </w:r>
    </w:p>
    <w:p w:rsidR="0037381E" w:rsidRDefault="00AF6C81">
      <w:pPr>
        <w:tabs>
          <w:tab w:val="left" w:pos="1080"/>
        </w:tabs>
        <w:rPr>
          <w:rFonts w:ascii="Arial Narrow" w:hAnsi="Arial Narrow" w:cs="Arial"/>
          <w:b/>
          <w:iCs/>
          <w:sz w:val="22"/>
          <w:szCs w:val="22"/>
        </w:rPr>
      </w:pPr>
      <w:r>
        <w:rPr>
          <w:rFonts w:ascii="Arial Narrow" w:hAnsi="Arial Narrow" w:cs="Arial"/>
          <w:b/>
          <w:iCs/>
          <w:sz w:val="22"/>
          <w:szCs w:val="22"/>
        </w:rPr>
        <w:t xml:space="preserve"> </w:t>
      </w:r>
    </w:p>
    <w:p w:rsidR="0037381E" w:rsidRDefault="00AF6C81">
      <w:pPr>
        <w:jc w:val="both"/>
        <w:rPr>
          <w:rFonts w:ascii="Arial Narrow" w:hAnsi="Arial Narrow" w:cs="Arial"/>
          <w:sz w:val="22"/>
          <w:szCs w:val="22"/>
          <w:lang w:val="es-VE"/>
        </w:rPr>
      </w:pPr>
      <w:r>
        <w:rPr>
          <w:rFonts w:ascii="Arial Narrow" w:hAnsi="Arial Narrow" w:cs="Arial"/>
          <w:sz w:val="22"/>
          <w:szCs w:val="22"/>
          <w:lang w:val="es-VE"/>
        </w:rPr>
        <w:t xml:space="preserve">La Compañía </w:t>
      </w:r>
      <w:r>
        <w:rPr>
          <w:rFonts w:ascii="Arial Narrow" w:hAnsi="Arial Narrow" w:cs="Arial"/>
          <w:sz w:val="22"/>
          <w:szCs w:val="22"/>
          <w:lang w:val="es-VE"/>
        </w:rPr>
        <w:t>Anónima Nacional Teléfonos de Venezuela (Cantv), es el proveedor principal de servicios de telecomunicaciones en la República Bolivariana de Venezuela, y es propietaria de una red básica de telecomunicaciones con cobertura nacional, mediante la cual provee</w:t>
      </w:r>
      <w:r>
        <w:rPr>
          <w:rFonts w:ascii="Arial Narrow" w:hAnsi="Arial Narrow" w:cs="Arial"/>
          <w:sz w:val="22"/>
          <w:szCs w:val="22"/>
          <w:lang w:val="es-VE"/>
        </w:rPr>
        <w:t xml:space="preserve"> servicios de telefonía fija local, nacional e internacional, así como también servicios de redes privadas de telecomunicaciones, red de datos, servicios de telefonía pública, telefonía rural, acceso a internet, televisión por suscripción (TDH) y servicios</w:t>
      </w:r>
      <w:r>
        <w:rPr>
          <w:rFonts w:ascii="Arial Narrow" w:hAnsi="Arial Narrow" w:cs="Arial"/>
          <w:sz w:val="22"/>
          <w:szCs w:val="22"/>
          <w:lang w:val="es-VE"/>
        </w:rPr>
        <w:t xml:space="preserve"> de conexión de internet banda ancha inalámbrica.</w:t>
      </w:r>
    </w:p>
    <w:p w:rsidR="0037381E" w:rsidRDefault="0037381E">
      <w:pPr>
        <w:pStyle w:val="WW-Encabezamiento"/>
        <w:rPr>
          <w:rFonts w:ascii="Arial Narrow" w:hAnsi="Arial Narrow" w:cs="Arial"/>
          <w:b/>
          <w:bCs/>
          <w:iCs/>
          <w:color w:val="auto"/>
          <w:sz w:val="22"/>
          <w:szCs w:val="22"/>
        </w:rPr>
      </w:pPr>
    </w:p>
    <w:p w:rsidR="0037381E" w:rsidRDefault="00AF6C81">
      <w:pPr>
        <w:pStyle w:val="WW-Encabezamiento"/>
        <w:jc w:val="right"/>
        <w:rPr>
          <w:rFonts w:ascii="Arial Narrow" w:hAnsi="Arial Narrow" w:cs="Arial"/>
          <w:b/>
          <w:bCs/>
          <w:color w:val="auto"/>
          <w:sz w:val="22"/>
          <w:szCs w:val="22"/>
        </w:rPr>
      </w:pPr>
      <w:r>
        <w:rPr>
          <w:rFonts w:ascii="Arial Narrow" w:hAnsi="Arial Narrow" w:cs="Arial"/>
          <w:b/>
          <w:bCs/>
          <w:color w:val="auto"/>
          <w:sz w:val="22"/>
          <w:szCs w:val="22"/>
        </w:rPr>
        <w:t>Reseña Histórica</w:t>
      </w:r>
    </w:p>
    <w:p w:rsidR="0037381E" w:rsidRDefault="00AF6C81">
      <w:pPr>
        <w:jc w:val="both"/>
        <w:rPr>
          <w:rFonts w:ascii="Arial Narrow" w:hAnsi="Arial Narrow" w:cs="Arial"/>
          <w:sz w:val="22"/>
          <w:szCs w:val="22"/>
        </w:rPr>
      </w:pPr>
      <w:r>
        <w:rPr>
          <w:rFonts w:ascii="Arial Narrow" w:hAnsi="Arial Narrow" w:cs="Arial"/>
          <w:sz w:val="22"/>
          <w:szCs w:val="22"/>
        </w:rPr>
        <w:t>Cantv fue constituida como Sociedad Mercantil, domiciliada en Caracas, inscrita en el Registro Mercantil que lleva el Juzgado de Comercio del Distrito Federal el día 20 de junio de 1930, b</w:t>
      </w:r>
      <w:r>
        <w:rPr>
          <w:rFonts w:ascii="Arial Narrow" w:hAnsi="Arial Narrow" w:cs="Arial"/>
          <w:sz w:val="22"/>
          <w:szCs w:val="22"/>
        </w:rPr>
        <w:t>ajo el Nro</w:t>
      </w:r>
      <w:r>
        <w:rPr>
          <w:rFonts w:ascii="Arial Narrow" w:hAnsi="Arial Narrow" w:cs="Arial"/>
          <w:b/>
          <w:bCs/>
          <w:sz w:val="22"/>
          <w:szCs w:val="22"/>
        </w:rPr>
        <w:t>.</w:t>
      </w:r>
      <w:r>
        <w:rPr>
          <w:rFonts w:ascii="Arial Narrow" w:hAnsi="Arial Narrow" w:cs="Arial"/>
          <w:sz w:val="22"/>
          <w:szCs w:val="22"/>
        </w:rPr>
        <w:t xml:space="preserve"> 2, Tomo 387, como la empresa estatal de telecomunicaciones venezolana y fue fundada el día 20 de junio de 1930, bajo una concesión otorgada por el Ministerio de Fomento para construir y explotar una red de telefonía en el Distrito Federal y los</w:t>
      </w:r>
      <w:r>
        <w:rPr>
          <w:rFonts w:ascii="Arial Narrow" w:hAnsi="Arial Narrow" w:cs="Arial"/>
          <w:sz w:val="22"/>
          <w:szCs w:val="22"/>
        </w:rPr>
        <w:t xml:space="preserve"> demás Estados del país. En el año 1953, el Estado venezolano inició un proceso de nacionalización de empresas telefónicas con la compra de la totalidad de las acciones ordinarias de Cantv, concluyendo en el año 1973 con la compra de la Compañía de Teléfon</w:t>
      </w:r>
      <w:r>
        <w:rPr>
          <w:rFonts w:ascii="Arial Narrow" w:hAnsi="Arial Narrow" w:cs="Arial"/>
          <w:sz w:val="22"/>
          <w:szCs w:val="22"/>
        </w:rPr>
        <w:t xml:space="preserve">os de San Fernando de Apure. El 12 de noviembre de 1975 se constituye la filial C.A. Venezolana de Guías (Caveguias), con un aporte accionario del 40% de Cantv. </w:t>
      </w:r>
    </w:p>
    <w:p w:rsidR="0037381E" w:rsidRDefault="0037381E">
      <w:pPr>
        <w:jc w:val="both"/>
        <w:rPr>
          <w:rFonts w:ascii="Arial Narrow" w:hAnsi="Arial Narrow" w:cs="Arial"/>
          <w:sz w:val="22"/>
          <w:szCs w:val="22"/>
        </w:rPr>
      </w:pPr>
    </w:p>
    <w:p w:rsidR="0037381E" w:rsidRDefault="00AF6C81">
      <w:pPr>
        <w:jc w:val="both"/>
        <w:rPr>
          <w:rFonts w:ascii="Arial Narrow" w:hAnsi="Arial Narrow" w:cs="Arial"/>
          <w:sz w:val="22"/>
          <w:szCs w:val="22"/>
        </w:rPr>
      </w:pPr>
      <w:r>
        <w:rPr>
          <w:rFonts w:ascii="Arial Narrow" w:hAnsi="Arial Narrow" w:cs="Arial"/>
          <w:sz w:val="22"/>
          <w:szCs w:val="22"/>
        </w:rPr>
        <w:t>Cantv fue privatizada el 15 de diciembre de 1991, en un acto celebrado en el Banco Central de</w:t>
      </w:r>
      <w:r>
        <w:rPr>
          <w:rFonts w:ascii="Arial Narrow" w:hAnsi="Arial Narrow" w:cs="Arial"/>
          <w:sz w:val="22"/>
          <w:szCs w:val="22"/>
        </w:rPr>
        <w:t xml:space="preserve"> Venezuela, cuando el Estado Venezolano le otorgó la concesión al Consorcio VenWorld, a través de un contrato que fijaba parámetros de cobertura y servicios que la empresa debía cumplir anualmente. El 19 de mayo de 1992 se constituye como empresa filial a </w:t>
      </w:r>
      <w:r>
        <w:rPr>
          <w:rFonts w:ascii="Arial Narrow" w:hAnsi="Arial Narrow" w:cs="Arial"/>
          <w:sz w:val="22"/>
          <w:szCs w:val="22"/>
        </w:rPr>
        <w:t xml:space="preserve">Telecomunicaciones Movilnet C.A. (Movilnet), en la cual Cantv suscribe la totalidad de sus acciones. En el año 1994 se constituye la compañía Cantv.Net, C.A., con participación accionaria de Cantv, cuyo objeto social era administrar, desarrollar y ofrecer </w:t>
      </w:r>
      <w:r>
        <w:rPr>
          <w:rFonts w:ascii="Arial Narrow" w:hAnsi="Arial Narrow" w:cs="Arial"/>
          <w:sz w:val="22"/>
          <w:szCs w:val="22"/>
        </w:rPr>
        <w:t>servicios según los avances tecnológicos en el país. Cantv en octubre de 1996, inicia sus operaciones bursátiles en la Bolsa de Valores de Caracas, mediante la oferta pública de acciones clase “D”, quedando sujeta a la Comisión Nacional de Valores (CNV), a</w:t>
      </w:r>
      <w:r>
        <w:rPr>
          <w:rFonts w:ascii="Arial Narrow" w:hAnsi="Arial Narrow" w:cs="Arial"/>
          <w:sz w:val="22"/>
          <w:szCs w:val="22"/>
        </w:rPr>
        <w:t>ctualmente Superintendencia Nacional de Valores (SUNAVAL).</w:t>
      </w:r>
    </w:p>
    <w:p w:rsidR="0037381E" w:rsidRDefault="0037381E">
      <w:pPr>
        <w:jc w:val="both"/>
        <w:rPr>
          <w:rFonts w:ascii="Arial Narrow" w:hAnsi="Arial Narrow" w:cs="Arial"/>
          <w:sz w:val="22"/>
          <w:szCs w:val="22"/>
        </w:rPr>
      </w:pPr>
    </w:p>
    <w:p w:rsidR="0037381E" w:rsidRDefault="00AF6C81">
      <w:pPr>
        <w:jc w:val="both"/>
        <w:rPr>
          <w:rFonts w:ascii="Arial Narrow" w:hAnsi="Arial Narrow" w:cs="Arial"/>
          <w:sz w:val="22"/>
          <w:szCs w:val="22"/>
        </w:rPr>
      </w:pPr>
      <w:r>
        <w:rPr>
          <w:rFonts w:ascii="Arial Narrow" w:hAnsi="Arial Narrow" w:cs="Arial"/>
          <w:sz w:val="22"/>
          <w:szCs w:val="22"/>
        </w:rPr>
        <w:t>El 09 de enero de 2007, se ordena la renacionalización de Cantv, mediante el Decreto Nro</w:t>
      </w:r>
      <w:r>
        <w:rPr>
          <w:rFonts w:ascii="Arial Narrow" w:hAnsi="Arial Narrow" w:cs="Arial"/>
          <w:b/>
          <w:bCs/>
          <w:sz w:val="22"/>
          <w:szCs w:val="22"/>
        </w:rPr>
        <w:t>.</w:t>
      </w:r>
      <w:r>
        <w:rPr>
          <w:rFonts w:ascii="Arial Narrow" w:hAnsi="Arial Narrow" w:cs="Arial"/>
          <w:sz w:val="22"/>
          <w:szCs w:val="22"/>
        </w:rPr>
        <w:t xml:space="preserve"> 5.974 de fecha 1 de abril de 2008, publicado en la Gaceta Oficial de la República Bolivariana de Venezuela</w:t>
      </w:r>
      <w:r>
        <w:rPr>
          <w:rFonts w:ascii="Arial Narrow" w:hAnsi="Arial Narrow" w:cs="Arial"/>
          <w:sz w:val="22"/>
          <w:szCs w:val="22"/>
        </w:rPr>
        <w:t xml:space="preserve"> Nro.</w:t>
      </w:r>
      <w:r>
        <w:rPr>
          <w:rFonts w:ascii="Arial Narrow" w:hAnsi="Arial Narrow" w:cs="Arial"/>
          <w:b/>
          <w:bCs/>
          <w:sz w:val="22"/>
          <w:szCs w:val="22"/>
        </w:rPr>
        <w:t xml:space="preserve"> </w:t>
      </w:r>
      <w:r>
        <w:rPr>
          <w:rFonts w:ascii="Arial Narrow" w:hAnsi="Arial Narrow" w:cs="Arial"/>
          <w:sz w:val="22"/>
          <w:szCs w:val="22"/>
        </w:rPr>
        <w:t xml:space="preserve">38.900 de la misma fecha. De acuerdo con lo establecido en la Ley Orgánica de la Administración Pública, se le otorgó el carácter de empresa del Estado a Cantv y sus empresas filiales (Movilnet, Cantv.Net y Caveguias). El 17 de agosto de 2010, según </w:t>
      </w:r>
      <w:r>
        <w:rPr>
          <w:rFonts w:ascii="Arial Narrow" w:hAnsi="Arial Narrow" w:cs="Arial"/>
          <w:sz w:val="22"/>
          <w:szCs w:val="22"/>
        </w:rPr>
        <w:t>Decreto Nro</w:t>
      </w:r>
      <w:r>
        <w:rPr>
          <w:rFonts w:ascii="Arial Narrow" w:hAnsi="Arial Narrow" w:cs="Arial"/>
          <w:b/>
          <w:bCs/>
          <w:sz w:val="22"/>
          <w:szCs w:val="22"/>
        </w:rPr>
        <w:t xml:space="preserve">. </w:t>
      </w:r>
      <w:r>
        <w:rPr>
          <w:rFonts w:ascii="Arial Narrow" w:hAnsi="Arial Narrow" w:cs="Arial"/>
          <w:sz w:val="22"/>
          <w:szCs w:val="22"/>
        </w:rPr>
        <w:t>7.630 publicado en la Gaceta Oficial de la República Bolivariana de Venezuela Nro</w:t>
      </w:r>
      <w:r>
        <w:rPr>
          <w:rFonts w:ascii="Arial Narrow" w:hAnsi="Arial Narrow" w:cs="Arial"/>
          <w:b/>
          <w:bCs/>
          <w:sz w:val="22"/>
          <w:szCs w:val="22"/>
        </w:rPr>
        <w:t>.</w:t>
      </w:r>
      <w:r>
        <w:rPr>
          <w:rFonts w:ascii="Arial Narrow" w:hAnsi="Arial Narrow" w:cs="Arial"/>
          <w:sz w:val="22"/>
          <w:szCs w:val="22"/>
        </w:rPr>
        <w:t xml:space="preserve"> 39.489 de la misma fecha, se ordena la fusión por absorción de Cantv.Net con la Compañía Anónima Nacional Teléfonos de Venezuela (Cantv).</w:t>
      </w:r>
    </w:p>
    <w:p w:rsidR="0037381E" w:rsidRDefault="0037381E">
      <w:pPr>
        <w:jc w:val="both"/>
        <w:rPr>
          <w:rFonts w:ascii="Arial Narrow" w:hAnsi="Arial Narrow" w:cs="Arial"/>
          <w:sz w:val="22"/>
          <w:szCs w:val="22"/>
        </w:rPr>
      </w:pPr>
    </w:p>
    <w:p w:rsidR="0037381E" w:rsidRDefault="00AF6C81">
      <w:pPr>
        <w:jc w:val="both"/>
        <w:rPr>
          <w:rFonts w:ascii="Arial Narrow" w:hAnsi="Arial Narrow" w:cs="Arial"/>
          <w:color w:val="FF0000"/>
          <w:sz w:val="22"/>
          <w:szCs w:val="22"/>
        </w:rPr>
      </w:pPr>
      <w:r>
        <w:rPr>
          <w:rFonts w:ascii="Arial Narrow" w:hAnsi="Arial Narrow" w:cs="Arial"/>
          <w:sz w:val="22"/>
          <w:szCs w:val="22"/>
        </w:rPr>
        <w:t xml:space="preserve">El Estado Venezolano </w:t>
      </w:r>
      <w:r>
        <w:rPr>
          <w:rFonts w:ascii="Arial Narrow" w:hAnsi="Arial Narrow" w:cs="Arial"/>
          <w:sz w:val="22"/>
          <w:szCs w:val="22"/>
        </w:rPr>
        <w:t>autoriza la creación de la Compañía Anónima, denominada Corporación Socialista de las Telecomunicaciones y Servicios Postales, C.A., (Corpostel), mediante el Decreto Nro</w:t>
      </w:r>
      <w:r>
        <w:rPr>
          <w:rFonts w:ascii="Arial Narrow" w:hAnsi="Arial Narrow" w:cs="Arial"/>
          <w:b/>
          <w:bCs/>
          <w:sz w:val="22"/>
          <w:szCs w:val="22"/>
        </w:rPr>
        <w:t>.</w:t>
      </w:r>
      <w:r>
        <w:rPr>
          <w:rFonts w:ascii="Arial Narrow" w:hAnsi="Arial Narrow" w:cs="Arial"/>
          <w:sz w:val="22"/>
          <w:szCs w:val="22"/>
        </w:rPr>
        <w:t xml:space="preserve"> 3.874 publicado en la Gaceta Oficial de la República Bolivariana de Venezuela Nro</w:t>
      </w:r>
      <w:r>
        <w:rPr>
          <w:rFonts w:ascii="Arial Narrow" w:hAnsi="Arial Narrow" w:cs="Arial"/>
          <w:b/>
          <w:bCs/>
          <w:sz w:val="22"/>
          <w:szCs w:val="22"/>
        </w:rPr>
        <w:t>.</w:t>
      </w:r>
      <w:r>
        <w:rPr>
          <w:rFonts w:ascii="Arial Narrow" w:hAnsi="Arial Narrow" w:cs="Arial"/>
          <w:sz w:val="22"/>
          <w:szCs w:val="22"/>
        </w:rPr>
        <w:t xml:space="preserve"> 41.651 de fecha 10 de junio de 2019. La empresa Corpostel con personalidad jurídica y patrimonio propio, estará adscrita al Ministerio del Poder Popular para la </w:t>
      </w:r>
      <w:r>
        <w:rPr>
          <w:rFonts w:ascii="Arial Narrow" w:hAnsi="Arial Narrow" w:cs="Arial"/>
          <w:sz w:val="22"/>
          <w:szCs w:val="22"/>
        </w:rPr>
        <w:lastRenderedPageBreak/>
        <w:t>Ciencia y la Tecnología; fungirá como casa matriz y en consecuencia ejercerá representación ac</w:t>
      </w:r>
      <w:r>
        <w:rPr>
          <w:rFonts w:ascii="Arial Narrow" w:hAnsi="Arial Narrow" w:cs="Arial"/>
          <w:sz w:val="22"/>
          <w:szCs w:val="22"/>
        </w:rPr>
        <w:t>cionaria de la República Bolivariana de Venezuela en las filiales de su exclusiva propiedad y mixtas, ejerciendo la tenencia y representación de las acciones del Estado, así como nuevas empresas por existir en el área de Telecomunicaciones.</w:t>
      </w:r>
      <w:r>
        <w:rPr>
          <w:rFonts w:ascii="Arial Narrow" w:hAnsi="Arial Narrow" w:cs="Arial"/>
          <w:color w:val="FF0000"/>
          <w:sz w:val="22"/>
          <w:szCs w:val="22"/>
        </w:rPr>
        <w:t xml:space="preserve"> </w:t>
      </w:r>
    </w:p>
    <w:p w:rsidR="0037381E" w:rsidRDefault="0037381E">
      <w:pPr>
        <w:jc w:val="both"/>
        <w:rPr>
          <w:rFonts w:ascii="Arial Narrow" w:hAnsi="Arial Narrow" w:cs="Arial"/>
          <w:color w:val="FF0000"/>
          <w:sz w:val="22"/>
          <w:szCs w:val="22"/>
        </w:rPr>
      </w:pPr>
    </w:p>
    <w:p w:rsidR="0037381E" w:rsidRDefault="00AF6C81">
      <w:pPr>
        <w:jc w:val="both"/>
        <w:rPr>
          <w:rFonts w:ascii="Arial Narrow" w:hAnsi="Arial Narrow" w:cs="Arial"/>
          <w:sz w:val="22"/>
          <w:szCs w:val="22"/>
        </w:rPr>
      </w:pPr>
      <w:r>
        <w:rPr>
          <w:rFonts w:ascii="Arial Narrow" w:hAnsi="Arial Narrow" w:cs="Arial"/>
          <w:sz w:val="22"/>
          <w:szCs w:val="22"/>
        </w:rPr>
        <w:t>En septiembre</w:t>
      </w:r>
      <w:r>
        <w:rPr>
          <w:rFonts w:ascii="Arial Narrow" w:hAnsi="Arial Narrow" w:cs="Arial"/>
          <w:sz w:val="22"/>
          <w:szCs w:val="22"/>
        </w:rPr>
        <w:t xml:space="preserve"> de 2019, se autoriza la ejecución de los actos administrativos y jurídicos necesarios para la separación presupuestaria, financiera y funcional de Movilnet como filial de Cantv, formalizándose así la instrucción de separación emitida el 15 julio de 2019. </w:t>
      </w:r>
      <w:r>
        <w:rPr>
          <w:rFonts w:ascii="Arial Narrow" w:hAnsi="Arial Narrow" w:cs="Arial"/>
          <w:sz w:val="22"/>
          <w:szCs w:val="22"/>
        </w:rPr>
        <w:t>En Asamblea Extraordinaria de Accionistas de Cantv, celebrada el 20 de diciembre del 2019, se acuerda la enajenación de las acciones del Estado Venezolano sobre Cantv y Movilnet a Corpostel. El Ministerio del Poder Popular para Ciencia y Tecnología en fech</w:t>
      </w:r>
      <w:r>
        <w:rPr>
          <w:rFonts w:ascii="Arial Narrow" w:hAnsi="Arial Narrow" w:cs="Arial"/>
          <w:sz w:val="22"/>
          <w:szCs w:val="22"/>
        </w:rPr>
        <w:t>a 29 de diciembre de 2020, efectuó el traspaso de acciones de Cantv a la Corporación Socialista de las Telecomunicaciones y Servicios Postales, C.A.</w:t>
      </w:r>
    </w:p>
    <w:p w:rsidR="0037381E" w:rsidRDefault="0037381E">
      <w:pPr>
        <w:tabs>
          <w:tab w:val="left" w:pos="1080"/>
        </w:tabs>
        <w:spacing w:line="276" w:lineRule="auto"/>
        <w:jc w:val="both"/>
        <w:rPr>
          <w:rFonts w:ascii="Arial Narrow" w:hAnsi="Arial Narrow" w:cs="Arial"/>
          <w:sz w:val="22"/>
          <w:szCs w:val="22"/>
        </w:rPr>
      </w:pPr>
    </w:p>
    <w:p w:rsidR="0037381E" w:rsidRDefault="00AF6C81">
      <w:pPr>
        <w:tabs>
          <w:tab w:val="left" w:pos="1080"/>
        </w:tabs>
        <w:spacing w:line="276" w:lineRule="auto"/>
        <w:jc w:val="right"/>
        <w:rPr>
          <w:rFonts w:ascii="Arial Narrow" w:hAnsi="Arial Narrow" w:cs="Arial"/>
          <w:b/>
          <w:sz w:val="22"/>
          <w:szCs w:val="22"/>
          <w:lang w:val="es-ES_tradnl"/>
        </w:rPr>
      </w:pPr>
      <w:r>
        <w:rPr>
          <w:rFonts w:ascii="Arial Narrow" w:hAnsi="Arial Narrow" w:cs="Arial"/>
          <w:b/>
          <w:sz w:val="22"/>
          <w:szCs w:val="22"/>
          <w:lang w:val="es-ES_tradnl"/>
        </w:rPr>
        <w:t>Organigrama</w:t>
      </w:r>
    </w:p>
    <w:p w:rsidR="0037381E" w:rsidRDefault="0037381E">
      <w:pPr>
        <w:tabs>
          <w:tab w:val="left" w:pos="1080"/>
        </w:tabs>
        <w:spacing w:line="276" w:lineRule="auto"/>
        <w:jc w:val="both"/>
        <w:rPr>
          <w:rFonts w:ascii="Arial Narrow" w:hAnsi="Arial Narrow" w:cs="Arial"/>
          <w:sz w:val="22"/>
          <w:szCs w:val="22"/>
          <w:lang w:val="es-VE" w:eastAsia="es-VE"/>
        </w:rPr>
      </w:pPr>
    </w:p>
    <w:p w:rsidR="0037381E" w:rsidRDefault="00AF6C81">
      <w:pPr>
        <w:tabs>
          <w:tab w:val="left" w:pos="1080"/>
        </w:tabs>
        <w:spacing w:line="276" w:lineRule="auto"/>
        <w:jc w:val="both"/>
        <w:rPr>
          <w:rFonts w:ascii="Arial Narrow" w:hAnsi="Arial Narrow" w:cs="Arial"/>
          <w:sz w:val="22"/>
          <w:szCs w:val="22"/>
          <w:lang w:val="es-ES_tradnl"/>
        </w:rPr>
      </w:pPr>
      <w:r>
        <w:rPr>
          <w:noProof/>
        </w:rPr>
        <mc:AlternateContent>
          <mc:Choice Requires="wps">
            <w:drawing>
              <wp:anchor distT="15875" distB="15875" distL="15875" distR="15875" simplePos="0" relativeHeight="11" behindDoc="0" locked="0" layoutInCell="1" allowOverlap="1">
                <wp:simplePos x="0" y="0"/>
                <wp:positionH relativeFrom="column">
                  <wp:posOffset>2453640</wp:posOffset>
                </wp:positionH>
                <wp:positionV relativeFrom="paragraph">
                  <wp:posOffset>2202815</wp:posOffset>
                </wp:positionV>
                <wp:extent cx="615950" cy="228600"/>
                <wp:effectExtent l="15875" t="15875" r="15875" b="15875"/>
                <wp:wrapNone/>
                <wp:docPr id="1" name="Rectangle 2"/>
                <wp:cNvGraphicFramePr/>
                <a:graphic xmlns:a="http://schemas.openxmlformats.org/drawingml/2006/main">
                  <a:graphicData uri="http://schemas.microsoft.com/office/word/2010/wordprocessingShape">
                    <wps:wsp>
                      <wps:cNvSpPr/>
                      <wps:spPr>
                        <a:xfrm>
                          <a:off x="0" y="0"/>
                          <a:ext cx="615960" cy="228600"/>
                        </a:xfrm>
                        <a:prstGeom prst="rect">
                          <a:avLst/>
                        </a:prstGeom>
                        <a:noFill/>
                        <a:ln w="316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55BB0600" id="Rectangle 2" o:spid="_x0000_s1026" style="position:absolute;margin-left:193.2pt;margin-top:173.45pt;width:48.5pt;height:18pt;z-index:11;visibility:visible;mso-wrap-style:square;mso-wrap-distance-left:1.25pt;mso-wrap-distance-top:1.25pt;mso-wrap-distance-right:1.2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" filled="f" strokeweight=".88mm">
                <v:stroke joinstyle="round"/>
              </v:rect>
            </w:pict>
          </mc:Fallback>
        </mc:AlternateContent>
      </w:r>
      <w:r>
        <w:rPr>
          <w:noProof/>
        </w:rPr>
        <w:drawing>
          <wp:inline distT="0" distB="0" distL="0" distR="0">
            <wp:extent cx="5367655" cy="3122930"/>
            <wp:effectExtent l="190500" t="152400" r="157043" b="97919"/>
            <wp:docPr id="2" name="Imagen 7"/>
            <wp:cNvGraphicFramePr/>
            <a:graphic xmlns:a="http://schemas.openxmlformats.org/drawingml/2006/main">
              <a:graphicData uri="http://schemas.openxmlformats.org/drawingml/2006/picture">
                <pic:pic xmlns:pic="http://schemas.openxmlformats.org/drawingml/2006/picture">
                  <pic:nvPicPr>
                    <pic:cNvPr id="3" name="Imagen 7"/>
                    <pic:cNvPicPr/>
                  </pic:nvPicPr>
                  <pic:blipFill>
                    <a:blip r:embed="rId8"/>
                    <a:srcRect l="2483" r="3153" b="7401"/>
                    <a:stretch/>
                  </pic:blipFill>
                  <pic:spPr>
                    <a:xfrm>
                      <a:off x="0" y="0"/>
                      <a:ext cx="5367600" cy="3123000"/>
                    </a:xfrm>
                    <a:prstGeom prst="rect">
                      <a:avLst/>
                    </a:prstGeom>
                    <a:ln w="190500" cap="rnd">
                      <a:solidFill>
                        <a:srgbClr val="FFFFFF"/>
                      </a:solidFill>
                      <a:round/>
                    </a:ln>
                    <a:effectLst>
                      <a:outerShdw blurRad="5004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7381E" w:rsidRDefault="0037381E">
      <w:pPr>
        <w:pStyle w:val="Textocomentario"/>
        <w:spacing w:line="276" w:lineRule="auto"/>
        <w:rPr>
          <w:rFonts w:ascii="Arial Narrow" w:hAnsi="Arial Narrow" w:cs="Arial"/>
          <w:sz w:val="16"/>
          <w:szCs w:val="16"/>
        </w:rPr>
      </w:pPr>
    </w:p>
    <w:p w:rsidR="0037381E" w:rsidRDefault="00AF6C81">
      <w:pPr>
        <w:pStyle w:val="Textocomentario"/>
        <w:spacing w:line="276" w:lineRule="auto"/>
        <w:rPr>
          <w:rFonts w:ascii="Arial Narrow" w:hAnsi="Arial Narrow" w:cs="Arial"/>
          <w:sz w:val="16"/>
          <w:szCs w:val="16"/>
        </w:rPr>
      </w:pPr>
      <w:r>
        <w:rPr>
          <w:rFonts w:ascii="Arial Narrow" w:hAnsi="Arial Narrow" w:cs="Arial"/>
          <w:sz w:val="16"/>
          <w:szCs w:val="16"/>
        </w:rPr>
        <w:t>Fuente: Gerencia de Organización y Procesos de la Gerencia General de Planificación</w:t>
      </w:r>
    </w:p>
    <w:p w:rsidR="0037381E" w:rsidRDefault="0037381E">
      <w:pPr>
        <w:pStyle w:val="Textocomentario"/>
        <w:spacing w:line="276" w:lineRule="auto"/>
        <w:rPr>
          <w:rFonts w:ascii="Arial Narrow" w:hAnsi="Arial Narrow" w:cs="Arial"/>
          <w:sz w:val="16"/>
          <w:szCs w:val="16"/>
        </w:rPr>
      </w:pPr>
    </w:p>
    <w:p w:rsidR="0037381E" w:rsidRDefault="00AF6C81">
      <w:pPr>
        <w:numPr>
          <w:ilvl w:val="0"/>
          <w:numId w:val="5"/>
        </w:numPr>
        <w:spacing w:line="276" w:lineRule="auto"/>
        <w:jc w:val="both"/>
        <w:rPr>
          <w:rFonts w:ascii="Arial Narrow" w:hAnsi="Arial Narrow" w:cs="Arial"/>
          <w:bCs/>
          <w:sz w:val="22"/>
          <w:szCs w:val="22"/>
        </w:rPr>
      </w:pPr>
      <w:r>
        <w:rPr>
          <w:rFonts w:ascii="Arial Narrow" w:hAnsi="Arial Narrow" w:cs="Arial"/>
          <w:bCs/>
          <w:sz w:val="22"/>
          <w:szCs w:val="22"/>
        </w:rPr>
        <w:t>Presidencia Cantv</w:t>
      </w:r>
    </w:p>
    <w:p w:rsidR="0037381E" w:rsidRDefault="00AF6C81">
      <w:pPr>
        <w:pStyle w:val="Prrafodelista"/>
        <w:numPr>
          <w:ilvl w:val="0"/>
          <w:numId w:val="5"/>
        </w:numPr>
        <w:spacing w:line="276" w:lineRule="auto"/>
        <w:jc w:val="both"/>
        <w:rPr>
          <w:rFonts w:ascii="Arial Narrow" w:hAnsi="Arial Narrow" w:cs="Arial"/>
          <w:bCs/>
          <w:sz w:val="22"/>
          <w:szCs w:val="22"/>
        </w:rPr>
      </w:pPr>
      <w:r>
        <w:rPr>
          <w:rFonts w:ascii="Arial Narrow" w:hAnsi="Arial Narrow" w:cs="Arial"/>
          <w:bCs/>
          <w:sz w:val="22"/>
          <w:szCs w:val="22"/>
        </w:rPr>
        <w:t>Vicepresidencia de Prestación de Servicios</w:t>
      </w:r>
    </w:p>
    <w:p w:rsidR="0037381E" w:rsidRDefault="00AF6C81">
      <w:pPr>
        <w:numPr>
          <w:ilvl w:val="2"/>
          <w:numId w:val="4"/>
        </w:numPr>
        <w:spacing w:line="276" w:lineRule="auto"/>
        <w:ind w:left="2127" w:hanging="426"/>
        <w:jc w:val="both"/>
        <w:rPr>
          <w:rFonts w:ascii="Arial Narrow" w:hAnsi="Arial Narrow" w:cs="Arial"/>
          <w:sz w:val="22"/>
          <w:szCs w:val="22"/>
        </w:rPr>
      </w:pPr>
      <w:r>
        <w:rPr>
          <w:rFonts w:ascii="Arial Narrow" w:hAnsi="Arial Narrow" w:cs="Arial"/>
          <w:sz w:val="22"/>
          <w:szCs w:val="22"/>
          <w:lang w:val="es-VE"/>
        </w:rPr>
        <w:t>Gerencia General Mercados Masivos</w:t>
      </w:r>
    </w:p>
    <w:p w:rsidR="0037381E" w:rsidRDefault="00AF6C81">
      <w:pPr>
        <w:numPr>
          <w:ilvl w:val="4"/>
          <w:numId w:val="4"/>
        </w:numPr>
        <w:spacing w:line="276" w:lineRule="auto"/>
        <w:jc w:val="both"/>
        <w:rPr>
          <w:rFonts w:ascii="Arial Narrow" w:hAnsi="Arial Narrow" w:cs="Arial"/>
          <w:b/>
          <w:sz w:val="22"/>
          <w:szCs w:val="22"/>
        </w:rPr>
      </w:pPr>
      <w:r>
        <w:rPr>
          <w:rFonts w:ascii="Arial Narrow" w:hAnsi="Arial Narrow" w:cs="Arial"/>
          <w:sz w:val="22"/>
          <w:szCs w:val="22"/>
          <w:lang w:val="es-VE"/>
        </w:rPr>
        <w:t>Coordinación de Aseguramiento de Calidad</w:t>
      </w:r>
    </w:p>
    <w:p w:rsidR="0037381E" w:rsidRDefault="0037381E">
      <w:pPr>
        <w:tabs>
          <w:tab w:val="left" w:pos="1080"/>
        </w:tabs>
        <w:spacing w:line="276" w:lineRule="auto"/>
        <w:jc w:val="both"/>
        <w:rPr>
          <w:rFonts w:ascii="Arial Narrow" w:hAnsi="Arial Narrow" w:cs="Arial"/>
          <w:b/>
          <w:sz w:val="22"/>
          <w:szCs w:val="22"/>
        </w:rPr>
      </w:pPr>
    </w:p>
    <w:p w:rsidR="0037381E" w:rsidRDefault="0037381E">
      <w:pPr>
        <w:spacing w:line="276" w:lineRule="auto"/>
        <w:jc w:val="both"/>
        <w:rPr>
          <w:rFonts w:ascii="Arial Narrow" w:hAnsi="Arial Narrow" w:cs="Arial"/>
          <w:sz w:val="22"/>
          <w:szCs w:val="22"/>
          <w:lang w:val="es-VE"/>
        </w:rPr>
      </w:pPr>
    </w:p>
    <w:p w:rsidR="0037381E" w:rsidRDefault="00AF6C81">
      <w:pPr>
        <w:spacing w:line="276" w:lineRule="auto"/>
        <w:jc w:val="both"/>
        <w:rPr>
          <w:rFonts w:ascii="Arial Narrow" w:hAnsi="Arial Narrow" w:cs="Arial"/>
          <w:sz w:val="22"/>
          <w:szCs w:val="22"/>
          <w:lang w:val="es-VE"/>
        </w:rPr>
      </w:pPr>
      <w:r>
        <w:rPr>
          <w:rFonts w:ascii="Arial Narrow" w:hAnsi="Arial Narrow" w:cs="Arial"/>
          <w:sz w:val="22"/>
          <w:szCs w:val="22"/>
          <w:lang w:val="es-VE"/>
        </w:rPr>
        <w:t>Coordinación de Aseguramiento de Calidad</w:t>
      </w:r>
    </w:p>
    <w:p w:rsidR="0037381E" w:rsidRDefault="0037381E">
      <w:pPr>
        <w:spacing w:line="276" w:lineRule="auto"/>
        <w:jc w:val="both"/>
        <w:rPr>
          <w:rFonts w:ascii="Arial Narrow" w:hAnsi="Arial Narrow" w:cs="Arial"/>
          <w:sz w:val="22"/>
          <w:szCs w:val="22"/>
        </w:rPr>
      </w:pPr>
    </w:p>
    <w:p w:rsidR="0037381E" w:rsidRDefault="00AF6C81">
      <w:pPr>
        <w:spacing w:line="276" w:lineRule="auto"/>
        <w:jc w:val="both"/>
        <w:rPr>
          <w:rFonts w:ascii="Arial Narrow" w:hAnsi="Arial Narrow" w:cs="Arial"/>
          <w:sz w:val="22"/>
          <w:szCs w:val="22"/>
        </w:rPr>
      </w:pPr>
      <w:r>
        <w:rPr>
          <w:rFonts w:ascii="Arial Narrow" w:hAnsi="Arial Narrow" w:cs="Arial"/>
          <w:sz w:val="22"/>
          <w:szCs w:val="22"/>
        </w:rPr>
        <w:lastRenderedPageBreak/>
        <w:t xml:space="preserve">Tiene dentro de sus funciones: </w:t>
      </w:r>
    </w:p>
    <w:p w:rsidR="0037381E" w:rsidRDefault="00AF6C81">
      <w:pPr>
        <w:rPr>
          <w:rFonts w:ascii="Arial Narrow" w:hAnsi="Arial Narrow" w:cs="Arial"/>
          <w:sz w:val="22"/>
          <w:szCs w:val="22"/>
          <w:lang w:val="es-VE" w:eastAsia="es-VE"/>
        </w:rPr>
      </w:pPr>
      <w:r>
        <w:rPr>
          <w:rFonts w:ascii="Arial Narrow" w:hAnsi="Arial Narrow" w:cs="Arial"/>
          <w:sz w:val="22"/>
          <w:szCs w:val="22"/>
          <w:lang w:val="es-VE" w:eastAsia="es-VE"/>
        </w:rPr>
        <w:t xml:space="preserve">• Coordinar y promover la identificación de </w:t>
      </w:r>
      <w:r>
        <w:rPr>
          <w:rFonts w:ascii="Arial Narrow" w:hAnsi="Arial Narrow" w:cs="Arial"/>
          <w:sz w:val="22"/>
          <w:szCs w:val="22"/>
          <w:lang w:val="es-VE" w:eastAsia="es-VE"/>
        </w:rPr>
        <w:t>Incidencias  / eventos que generan desviación en la cadena de otorgamiento del servicio.</w:t>
      </w:r>
    </w:p>
    <w:p w:rsidR="0037381E" w:rsidRDefault="0037381E">
      <w:pPr>
        <w:rPr>
          <w:rFonts w:ascii="Arial Narrow" w:hAnsi="Arial Narrow" w:cs="Arial"/>
          <w:sz w:val="22"/>
          <w:szCs w:val="22"/>
          <w:lang w:val="es-VE" w:eastAsia="es-VE"/>
        </w:rPr>
      </w:pPr>
    </w:p>
    <w:p w:rsidR="0037381E" w:rsidRDefault="00AF6C81">
      <w:pPr>
        <w:rPr>
          <w:rFonts w:ascii="Arial Narrow" w:hAnsi="Arial Narrow" w:cs="Arial"/>
          <w:sz w:val="22"/>
          <w:szCs w:val="22"/>
          <w:lang w:val="es-VE" w:eastAsia="es-VE"/>
        </w:rPr>
      </w:pPr>
      <w:r>
        <w:rPr>
          <w:rFonts w:ascii="Arial Narrow" w:hAnsi="Arial Narrow" w:cs="Arial"/>
          <w:sz w:val="22"/>
          <w:szCs w:val="22"/>
          <w:lang w:val="es-VE" w:eastAsia="es-VE"/>
        </w:rPr>
        <w:t xml:space="preserve">• Velar por el cumplimiento de los estándares de calidad de la atención a las usuarias y los usuarios definidos para  los canales no presenciales y para las unidades </w:t>
      </w:r>
      <w:r>
        <w:rPr>
          <w:rFonts w:ascii="Arial Narrow" w:hAnsi="Arial Narrow" w:cs="Arial"/>
          <w:sz w:val="22"/>
          <w:szCs w:val="22"/>
          <w:lang w:val="es-VE" w:eastAsia="es-VE"/>
        </w:rPr>
        <w:t>de soporte la operación.</w:t>
      </w:r>
    </w:p>
    <w:p w:rsidR="0037381E" w:rsidRDefault="0037381E">
      <w:pPr>
        <w:rPr>
          <w:rFonts w:ascii="Arial Narrow" w:hAnsi="Arial Narrow" w:cs="Arial"/>
          <w:sz w:val="22"/>
          <w:szCs w:val="22"/>
          <w:lang w:val="es-VE" w:eastAsia="es-VE"/>
        </w:rPr>
      </w:pPr>
    </w:p>
    <w:p w:rsidR="0037381E" w:rsidRDefault="00AF6C81">
      <w:pPr>
        <w:rPr>
          <w:rFonts w:ascii="Arial Narrow" w:hAnsi="Arial Narrow" w:cs="Arial"/>
          <w:sz w:val="22"/>
          <w:szCs w:val="22"/>
          <w:lang w:val="es-VE" w:eastAsia="es-VE"/>
        </w:rPr>
      </w:pPr>
      <w:r>
        <w:rPr>
          <w:rFonts w:ascii="Arial Narrow" w:hAnsi="Arial Narrow" w:cs="Arial"/>
          <w:sz w:val="22"/>
          <w:szCs w:val="22"/>
          <w:lang w:val="es-VE" w:eastAsia="es-VE"/>
        </w:rPr>
        <w:t>• Dirigir, definir lineamientos y controlar el proceso de evaluación de la calidad para los canales presenciales, no presenciales y las unidades de soporte.</w:t>
      </w:r>
    </w:p>
    <w:p w:rsidR="0037381E" w:rsidRDefault="0037381E">
      <w:pPr>
        <w:rPr>
          <w:rFonts w:ascii="Arial Narrow" w:hAnsi="Arial Narrow" w:cs="Arial"/>
          <w:color w:val="000000"/>
          <w:sz w:val="22"/>
          <w:szCs w:val="22"/>
          <w:lang w:eastAsia="es-VE"/>
        </w:rPr>
      </w:pPr>
    </w:p>
    <w:p w:rsidR="0037381E" w:rsidRDefault="0037381E">
      <w:pPr>
        <w:pStyle w:val="Textocomentario"/>
        <w:spacing w:line="276" w:lineRule="auto"/>
        <w:rPr>
          <w:rFonts w:ascii="Arial Narrow" w:hAnsi="Arial Narrow" w:cs="Arial"/>
          <w:b/>
          <w:sz w:val="16"/>
          <w:szCs w:val="16"/>
        </w:rPr>
      </w:pPr>
    </w:p>
    <w:p w:rsidR="0037381E" w:rsidRDefault="00AF6C81">
      <w:pPr>
        <w:pStyle w:val="Textocomentario"/>
        <w:spacing w:line="276" w:lineRule="auto"/>
        <w:rPr>
          <w:rFonts w:ascii="Arial Narrow" w:hAnsi="Arial Narrow" w:cs="Arial"/>
          <w:sz w:val="16"/>
          <w:szCs w:val="16"/>
        </w:rPr>
      </w:pPr>
      <w:r>
        <w:rPr>
          <w:rFonts w:ascii="Arial Narrow" w:hAnsi="Arial Narrow" w:cs="Arial"/>
          <w:b/>
          <w:sz w:val="16"/>
          <w:szCs w:val="16"/>
        </w:rPr>
        <w:t>Fuente:</w:t>
      </w:r>
      <w:r>
        <w:rPr>
          <w:rFonts w:ascii="Arial Narrow" w:hAnsi="Arial Narrow" w:cs="Arial"/>
          <w:sz w:val="16"/>
          <w:szCs w:val="16"/>
        </w:rPr>
        <w:t xml:space="preserve"> Gerencia de Organización y Procesos de la Gerencia General de Planificación</w:t>
      </w:r>
    </w:p>
    <w:p w:rsidR="0037381E" w:rsidRDefault="00AF6C81">
      <w:pPr>
        <w:pStyle w:val="WW-Encabezamiento"/>
        <w:spacing w:line="276" w:lineRule="auto"/>
        <w:jc w:val="right"/>
        <w:rPr>
          <w:rFonts w:ascii="Arial Narrow" w:hAnsi="Arial Narrow" w:cs="Arial"/>
          <w:b/>
          <w:bCs/>
          <w:color w:val="auto"/>
          <w:sz w:val="22"/>
          <w:szCs w:val="22"/>
        </w:rPr>
      </w:pPr>
      <w:r>
        <w:rPr>
          <w:rFonts w:ascii="Arial Narrow" w:hAnsi="Arial Narrow" w:cs="Arial"/>
          <w:b/>
          <w:bCs/>
          <w:color w:val="auto"/>
          <w:sz w:val="22"/>
          <w:szCs w:val="22"/>
        </w:rPr>
        <w:t>Valoración del Riesgo</w:t>
      </w:r>
    </w:p>
    <w:p w:rsidR="0037381E" w:rsidRDefault="00AF6C81">
      <w:pPr>
        <w:spacing w:line="276" w:lineRule="auto"/>
        <w:jc w:val="both"/>
        <w:rPr>
          <w:rFonts w:ascii="Arial Narrow" w:hAnsi="Arial Narrow" w:cs="Arial"/>
          <w:iCs/>
          <w:sz w:val="22"/>
          <w:szCs w:val="22"/>
        </w:rPr>
      </w:pPr>
      <w:r>
        <w:rPr>
          <w:rFonts w:ascii="Arial Narrow" w:hAnsi="Arial Narrow" w:cs="Arial"/>
          <w:iCs/>
          <w:sz w:val="22"/>
          <w:szCs w:val="22"/>
        </w:rPr>
        <w:t xml:space="preserve">Se evaluó el riesgo de la actuación fiscal, a fin de determinar cómo deben ser tratados aquellos hechos cuya probabilidad de ocurrencia es incierta; pero relevante para la consecución de los objetivos de la actuación.  </w:t>
      </w:r>
    </w:p>
    <w:p w:rsidR="0037381E" w:rsidRDefault="0037381E">
      <w:pPr>
        <w:spacing w:line="276" w:lineRule="auto"/>
        <w:jc w:val="both"/>
        <w:rPr>
          <w:rFonts w:ascii="Arial Narrow" w:hAnsi="Arial Narrow" w:cs="Arial"/>
          <w:iCs/>
          <w:sz w:val="22"/>
          <w:szCs w:val="22"/>
        </w:rPr>
      </w:pPr>
    </w:p>
    <w:p w:rsidR="0037381E" w:rsidRDefault="00AF6C81">
      <w:pPr>
        <w:spacing w:line="276" w:lineRule="auto"/>
        <w:jc w:val="both"/>
        <w:rPr>
          <w:rFonts w:ascii="Arial Narrow" w:hAnsi="Arial Narrow" w:cs="Arial"/>
          <w:iCs/>
          <w:sz w:val="22"/>
          <w:szCs w:val="22"/>
        </w:rPr>
      </w:pPr>
      <w:r>
        <w:rPr>
          <w:rFonts w:ascii="Arial Narrow" w:hAnsi="Arial Narrow" w:cs="Arial"/>
          <w:iCs/>
          <w:sz w:val="22"/>
          <w:szCs w:val="22"/>
        </w:rPr>
        <w:t xml:space="preserve">Al emplear la matriz de valoración </w:t>
      </w:r>
      <w:r>
        <w:rPr>
          <w:rFonts w:ascii="Arial Narrow" w:hAnsi="Arial Narrow" w:cs="Arial"/>
          <w:iCs/>
          <w:sz w:val="22"/>
          <w:szCs w:val="22"/>
        </w:rPr>
        <w:t>de riesgo en materia de control fiscal, se consideraron tres (3) tipos de riesgos:</w:t>
      </w:r>
    </w:p>
    <w:p w:rsidR="0037381E" w:rsidRDefault="00AF6C81">
      <w:pPr>
        <w:numPr>
          <w:ilvl w:val="0"/>
          <w:numId w:val="3"/>
        </w:numPr>
        <w:tabs>
          <w:tab w:val="left" w:pos="284"/>
        </w:tabs>
        <w:spacing w:line="276" w:lineRule="auto"/>
        <w:jc w:val="both"/>
        <w:rPr>
          <w:rFonts w:ascii="Arial Narrow" w:hAnsi="Arial Narrow" w:cs="Arial"/>
          <w:iCs/>
          <w:sz w:val="22"/>
          <w:szCs w:val="22"/>
        </w:rPr>
      </w:pPr>
      <w:r>
        <w:rPr>
          <w:rFonts w:ascii="Arial Narrow" w:hAnsi="Arial Narrow" w:cs="Arial"/>
          <w:i/>
          <w:iCs/>
          <w:sz w:val="22"/>
          <w:szCs w:val="22"/>
        </w:rPr>
        <w:t xml:space="preserve"> El riesgo inherente</w:t>
      </w:r>
      <w:r>
        <w:rPr>
          <w:rFonts w:ascii="Arial Narrow" w:hAnsi="Arial Narrow" w:cs="Arial"/>
          <w:iCs/>
          <w:sz w:val="22"/>
          <w:szCs w:val="22"/>
        </w:rPr>
        <w:t xml:space="preserve">: es aquel vinculado con los aspectos y características propias de las actividades del objeto a evaluar. </w:t>
      </w:r>
    </w:p>
    <w:p w:rsidR="0037381E" w:rsidRDefault="00AF6C81">
      <w:pPr>
        <w:pStyle w:val="Prrafodelista"/>
        <w:numPr>
          <w:ilvl w:val="0"/>
          <w:numId w:val="3"/>
        </w:numPr>
        <w:spacing w:line="276" w:lineRule="auto"/>
        <w:contextualSpacing/>
        <w:jc w:val="both"/>
        <w:rPr>
          <w:rFonts w:ascii="Arial Narrow" w:hAnsi="Arial Narrow" w:cs="Arial"/>
          <w:iCs/>
          <w:sz w:val="22"/>
          <w:szCs w:val="22"/>
        </w:rPr>
      </w:pPr>
      <w:r>
        <w:rPr>
          <w:rFonts w:ascii="Arial Narrow" w:hAnsi="Arial Narrow" w:cs="Arial"/>
          <w:i/>
          <w:iCs/>
          <w:sz w:val="22"/>
          <w:szCs w:val="22"/>
        </w:rPr>
        <w:t>El riesgo de control</w:t>
      </w:r>
      <w:r>
        <w:rPr>
          <w:rFonts w:ascii="Arial Narrow" w:hAnsi="Arial Narrow" w:cs="Arial"/>
          <w:iCs/>
          <w:sz w:val="22"/>
          <w:szCs w:val="22"/>
        </w:rPr>
        <w:t>: es aquel referido a las d</w:t>
      </w:r>
      <w:r>
        <w:rPr>
          <w:rFonts w:ascii="Arial Narrow" w:hAnsi="Arial Narrow" w:cs="Arial"/>
          <w:iCs/>
          <w:sz w:val="22"/>
          <w:szCs w:val="22"/>
        </w:rPr>
        <w:t>eficiencias del sistema de control interno del objeto a evaluar, que pudieran incidir en los resultados de la auditoría.</w:t>
      </w:r>
    </w:p>
    <w:p w:rsidR="0037381E" w:rsidRDefault="00AF6C81">
      <w:pPr>
        <w:pStyle w:val="Prrafodelista"/>
        <w:numPr>
          <w:ilvl w:val="0"/>
          <w:numId w:val="3"/>
        </w:numPr>
        <w:spacing w:line="276" w:lineRule="auto"/>
        <w:contextualSpacing/>
        <w:jc w:val="both"/>
        <w:rPr>
          <w:rFonts w:ascii="Arial Narrow" w:hAnsi="Arial Narrow" w:cs="Arial"/>
          <w:iCs/>
          <w:sz w:val="22"/>
          <w:szCs w:val="22"/>
        </w:rPr>
      </w:pPr>
      <w:r>
        <w:rPr>
          <w:rFonts w:ascii="Arial Narrow" w:hAnsi="Arial Narrow" w:cs="Arial"/>
          <w:i/>
          <w:iCs/>
          <w:sz w:val="22"/>
          <w:szCs w:val="22"/>
        </w:rPr>
        <w:t>El riesgo de detección</w:t>
      </w:r>
      <w:r>
        <w:rPr>
          <w:rFonts w:ascii="Arial Narrow" w:hAnsi="Arial Narrow" w:cs="Arial"/>
          <w:iCs/>
          <w:sz w:val="22"/>
          <w:szCs w:val="22"/>
        </w:rPr>
        <w:t>: es aquel relativo a la probabilidad de que el equipo de trabajo no aplique los procedimientos que permitan desc</w:t>
      </w:r>
      <w:r>
        <w:rPr>
          <w:rFonts w:ascii="Arial Narrow" w:hAnsi="Arial Narrow" w:cs="Arial"/>
          <w:iCs/>
          <w:sz w:val="22"/>
          <w:szCs w:val="22"/>
        </w:rPr>
        <w:t>ubrir errores o irregularidades significativas, así como considerar la relación entre el riesgo de detección y el nivel combinado de los riesgos inherentes y de control.</w:t>
      </w:r>
    </w:p>
    <w:p w:rsidR="0037381E" w:rsidRDefault="0037381E">
      <w:pPr>
        <w:spacing w:line="276" w:lineRule="auto"/>
        <w:jc w:val="both"/>
        <w:rPr>
          <w:rFonts w:ascii="Arial Narrow" w:hAnsi="Arial Narrow" w:cs="Arial"/>
          <w:iCs/>
          <w:sz w:val="22"/>
          <w:szCs w:val="22"/>
        </w:rPr>
      </w:pPr>
    </w:p>
    <w:p w:rsidR="0037381E" w:rsidRDefault="00AF6C81">
      <w:pPr>
        <w:spacing w:line="276" w:lineRule="auto"/>
        <w:jc w:val="both"/>
        <w:rPr>
          <w:rFonts w:ascii="Arial Narrow" w:hAnsi="Arial Narrow" w:cs="Arial"/>
          <w:iCs/>
          <w:sz w:val="22"/>
          <w:szCs w:val="22"/>
        </w:rPr>
      </w:pPr>
      <w:r>
        <w:rPr>
          <w:rFonts w:ascii="Arial Narrow" w:hAnsi="Arial Narrow" w:cs="Arial"/>
          <w:iCs/>
          <w:sz w:val="22"/>
          <w:szCs w:val="22"/>
        </w:rPr>
        <w:t>Al cuantificar los tres (3) tipos de riesgos obtuvimos un resultado de 21 puntos, que</w:t>
      </w:r>
      <w:r>
        <w:rPr>
          <w:rFonts w:ascii="Arial Narrow" w:hAnsi="Arial Narrow" w:cs="Arial"/>
          <w:iCs/>
          <w:sz w:val="22"/>
          <w:szCs w:val="22"/>
        </w:rPr>
        <w:t xml:space="preserve"> identifica que la actuación está dentro del rango del riesgo aceptable, valorado como riesgo bajo con factores de baja posibilidad de ocurrencia.</w:t>
      </w:r>
    </w:p>
    <w:p w:rsidR="0037381E" w:rsidRDefault="0037381E">
      <w:pPr>
        <w:spacing w:line="276" w:lineRule="auto"/>
        <w:jc w:val="both"/>
        <w:rPr>
          <w:rFonts w:ascii="Arial Narrow" w:hAnsi="Arial Narrow" w:cs="Arial"/>
          <w:b/>
          <w:sz w:val="22"/>
          <w:szCs w:val="22"/>
        </w:rPr>
      </w:pPr>
    </w:p>
    <w:p w:rsidR="0037381E" w:rsidRDefault="0037381E">
      <w:pPr>
        <w:spacing w:line="276" w:lineRule="auto"/>
        <w:jc w:val="both"/>
        <w:rPr>
          <w:rFonts w:ascii="Arial Narrow" w:hAnsi="Arial Narrow" w:cs="Arial"/>
          <w:b/>
          <w:sz w:val="22"/>
          <w:szCs w:val="22"/>
        </w:rPr>
      </w:pPr>
    </w:p>
    <w:p w:rsidR="0037381E" w:rsidRDefault="00AF6C81">
      <w:pPr>
        <w:spacing w:line="276" w:lineRule="auto"/>
        <w:jc w:val="both"/>
        <w:rPr>
          <w:rFonts w:ascii="Arial Narrow" w:hAnsi="Arial Narrow" w:cs="Arial"/>
          <w:b/>
          <w:sz w:val="22"/>
          <w:szCs w:val="22"/>
        </w:rPr>
      </w:pPr>
      <w:r>
        <w:rPr>
          <w:rFonts w:ascii="Arial Narrow" w:hAnsi="Arial Narrow" w:cs="Arial"/>
          <w:b/>
          <w:sz w:val="22"/>
          <w:szCs w:val="22"/>
        </w:rPr>
        <w:t>CAPÍTULO III</w:t>
      </w:r>
    </w:p>
    <w:p w:rsidR="0037381E" w:rsidRDefault="0037381E">
      <w:pPr>
        <w:spacing w:line="276" w:lineRule="auto"/>
        <w:jc w:val="both"/>
        <w:rPr>
          <w:rFonts w:ascii="Arial Narrow" w:hAnsi="Arial Narrow" w:cs="Arial"/>
          <w:sz w:val="22"/>
          <w:szCs w:val="22"/>
        </w:rPr>
      </w:pPr>
    </w:p>
    <w:p w:rsidR="0037381E" w:rsidRDefault="00AF6C81">
      <w:pPr>
        <w:tabs>
          <w:tab w:val="left" w:pos="4860"/>
        </w:tabs>
        <w:spacing w:line="276" w:lineRule="auto"/>
        <w:rPr>
          <w:rFonts w:ascii="Arial Narrow" w:hAnsi="Arial Narrow" w:cs="Arial"/>
          <w:b/>
          <w:sz w:val="22"/>
          <w:szCs w:val="22"/>
        </w:rPr>
      </w:pPr>
      <w:r>
        <w:rPr>
          <w:rFonts w:ascii="Arial Narrow" w:hAnsi="Arial Narrow" w:cs="Arial"/>
          <w:b/>
          <w:sz w:val="22"/>
          <w:szCs w:val="22"/>
        </w:rPr>
        <w:t>Observaciones derivadas del análisis</w:t>
      </w:r>
    </w:p>
    <w:p w:rsidR="0037381E" w:rsidRDefault="0037381E">
      <w:pPr>
        <w:tabs>
          <w:tab w:val="left" w:pos="4860"/>
        </w:tabs>
        <w:spacing w:line="276" w:lineRule="auto"/>
        <w:rPr>
          <w:rFonts w:ascii="Arial Narrow" w:hAnsi="Arial Narrow" w:cs="Arial"/>
          <w:b/>
          <w:sz w:val="14"/>
          <w:szCs w:val="22"/>
        </w:rPr>
      </w:pPr>
    </w:p>
    <w:p w:rsidR="0037381E" w:rsidRDefault="00AF6C81">
      <w:pPr>
        <w:spacing w:line="276" w:lineRule="auto"/>
        <w:jc w:val="both"/>
        <w:rPr>
          <w:rFonts w:ascii="Arial Narrow" w:hAnsi="Arial Narrow" w:cs="Arial"/>
          <w:i/>
          <w:sz w:val="16"/>
          <w:szCs w:val="16"/>
        </w:rPr>
      </w:pPr>
      <w:r>
        <w:rPr>
          <w:rFonts w:ascii="Arial Narrow" w:hAnsi="Arial Narrow" w:cs="Arial"/>
          <w:iCs/>
          <w:sz w:val="22"/>
          <w:szCs w:val="22"/>
          <w:lang w:val="es-VE"/>
        </w:rPr>
        <w:t xml:space="preserve">Conforme al Acta de Entrega de la </w:t>
      </w:r>
      <w:r>
        <w:rPr>
          <w:rFonts w:ascii="Arial Narrow" w:hAnsi="Arial Narrow" w:cs="Arial"/>
          <w:sz w:val="22"/>
          <w:szCs w:val="22"/>
          <w:lang w:val="es-VE"/>
        </w:rPr>
        <w:t>Coordinación de Asegu</w:t>
      </w:r>
      <w:r>
        <w:rPr>
          <w:rFonts w:ascii="Arial Narrow" w:hAnsi="Arial Narrow" w:cs="Arial"/>
          <w:sz w:val="22"/>
          <w:szCs w:val="22"/>
          <w:lang w:val="es-VE"/>
        </w:rPr>
        <w:t xml:space="preserve">ramiento de la Calidad, </w:t>
      </w:r>
      <w:r>
        <w:rPr>
          <w:rFonts w:ascii="Arial Narrow" w:hAnsi="Arial Narrow" w:cs="Arial"/>
          <w:iCs/>
          <w:sz w:val="22"/>
          <w:szCs w:val="22"/>
          <w:lang w:val="es-VE"/>
        </w:rPr>
        <w:t xml:space="preserve">suscrita el </w:t>
      </w:r>
      <w:r>
        <w:rPr>
          <w:rFonts w:ascii="Arial Narrow" w:hAnsi="Arial Narrow" w:cs="Arial"/>
          <w:sz w:val="22"/>
          <w:szCs w:val="22"/>
          <w:lang w:val="es-VE"/>
        </w:rPr>
        <w:t>16/11/2023,</w:t>
      </w:r>
      <w:r>
        <w:rPr>
          <w:rFonts w:ascii="Arial Narrow" w:hAnsi="Arial Narrow" w:cs="Arial"/>
          <w:iCs/>
          <w:sz w:val="22"/>
          <w:szCs w:val="22"/>
          <w:lang w:val="es-VE"/>
        </w:rPr>
        <w:t xml:space="preserve"> </w:t>
      </w:r>
      <w:r>
        <w:rPr>
          <w:rFonts w:ascii="Arial Narrow" w:hAnsi="Arial Narrow" w:cs="Arial"/>
          <w:bCs/>
          <w:iCs/>
          <w:sz w:val="22"/>
          <w:szCs w:val="22"/>
          <w:lang w:val="es-VE"/>
        </w:rPr>
        <w:t xml:space="preserve"> la Servidora Pública</w:t>
      </w:r>
      <w:r>
        <w:rPr>
          <w:rFonts w:ascii="Arial Narrow" w:hAnsi="Arial Narrow" w:cs="Arial"/>
          <w:iCs/>
          <w:sz w:val="22"/>
          <w:szCs w:val="22"/>
          <w:lang w:val="es-VE"/>
        </w:rPr>
        <w:t xml:space="preserve">  que recibió, no presentó observaciones sobre su contenido dentro de los ciento veinte (120) días hábiles siguientes a la fecha de la</w:t>
      </w:r>
      <w:r>
        <w:rPr>
          <w:rFonts w:ascii="Arial Narrow" w:hAnsi="Arial Narrow" w:cs="Arial"/>
          <w:iCs/>
          <w:sz w:val="22"/>
          <w:szCs w:val="22"/>
        </w:rPr>
        <w:t xml:space="preserve"> referida suscripción, como lo establece el artículo 22 de las </w:t>
      </w:r>
      <w:r>
        <w:rPr>
          <w:rFonts w:ascii="Arial Narrow" w:hAnsi="Arial Narrow" w:cs="Arial"/>
          <w:sz w:val="22"/>
          <w:szCs w:val="22"/>
        </w:rPr>
        <w:t xml:space="preserve">Normas para Regular la Entrega de los Órganos y Entidades de la Administración Pública y de sus Respectivas Oficinas o Dependencias (NREOEAPROD), publicada en la Gaceta Oficial de la República </w:t>
      </w:r>
      <w:r>
        <w:rPr>
          <w:rFonts w:ascii="Arial Narrow" w:hAnsi="Arial Narrow" w:cs="Arial"/>
          <w:sz w:val="22"/>
          <w:szCs w:val="22"/>
        </w:rPr>
        <w:t>Bolivariana de Venezuela Nro. 39.229 de fecha 28/07/2009</w:t>
      </w:r>
      <w:r>
        <w:rPr>
          <w:rFonts w:ascii="Arial Narrow" w:hAnsi="Arial Narrow"/>
          <w:sz w:val="22"/>
          <w:szCs w:val="22"/>
        </w:rPr>
        <w:t>.</w:t>
      </w:r>
    </w:p>
    <w:p w:rsidR="0037381E" w:rsidRDefault="0037381E">
      <w:pPr>
        <w:tabs>
          <w:tab w:val="left" w:pos="4860"/>
        </w:tabs>
        <w:spacing w:line="276" w:lineRule="auto"/>
        <w:jc w:val="both"/>
        <w:rPr>
          <w:rFonts w:ascii="Arial Narrow" w:hAnsi="Arial Narrow" w:cs="Arial"/>
          <w:b/>
          <w:sz w:val="12"/>
          <w:szCs w:val="22"/>
        </w:rPr>
      </w:pPr>
    </w:p>
    <w:p w:rsidR="0037381E" w:rsidRDefault="00AF6C81">
      <w:pPr>
        <w:tabs>
          <w:tab w:val="left" w:pos="-1800"/>
          <w:tab w:val="left" w:pos="400"/>
        </w:tabs>
        <w:spacing w:line="276" w:lineRule="auto"/>
        <w:jc w:val="both"/>
        <w:rPr>
          <w:rFonts w:ascii="Arial Narrow" w:hAnsi="Arial Narrow" w:cs="Arial"/>
          <w:iCs/>
          <w:sz w:val="22"/>
          <w:szCs w:val="22"/>
        </w:rPr>
      </w:pPr>
      <w:r>
        <w:rPr>
          <w:rFonts w:ascii="Arial Narrow" w:hAnsi="Arial Narrow" w:cs="Arial"/>
          <w:iCs/>
          <w:sz w:val="22"/>
          <w:szCs w:val="22"/>
        </w:rPr>
        <w:t xml:space="preserve">De acuerdo con los requisitos establecidos en las Normas </w:t>
      </w:r>
      <w:r>
        <w:rPr>
          <w:rFonts w:ascii="Arial Narrow" w:hAnsi="Arial Narrow" w:cs="Arial"/>
          <w:iCs/>
          <w:sz w:val="22"/>
          <w:szCs w:val="22"/>
          <w:lang w:val="es-VE"/>
        </w:rPr>
        <w:t xml:space="preserve">para Regular la Entrega de los Órganos y Entidades de la Administración Pública y de sus Respectivas Oficinas o Dependencias (NREOEAPROD), </w:t>
      </w:r>
      <w:r>
        <w:rPr>
          <w:rFonts w:ascii="Arial Narrow" w:hAnsi="Arial Narrow" w:cs="Arial"/>
          <w:iCs/>
          <w:sz w:val="22"/>
          <w:szCs w:val="22"/>
        </w:rPr>
        <w:t xml:space="preserve">se efectuó análisis al Acta de Entrega elaborada por </w:t>
      </w:r>
      <w:r>
        <w:rPr>
          <w:rFonts w:ascii="Arial Narrow" w:hAnsi="Arial Narrow" w:cs="Arial"/>
          <w:iCs/>
          <w:sz w:val="22"/>
          <w:szCs w:val="22"/>
          <w:lang w:val="es-VE"/>
        </w:rPr>
        <w:t xml:space="preserve">Yraida Gavidia Escalona, titular de la cédula de identidad V-10.529.656, </w:t>
      </w:r>
      <w:r>
        <w:rPr>
          <w:rFonts w:ascii="Arial Narrow" w:hAnsi="Arial Narrow" w:cs="Arial"/>
          <w:iCs/>
          <w:sz w:val="22"/>
          <w:szCs w:val="22"/>
          <w:lang w:val="es-VE"/>
        </w:rPr>
        <w:lastRenderedPageBreak/>
        <w:t>Coordinadora Aseguramiento de Calidad (E)</w:t>
      </w:r>
      <w:r>
        <w:rPr>
          <w:rFonts w:ascii="Arial Narrow" w:hAnsi="Arial Narrow" w:cs="Arial"/>
          <w:iCs/>
          <w:sz w:val="22"/>
          <w:szCs w:val="22"/>
        </w:rPr>
        <w:t xml:space="preserve"> (Saliente); así como, a los anexos correspondientes, determinándose las observaciones y </w:t>
      </w:r>
      <w:r>
        <w:rPr>
          <w:rFonts w:ascii="Arial Narrow" w:hAnsi="Arial Narrow" w:cs="Arial"/>
          <w:iCs/>
          <w:sz w:val="22"/>
          <w:szCs w:val="22"/>
        </w:rPr>
        <w:t xml:space="preserve">hallazgos que se detallan a continuación: </w:t>
      </w:r>
    </w:p>
    <w:p w:rsidR="0037381E" w:rsidRDefault="0037381E">
      <w:pPr>
        <w:tabs>
          <w:tab w:val="left" w:pos="-1800"/>
          <w:tab w:val="left" w:pos="400"/>
        </w:tabs>
        <w:spacing w:line="276" w:lineRule="auto"/>
        <w:jc w:val="both"/>
        <w:rPr>
          <w:rFonts w:ascii="Arial Narrow" w:hAnsi="Arial Narrow" w:cs="Arial"/>
          <w:iCs/>
          <w:sz w:val="22"/>
          <w:szCs w:val="22"/>
        </w:rPr>
      </w:pPr>
    </w:p>
    <w:p w:rsidR="0037381E" w:rsidRDefault="00AF6C81">
      <w:pPr>
        <w:pStyle w:val="Prrafodelista"/>
        <w:numPr>
          <w:ilvl w:val="0"/>
          <w:numId w:val="6"/>
        </w:numPr>
        <w:tabs>
          <w:tab w:val="left" w:pos="-1800"/>
          <w:tab w:val="left" w:pos="400"/>
        </w:tabs>
        <w:spacing w:line="276" w:lineRule="auto"/>
        <w:jc w:val="both"/>
        <w:rPr>
          <w:rFonts w:ascii="Arial Narrow" w:hAnsi="Arial Narrow" w:cs="Arial"/>
          <w:b/>
          <w:iCs/>
          <w:sz w:val="22"/>
          <w:szCs w:val="22"/>
        </w:rPr>
      </w:pPr>
      <w:r>
        <w:rPr>
          <w:rFonts w:ascii="Arial Narrow" w:hAnsi="Arial Narrow" w:cs="Arial"/>
          <w:b/>
          <w:iCs/>
          <w:sz w:val="22"/>
          <w:szCs w:val="22"/>
        </w:rPr>
        <w:t>En lo referente a la materialización, suscripción y contenido del Acta de Entrega:</w:t>
      </w:r>
    </w:p>
    <w:p w:rsidR="0037381E" w:rsidRDefault="0037381E">
      <w:pPr>
        <w:tabs>
          <w:tab w:val="left" w:pos="-1800"/>
          <w:tab w:val="left" w:pos="400"/>
        </w:tabs>
        <w:spacing w:line="276" w:lineRule="auto"/>
        <w:ind w:left="360"/>
        <w:jc w:val="both"/>
        <w:rPr>
          <w:rFonts w:ascii="Arial Narrow" w:hAnsi="Arial Narrow" w:cs="Arial"/>
          <w:iCs/>
          <w:sz w:val="22"/>
          <w:szCs w:val="22"/>
        </w:rPr>
      </w:pPr>
    </w:p>
    <w:p w:rsidR="0037381E" w:rsidRDefault="00AF6C81">
      <w:pPr>
        <w:tabs>
          <w:tab w:val="left" w:pos="400"/>
        </w:tabs>
        <w:spacing w:line="276" w:lineRule="auto"/>
        <w:ind w:left="360"/>
        <w:jc w:val="both"/>
        <w:rPr>
          <w:rFonts w:ascii="Arial Narrow" w:hAnsi="Arial Narrow" w:cs="Arial"/>
          <w:iCs/>
          <w:sz w:val="16"/>
          <w:szCs w:val="16"/>
        </w:rPr>
      </w:pPr>
      <w:r>
        <w:rPr>
          <w:rFonts w:ascii="Arial Narrow" w:hAnsi="Arial Narrow" w:cs="Arial"/>
          <w:sz w:val="22"/>
          <w:szCs w:val="22"/>
        </w:rPr>
        <w:t xml:space="preserve">1.1 </w:t>
      </w:r>
      <w:bookmarkStart w:id="0" w:name="OLE_LINK3"/>
      <w:r>
        <w:rPr>
          <w:rFonts w:ascii="Arial Narrow" w:hAnsi="Arial Narrow" w:cs="Arial"/>
          <w:iCs/>
          <w:sz w:val="22"/>
          <w:szCs w:val="22"/>
        </w:rPr>
        <w:t xml:space="preserve">Se constató que la servidora pública saliente no incorporó en el acta de entrega, información o documentos referidos al </w:t>
      </w:r>
      <w:r>
        <w:rPr>
          <w:rFonts w:ascii="Arial Narrow" w:hAnsi="Arial Narrow" w:cs="Arial"/>
          <w:b/>
          <w:iCs/>
          <w:sz w:val="22"/>
          <w:szCs w:val="22"/>
        </w:rPr>
        <w:t>Inve</w:t>
      </w:r>
      <w:r>
        <w:rPr>
          <w:rFonts w:ascii="Arial Narrow" w:hAnsi="Arial Narrow" w:cs="Arial"/>
          <w:b/>
          <w:iCs/>
          <w:sz w:val="22"/>
          <w:szCs w:val="22"/>
        </w:rPr>
        <w:t>ntario de los bienes muebles</w:t>
      </w:r>
      <w:r>
        <w:rPr>
          <w:rFonts w:ascii="Arial Narrow" w:hAnsi="Arial Narrow" w:cs="Arial"/>
          <w:iCs/>
          <w:sz w:val="22"/>
          <w:szCs w:val="22"/>
        </w:rPr>
        <w:t xml:space="preserve"> e inmuebles</w:t>
      </w:r>
      <w:r>
        <w:rPr>
          <w:rFonts w:ascii="Arial Narrow" w:hAnsi="Arial Narrow" w:cs="Arial"/>
          <w:b/>
          <w:iCs/>
          <w:sz w:val="22"/>
          <w:szCs w:val="22"/>
        </w:rPr>
        <w:t>.</w:t>
      </w:r>
      <w:r>
        <w:rPr>
          <w:rFonts w:ascii="Arial Narrow" w:hAnsi="Arial Narrow" w:cs="Arial"/>
          <w:iCs/>
          <w:sz w:val="22"/>
          <w:szCs w:val="22"/>
        </w:rPr>
        <w:t xml:space="preserve"> Al respecto, el artículo 11 de la citada normativa, establece:</w:t>
      </w:r>
      <w:r>
        <w:rPr>
          <w:rFonts w:ascii="Arial Narrow" w:hAnsi="Arial Narrow" w:cs="Arial"/>
          <w:iCs/>
          <w:sz w:val="16"/>
          <w:szCs w:val="16"/>
        </w:rPr>
        <w:t xml:space="preserve"> </w:t>
      </w:r>
    </w:p>
    <w:p w:rsidR="0037381E" w:rsidRDefault="0037381E">
      <w:pPr>
        <w:tabs>
          <w:tab w:val="left" w:pos="-1800"/>
          <w:tab w:val="left" w:pos="400"/>
        </w:tabs>
        <w:spacing w:line="276" w:lineRule="auto"/>
        <w:jc w:val="both"/>
        <w:rPr>
          <w:rFonts w:ascii="Arial Narrow" w:hAnsi="Arial Narrow" w:cs="Arial"/>
          <w:iCs/>
          <w:sz w:val="16"/>
          <w:szCs w:val="16"/>
        </w:rPr>
      </w:pPr>
    </w:p>
    <w:p w:rsidR="0037381E" w:rsidRDefault="00AF6C81">
      <w:pPr>
        <w:tabs>
          <w:tab w:val="left" w:pos="-1800"/>
          <w:tab w:val="left" w:pos="400"/>
        </w:tabs>
        <w:spacing w:line="276" w:lineRule="auto"/>
        <w:ind w:left="1416"/>
        <w:jc w:val="both"/>
        <w:rPr>
          <w:rFonts w:ascii="Arial Narrow" w:hAnsi="Arial Narrow" w:cs="Arial"/>
          <w:i/>
          <w:iCs/>
          <w:sz w:val="16"/>
          <w:szCs w:val="16"/>
        </w:rPr>
      </w:pPr>
      <w:r>
        <w:rPr>
          <w:rFonts w:ascii="Arial Narrow" w:hAnsi="Arial Narrow" w:cs="Arial"/>
          <w:b/>
          <w:i/>
          <w:iCs/>
          <w:sz w:val="16"/>
          <w:szCs w:val="16"/>
        </w:rPr>
        <w:t>Artículo 11</w:t>
      </w:r>
      <w:r>
        <w:rPr>
          <w:rFonts w:ascii="Arial Narrow" w:hAnsi="Arial Narrow" w:cs="Arial"/>
          <w:i/>
          <w:iCs/>
          <w:sz w:val="16"/>
          <w:szCs w:val="16"/>
        </w:rPr>
        <w:t xml:space="preserve">.- El acta de entrega a que se refiere el Artículo anterior deberá acompañarse de los anexos siguientes:   </w:t>
      </w:r>
    </w:p>
    <w:p w:rsidR="0037381E" w:rsidRDefault="00AF6C81">
      <w:pPr>
        <w:pStyle w:val="Prrafodelista"/>
        <w:numPr>
          <w:ilvl w:val="0"/>
          <w:numId w:val="7"/>
        </w:numPr>
        <w:tabs>
          <w:tab w:val="left" w:pos="-1800"/>
          <w:tab w:val="left" w:pos="400"/>
        </w:tabs>
        <w:spacing w:line="276" w:lineRule="auto"/>
        <w:jc w:val="both"/>
        <w:rPr>
          <w:rFonts w:ascii="Arial Narrow" w:hAnsi="Arial Narrow" w:cs="Arial"/>
          <w:i/>
          <w:iCs/>
          <w:sz w:val="16"/>
          <w:szCs w:val="16"/>
        </w:rPr>
      </w:pPr>
      <w:r>
        <w:rPr>
          <w:rFonts w:ascii="Arial Narrow" w:hAnsi="Arial Narrow" w:cs="Arial"/>
          <w:i/>
          <w:iCs/>
          <w:sz w:val="16"/>
          <w:szCs w:val="16"/>
        </w:rPr>
        <w:t xml:space="preserve">Estado de las cuentas que </w:t>
      </w:r>
      <w:r>
        <w:rPr>
          <w:rFonts w:ascii="Arial Narrow" w:hAnsi="Arial Narrow" w:cs="Arial"/>
          <w:i/>
          <w:iCs/>
          <w:sz w:val="16"/>
          <w:szCs w:val="16"/>
        </w:rPr>
        <w:t>refleje la situación presupuestaria, financiera y patrimonial, cuando sea aplicable.</w:t>
      </w:r>
    </w:p>
    <w:p w:rsidR="0037381E" w:rsidRDefault="00AF6C81">
      <w:pPr>
        <w:pStyle w:val="Prrafodelista"/>
        <w:numPr>
          <w:ilvl w:val="0"/>
          <w:numId w:val="7"/>
        </w:numPr>
        <w:tabs>
          <w:tab w:val="left" w:pos="-1800"/>
          <w:tab w:val="left" w:pos="400"/>
        </w:tabs>
        <w:spacing w:line="276" w:lineRule="auto"/>
        <w:jc w:val="both"/>
        <w:rPr>
          <w:rFonts w:ascii="Arial Narrow" w:hAnsi="Arial Narrow" w:cs="Arial"/>
          <w:i/>
          <w:iCs/>
          <w:sz w:val="16"/>
          <w:szCs w:val="16"/>
        </w:rPr>
      </w:pPr>
      <w:r>
        <w:rPr>
          <w:rFonts w:ascii="Arial Narrow" w:hAnsi="Arial Narrow" w:cs="Arial"/>
          <w:i/>
          <w:iCs/>
          <w:sz w:val="16"/>
          <w:szCs w:val="16"/>
        </w:rPr>
        <w:t>Mención del número de cargos existentes, con señalamiento de si son empleados u obreros, fijos o contratados, así como el número de jubilados y pensionados, de ser el caso</w:t>
      </w:r>
      <w:r>
        <w:rPr>
          <w:rFonts w:ascii="Arial Narrow" w:hAnsi="Arial Narrow" w:cs="Arial"/>
          <w:i/>
          <w:iCs/>
          <w:sz w:val="16"/>
          <w:szCs w:val="16"/>
        </w:rPr>
        <w:t>.</w:t>
      </w:r>
    </w:p>
    <w:p w:rsidR="0037381E" w:rsidRDefault="00AF6C81">
      <w:pPr>
        <w:pStyle w:val="Prrafodelista"/>
        <w:numPr>
          <w:ilvl w:val="0"/>
          <w:numId w:val="7"/>
        </w:numPr>
        <w:tabs>
          <w:tab w:val="left" w:pos="-1800"/>
          <w:tab w:val="left" w:pos="400"/>
        </w:tabs>
        <w:spacing w:line="276" w:lineRule="auto"/>
        <w:jc w:val="both"/>
        <w:rPr>
          <w:rFonts w:ascii="Arial Narrow" w:hAnsi="Arial Narrow" w:cs="Arial"/>
          <w:i/>
          <w:iCs/>
          <w:sz w:val="16"/>
          <w:szCs w:val="16"/>
        </w:rPr>
      </w:pPr>
      <w:r>
        <w:rPr>
          <w:rFonts w:ascii="Arial Narrow" w:hAnsi="Arial Narrow" w:cs="Arial"/>
          <w:b/>
          <w:i/>
          <w:iCs/>
          <w:sz w:val="16"/>
          <w:szCs w:val="16"/>
        </w:rPr>
        <w:t>Inventario de los bienes muebles e inmuebles</w:t>
      </w:r>
      <w:r>
        <w:rPr>
          <w:rFonts w:ascii="Arial Narrow" w:hAnsi="Arial Narrow" w:cs="Arial"/>
          <w:i/>
          <w:iCs/>
          <w:sz w:val="16"/>
          <w:szCs w:val="16"/>
        </w:rPr>
        <w:t>.</w:t>
      </w:r>
    </w:p>
    <w:p w:rsidR="0037381E" w:rsidRDefault="00AF6C81">
      <w:pPr>
        <w:pStyle w:val="Prrafodelista"/>
        <w:numPr>
          <w:ilvl w:val="0"/>
          <w:numId w:val="7"/>
        </w:numPr>
        <w:tabs>
          <w:tab w:val="left" w:pos="-1800"/>
          <w:tab w:val="left" w:pos="400"/>
        </w:tabs>
        <w:spacing w:line="276" w:lineRule="auto"/>
        <w:jc w:val="both"/>
        <w:rPr>
          <w:rFonts w:ascii="Arial Narrow" w:hAnsi="Arial Narrow" w:cs="Arial"/>
          <w:i/>
          <w:iCs/>
          <w:sz w:val="16"/>
          <w:szCs w:val="16"/>
        </w:rPr>
      </w:pPr>
      <w:r>
        <w:rPr>
          <w:rFonts w:ascii="Arial Narrow" w:hAnsi="Arial Narrow" w:cs="Arial"/>
          <w:i/>
          <w:iCs/>
          <w:sz w:val="16"/>
          <w:szCs w:val="16"/>
        </w:rPr>
        <w:t>Situación de la ejecución del plan operativo de conformidad con los objetivos propuestos y las metas fijadas en el presupuesto correspondiente.</w:t>
      </w:r>
    </w:p>
    <w:p w:rsidR="0037381E" w:rsidRDefault="00AF6C81">
      <w:pPr>
        <w:pStyle w:val="Prrafodelista"/>
        <w:numPr>
          <w:ilvl w:val="0"/>
          <w:numId w:val="7"/>
        </w:numPr>
        <w:tabs>
          <w:tab w:val="left" w:pos="-1800"/>
          <w:tab w:val="left" w:pos="400"/>
        </w:tabs>
        <w:spacing w:line="276" w:lineRule="auto"/>
        <w:jc w:val="both"/>
        <w:rPr>
          <w:rFonts w:ascii="Arial Narrow" w:hAnsi="Arial Narrow" w:cs="Arial"/>
          <w:b/>
          <w:i/>
          <w:iCs/>
          <w:sz w:val="16"/>
          <w:szCs w:val="16"/>
        </w:rPr>
      </w:pPr>
      <w:r>
        <w:rPr>
          <w:rFonts w:ascii="Arial Narrow" w:hAnsi="Arial Narrow" w:cs="Arial"/>
          <w:i/>
          <w:iCs/>
          <w:sz w:val="16"/>
          <w:szCs w:val="16"/>
        </w:rPr>
        <w:t>Índice general del archivo</w:t>
      </w:r>
      <w:r>
        <w:rPr>
          <w:rFonts w:ascii="Arial Narrow" w:hAnsi="Arial Narrow" w:cs="Arial"/>
          <w:b/>
          <w:i/>
          <w:iCs/>
          <w:sz w:val="16"/>
          <w:szCs w:val="16"/>
        </w:rPr>
        <w:t>.</w:t>
      </w:r>
    </w:p>
    <w:p w:rsidR="0037381E" w:rsidRDefault="00AF6C81">
      <w:pPr>
        <w:pStyle w:val="Prrafodelista"/>
        <w:numPr>
          <w:ilvl w:val="0"/>
          <w:numId w:val="7"/>
        </w:numPr>
        <w:tabs>
          <w:tab w:val="left" w:pos="-1800"/>
          <w:tab w:val="left" w:pos="400"/>
        </w:tabs>
        <w:spacing w:line="276" w:lineRule="auto"/>
        <w:jc w:val="both"/>
        <w:rPr>
          <w:rFonts w:ascii="Arial Narrow" w:hAnsi="Arial Narrow" w:cs="Arial"/>
          <w:i/>
          <w:iCs/>
          <w:sz w:val="16"/>
          <w:szCs w:val="16"/>
        </w:rPr>
      </w:pPr>
      <w:r>
        <w:rPr>
          <w:rFonts w:ascii="Arial Narrow" w:hAnsi="Arial Narrow" w:cs="Arial"/>
          <w:i/>
          <w:iCs/>
          <w:sz w:val="16"/>
          <w:szCs w:val="16"/>
        </w:rPr>
        <w:t>Cualquier otra información o documen</w:t>
      </w:r>
      <w:r>
        <w:rPr>
          <w:rFonts w:ascii="Arial Narrow" w:hAnsi="Arial Narrow" w:cs="Arial"/>
          <w:i/>
          <w:iCs/>
          <w:sz w:val="16"/>
          <w:szCs w:val="16"/>
        </w:rPr>
        <w:t>tación que se considere necesaria.</w:t>
      </w:r>
    </w:p>
    <w:bookmarkEnd w:id="0"/>
    <w:p w:rsidR="0037381E" w:rsidRDefault="0037381E">
      <w:pPr>
        <w:tabs>
          <w:tab w:val="left" w:pos="-1800"/>
          <w:tab w:val="left" w:pos="400"/>
        </w:tabs>
        <w:spacing w:line="276" w:lineRule="auto"/>
        <w:jc w:val="both"/>
        <w:rPr>
          <w:rFonts w:ascii="Arial Narrow" w:hAnsi="Arial Narrow" w:cs="Arial"/>
          <w:iCs/>
          <w:sz w:val="16"/>
          <w:szCs w:val="16"/>
        </w:rPr>
      </w:pPr>
    </w:p>
    <w:p w:rsidR="0037381E" w:rsidRDefault="0037381E">
      <w:pPr>
        <w:tabs>
          <w:tab w:val="left" w:pos="-1800"/>
          <w:tab w:val="left" w:pos="400"/>
        </w:tabs>
        <w:spacing w:line="276" w:lineRule="auto"/>
        <w:jc w:val="both"/>
        <w:rPr>
          <w:rFonts w:ascii="Arial Narrow" w:hAnsi="Arial Narrow" w:cs="Arial"/>
          <w:iCs/>
          <w:sz w:val="22"/>
          <w:szCs w:val="22"/>
        </w:rPr>
      </w:pPr>
    </w:p>
    <w:p w:rsidR="0037381E" w:rsidRDefault="0037381E">
      <w:pPr>
        <w:tabs>
          <w:tab w:val="left" w:pos="-1800"/>
          <w:tab w:val="left" w:pos="400"/>
        </w:tabs>
        <w:spacing w:line="276" w:lineRule="auto"/>
        <w:jc w:val="both"/>
        <w:rPr>
          <w:rFonts w:ascii="Arial Narrow" w:hAnsi="Arial Narrow" w:cs="Arial"/>
          <w:sz w:val="22"/>
          <w:szCs w:val="22"/>
        </w:rPr>
      </w:pPr>
    </w:p>
    <w:p w:rsidR="0037381E" w:rsidRDefault="0037381E">
      <w:pPr>
        <w:spacing w:line="276" w:lineRule="auto"/>
        <w:jc w:val="center"/>
        <w:rPr>
          <w:rFonts w:ascii="Arial Narrow" w:hAnsi="Arial Narrow" w:cs="Arial"/>
          <w:iCs/>
          <w:sz w:val="22"/>
          <w:szCs w:val="22"/>
        </w:rPr>
      </w:pPr>
    </w:p>
    <w:p w:rsidR="0037381E" w:rsidRDefault="0037381E">
      <w:pPr>
        <w:spacing w:line="276" w:lineRule="auto"/>
        <w:jc w:val="center"/>
        <w:rPr>
          <w:rFonts w:ascii="Arial Narrow" w:hAnsi="Arial Narrow" w:cs="Arial"/>
          <w:iCs/>
          <w:sz w:val="22"/>
          <w:szCs w:val="22"/>
        </w:rPr>
      </w:pPr>
    </w:p>
    <w:p w:rsidR="0037381E" w:rsidRDefault="0037381E">
      <w:pPr>
        <w:spacing w:line="276" w:lineRule="auto"/>
        <w:jc w:val="center"/>
        <w:rPr>
          <w:rFonts w:ascii="Arial Narrow" w:hAnsi="Arial Narrow" w:cs="Arial"/>
          <w:iCs/>
          <w:sz w:val="22"/>
          <w:szCs w:val="22"/>
        </w:rPr>
      </w:pPr>
    </w:p>
    <w:p w:rsidR="0037381E" w:rsidRPr="00853957" w:rsidRDefault="00AF6C81">
      <w:pPr>
        <w:spacing w:line="276" w:lineRule="auto"/>
        <w:jc w:val="center"/>
        <w:rPr>
          <w:rFonts w:ascii="Arial Narrow" w:hAnsi="Arial Narrow" w:cs="Arial"/>
          <w:iCs/>
          <w:sz w:val="22"/>
          <w:szCs w:val="22"/>
          <w:u w:val="single"/>
        </w:rPr>
      </w:pPr>
      <w:r>
        <w:rPr>
          <w:rFonts w:ascii="Arial Narrow" w:hAnsi="Arial Narrow" w:cs="Arial"/>
          <w:iCs/>
          <w:sz w:val="22"/>
          <w:szCs w:val="22"/>
        </w:rPr>
        <w:t xml:space="preserve">${auditor_a}/  </w:t>
      </w:r>
      <w:r w:rsidR="00853957">
        <w:rPr>
          <w:rFonts w:ascii="Arial Narrow" w:hAnsi="Arial Narrow" w:cs="Arial"/>
          <w:iCs/>
          <w:sz w:val="22"/>
          <w:szCs w:val="22"/>
        </w:rPr>
        <w:t>${auditor_a</w:t>
      </w:r>
      <w:r w:rsidR="00853957">
        <w:rPr>
          <w:rFonts w:ascii="Arial Narrow" w:hAnsi="Arial Narrow" w:cs="Arial"/>
          <w:iCs/>
          <w:sz w:val="22"/>
          <w:szCs w:val="22"/>
        </w:rPr>
        <w:t>}</w:t>
      </w:r>
      <w:bookmarkStart w:id="1" w:name="_GoBack"/>
      <w:bookmarkEnd w:id="1"/>
    </w:p>
    <w:p w:rsidR="0037381E" w:rsidRDefault="00AF6C81">
      <w:pPr>
        <w:spacing w:line="276" w:lineRule="auto"/>
        <w:jc w:val="center"/>
        <w:rPr>
          <w:rFonts w:ascii="Arial Narrow" w:hAnsi="Arial Narrow" w:cs="Arial"/>
          <w:b/>
          <w:iCs/>
          <w:sz w:val="22"/>
          <w:szCs w:val="22"/>
        </w:rPr>
      </w:pPr>
      <w:r>
        <w:rPr>
          <w:rFonts w:ascii="Arial Narrow" w:hAnsi="Arial Narrow" w:cs="Arial"/>
          <w:b/>
          <w:iCs/>
          <w:sz w:val="22"/>
          <w:szCs w:val="22"/>
        </w:rPr>
        <w:t>Comisión de Auditoría</w:t>
      </w:r>
    </w:p>
    <w:p w:rsidR="0037381E" w:rsidRDefault="00AF6C81">
      <w:pPr>
        <w:spacing w:line="276" w:lineRule="auto"/>
        <w:jc w:val="center"/>
        <w:rPr>
          <w:rFonts w:ascii="Arial Narrow" w:hAnsi="Arial Narrow" w:cs="Arial"/>
          <w:iCs/>
          <w:sz w:val="22"/>
          <w:szCs w:val="22"/>
        </w:rPr>
      </w:pPr>
      <w:r>
        <w:rPr>
          <w:rFonts w:ascii="Arial Narrow" w:hAnsi="Arial Narrow" w:cs="Arial"/>
          <w:iCs/>
          <w:sz w:val="22"/>
          <w:szCs w:val="22"/>
        </w:rPr>
        <w:t>Designación de fecha ${fecha_designacion}</w:t>
      </w:r>
    </w:p>
    <w:p w:rsidR="0037381E" w:rsidRDefault="0037381E">
      <w:pPr>
        <w:tabs>
          <w:tab w:val="left" w:pos="-1800"/>
          <w:tab w:val="left" w:pos="400"/>
        </w:tabs>
        <w:spacing w:line="276" w:lineRule="auto"/>
        <w:jc w:val="both"/>
        <w:rPr>
          <w:rFonts w:ascii="Arial Narrow" w:hAnsi="Arial Narrow" w:cs="Arial"/>
          <w:iCs/>
          <w:sz w:val="22"/>
          <w:szCs w:val="22"/>
        </w:rPr>
      </w:pPr>
    </w:p>
    <w:sectPr w:rsidR="0037381E">
      <w:headerReference w:type="even" r:id="rId9"/>
      <w:headerReference w:type="default" r:id="rId10"/>
      <w:footerReference w:type="even" r:id="rId11"/>
      <w:footerReference w:type="default" r:id="rId12"/>
      <w:headerReference w:type="first" r:id="rId13"/>
      <w:footerReference w:type="first" r:id="rId14"/>
      <w:pgSz w:w="12240" w:h="15840"/>
      <w:pgMar w:top="1418" w:right="1418" w:bottom="1418" w:left="1701" w:header="624" w:footer="624"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C81" w:rsidRDefault="00AF6C81">
      <w:r>
        <w:separator/>
      </w:r>
    </w:p>
  </w:endnote>
  <w:endnote w:type="continuationSeparator" w:id="0">
    <w:p w:rsidR="00AF6C81" w:rsidRDefault="00AF6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37381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55946"/>
      <w:docPartObj>
        <w:docPartGallery w:val="Page Numbers (Top of Page)"/>
        <w:docPartUnique/>
      </w:docPartObj>
    </w:sdtPr>
    <w:sdtEndPr/>
    <w:sdtContent>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_________________________________________________________________________________________________</w:t>
        </w:r>
      </w:p>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Av. Libertador, Edificio NEA, CANTV, Piso 5, Ala Norte, Caracas-Venezuela. Teléfonos: (0212) 500.7708.</w:t>
        </w:r>
      </w:p>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Unidad de Auditoría Interna.</w:t>
        </w:r>
      </w:p>
      <w:p w:rsidR="0037381E" w:rsidRDefault="00AF6C81">
        <w:pPr>
          <w:jc w:val="right"/>
          <w:rPr>
            <w:rFonts w:ascii="Arial" w:hAnsi="Arial" w:cs="Arial"/>
            <w:sz w:val="16"/>
            <w:szCs w:val="16"/>
          </w:rPr>
        </w:pPr>
        <w:r>
          <w:rPr>
            <w:rFonts w:ascii="Arial" w:hAnsi="Arial" w:cs="Arial"/>
            <w:color w:val="0000FF"/>
            <w:sz w:val="16"/>
            <w:szCs w:val="16"/>
          </w:rPr>
          <w:t xml:space="preserve">                         </w:t>
        </w:r>
        <w:r>
          <w:rPr>
            <w:rFonts w:ascii="Arial" w:hAnsi="Arial" w:cs="Arial"/>
            <w:color w:val="0000FF"/>
            <w:sz w:val="16"/>
            <w:szCs w:val="16"/>
          </w:rPr>
          <w:t xml:space="preserve">                                </w:t>
        </w:r>
        <w:r>
          <w:rPr>
            <w:rFonts w:ascii="Arial" w:hAnsi="Arial" w:cs="Arial"/>
            <w:sz w:val="16"/>
            <w:szCs w:val="16"/>
          </w:rPr>
          <w:t xml:space="preserve">Página </w:t>
        </w:r>
        <w:r>
          <w:rPr>
            <w:rFonts w:ascii="Arial" w:hAnsi="Arial" w:cs="Arial"/>
            <w:b/>
            <w:sz w:val="16"/>
            <w:szCs w:val="16"/>
          </w:rPr>
          <w:fldChar w:fldCharType="begin"/>
        </w:r>
        <w:r>
          <w:rPr>
            <w:rFonts w:ascii="Arial" w:hAnsi="Arial" w:cs="Arial"/>
            <w:b/>
            <w:sz w:val="16"/>
            <w:szCs w:val="16"/>
          </w:rPr>
          <w:instrText xml:space="preserve"> PAGE </w:instrText>
        </w:r>
        <w:r>
          <w:rPr>
            <w:rFonts w:ascii="Arial" w:hAnsi="Arial" w:cs="Arial"/>
            <w:b/>
            <w:sz w:val="16"/>
            <w:szCs w:val="16"/>
          </w:rPr>
          <w:fldChar w:fldCharType="separate"/>
        </w:r>
        <w:r w:rsidR="00853957">
          <w:rPr>
            <w:rFonts w:ascii="Arial" w:hAnsi="Arial" w:cs="Arial"/>
            <w:b/>
            <w:noProof/>
            <w:sz w:val="16"/>
            <w:szCs w:val="16"/>
          </w:rPr>
          <w:t>7</w:t>
        </w:r>
        <w:r>
          <w:rPr>
            <w:rFonts w:ascii="Arial" w:hAnsi="Arial" w:cs="Arial"/>
            <w:b/>
            <w:sz w:val="16"/>
            <w:szCs w:val="16"/>
          </w:rPr>
          <w:fldChar w:fldCharType="end"/>
        </w:r>
        <w:r>
          <w:rPr>
            <w:rFonts w:ascii="Arial" w:hAnsi="Arial" w:cs="Arial"/>
            <w:sz w:val="16"/>
            <w:szCs w:val="16"/>
          </w:rPr>
          <w:t xml:space="preserve"> de </w:t>
        </w:r>
        <w:r>
          <w:rPr>
            <w:rFonts w:ascii="Arial" w:hAnsi="Arial" w:cs="Arial"/>
            <w:b/>
            <w:sz w:val="16"/>
            <w:szCs w:val="16"/>
          </w:rPr>
          <w:t>7</w:t>
        </w:r>
      </w:p>
    </w:sdtContent>
  </w:sdt>
  <w:p w:rsidR="0037381E" w:rsidRDefault="0037381E">
    <w:pPr>
      <w:pStyle w:val="Piedepgina"/>
      <w:rPr>
        <w:rFonts w:ascii="Arial" w:hAnsi="Arial" w:cs="Arial"/>
        <w:sz w:val="16"/>
        <w:szCs w:val="16"/>
      </w:rPr>
    </w:pPr>
  </w:p>
  <w:p w:rsidR="0037381E" w:rsidRDefault="0037381E">
    <w:pPr>
      <w:pStyle w:val="Standard"/>
      <w:tabs>
        <w:tab w:val="left" w:pos="6480"/>
      </w:tabs>
      <w:spacing w:line="200" w:lineRule="atLeast"/>
      <w:jc w:val="center"/>
      <w:rPr>
        <w:rFonts w:ascii="Arial" w:hAnsi="Arial" w:cs="Arial"/>
        <w:sz w:val="16"/>
        <w:szCs w:val="16"/>
      </w:rPr>
    </w:pPr>
  </w:p>
  <w:p w:rsidR="0037381E" w:rsidRDefault="0037381E">
    <w:pPr>
      <w:pStyle w:val="Piedepgina"/>
      <w:rPr>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48362"/>
      <w:docPartObj>
        <w:docPartGallery w:val="Page Numbers (Top of Page)"/>
        <w:docPartUnique/>
      </w:docPartObj>
    </w:sdtPr>
    <w:sdtEndPr/>
    <w:sdtContent>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_________________________________________________________________________________________________</w:t>
        </w:r>
      </w:p>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 xml:space="preserve">Av. Libertador, Edificio NEA, CANTV, Piso 5, Ala Norte, Caracas-Venezuela. Teléfonos: (0212) </w:t>
        </w:r>
        <w:r>
          <w:rPr>
            <w:rFonts w:ascii="Arial" w:hAnsi="Arial" w:cs="Arial"/>
            <w:color w:val="404040" w:themeColor="text1" w:themeTint="BF"/>
            <w:sz w:val="16"/>
            <w:szCs w:val="16"/>
          </w:rPr>
          <w:t>500.7708.</w:t>
        </w:r>
      </w:p>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Unidad de Auditoría Interna.</w:t>
        </w:r>
      </w:p>
      <w:p w:rsidR="0037381E" w:rsidRDefault="00AF6C81">
        <w:pPr>
          <w:jc w:val="right"/>
          <w:rPr>
            <w:rFonts w:ascii="Arial" w:hAnsi="Arial" w:cs="Arial"/>
            <w:sz w:val="16"/>
            <w:szCs w:val="16"/>
          </w:rPr>
        </w:pPr>
      </w:p>
    </w:sdtContent>
  </w:sdt>
  <w:p w:rsidR="0037381E" w:rsidRDefault="0037381E">
    <w:pPr>
      <w:pStyle w:val="Piedepgina"/>
      <w:rPr>
        <w:rFonts w:ascii="Arial" w:hAnsi="Arial" w:cs="Arial"/>
        <w:sz w:val="16"/>
        <w:szCs w:val="16"/>
      </w:rPr>
    </w:pPr>
  </w:p>
  <w:p w:rsidR="0037381E" w:rsidRDefault="0037381E">
    <w:pPr>
      <w:pStyle w:val="Piedepgina"/>
      <w:rPr>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C81" w:rsidRDefault="00AF6C81">
      <w:r>
        <w:separator/>
      </w:r>
    </w:p>
  </w:footnote>
  <w:footnote w:type="continuationSeparator" w:id="0">
    <w:p w:rsidR="00AF6C81" w:rsidRDefault="00AF6C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AF6C81">
    <w:pPr>
      <w:pStyle w:val="Encabezado"/>
      <w:ind w:right="360"/>
    </w:pPr>
    <w:r>
      <w:rPr>
        <w:noProof/>
      </w:rPr>
      <mc:AlternateContent>
        <mc:Choice Requires="wps">
          <w:drawing>
            <wp:anchor distT="0" distB="0" distL="0" distR="0" simplePos="0" relativeHeight="2" behindDoc="1" locked="0" layoutInCell="0" allowOverlap="1">
              <wp:simplePos x="0" y="0"/>
              <wp:positionH relativeFrom="margin">
                <wp:align>right</wp:align>
              </wp:positionH>
              <wp:positionV relativeFrom="paragraph">
                <wp:posOffset>635</wp:posOffset>
              </wp:positionV>
              <wp:extent cx="14605" cy="14605"/>
              <wp:effectExtent l="0" t="0" r="0" b="0"/>
              <wp:wrapSquare wrapText="bothSides"/>
              <wp:docPr id="4" name="Marco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rsidR="0037381E" w:rsidRDefault="00AF6C81">
                          <w:pPr>
                            <w:pStyle w:val="Encabezado"/>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rect id="Marco1" o:spid="_x0000_s1026"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" o:allowincell="f" filled="f" stroked="f" strokeweight="0">
              <v:textbox style="mso-fit-shape-to-text:t" inset="0,0,0,0">
                <w:txbxContent>
                  <w:p w:rsidR="0037381E" w:rsidRDefault="00AF6C81">
                    <w:pPr>
                      <w:pStyle w:val="Encabezado"/>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AF6C81">
    <w:pPr>
      <w:spacing w:line="276" w:lineRule="auto"/>
    </w:pPr>
    <w:r>
      <w:rPr>
        <w:noProof/>
      </w:rPr>
      <w:drawing>
        <wp:anchor distT="0" distB="0" distL="114300" distR="114300" simplePos="0" relativeHeight="10" behindDoc="0" locked="0" layoutInCell="0" allowOverlap="1">
          <wp:simplePos x="0" y="0"/>
          <wp:positionH relativeFrom="column">
            <wp:posOffset>12065</wp:posOffset>
          </wp:positionH>
          <wp:positionV relativeFrom="paragraph">
            <wp:posOffset>-277495</wp:posOffset>
          </wp:positionV>
          <wp:extent cx="5753100" cy="492760"/>
          <wp:effectExtent l="0" t="0" r="0" b="0"/>
          <wp:wrapTight wrapText="bothSides">
            <wp:wrapPolygon edited="0">
              <wp:start x="20237" y="1650"/>
              <wp:lineTo x="-68" y="1650"/>
              <wp:lineTo x="-68" y="19185"/>
              <wp:lineTo x="4931" y="20017"/>
              <wp:lineTo x="20094" y="20017"/>
              <wp:lineTo x="21594" y="20017"/>
              <wp:lineTo x="21594" y="5822"/>
              <wp:lineTo x="21381" y="1650"/>
              <wp:lineTo x="20952" y="1650"/>
              <wp:lineTo x="20237" y="1650"/>
            </wp:wrapPolygon>
          </wp:wrapTight>
          <wp:docPr id="5" name="Imagen 3" descr="Nuevo Cintillo Institucion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Nuevo Cintillo Institucional (2)"/>
                  <pic:cNvPicPr>
                    <a:picLocks noChangeAspect="1" noChangeArrowheads="1"/>
                  </pic:cNvPicPr>
                </pic:nvPicPr>
                <pic:blipFill>
                  <a:blip r:embed="rId1"/>
                  <a:stretch>
                    <a:fillRect/>
                  </a:stretch>
                </pic:blipFill>
                <pic:spPr bwMode="auto">
                  <a:xfrm>
                    <a:off x="0" y="0"/>
                    <a:ext cx="5753100" cy="492760"/>
                  </a:xfrm>
                  <a:prstGeom prst="rect">
                    <a:avLst/>
                  </a:prstGeom>
                </pic:spPr>
              </pic:pic>
            </a:graphicData>
          </a:graphic>
        </wp:anchor>
      </w:drawing>
    </w:r>
  </w:p>
  <w:p w:rsidR="0037381E" w:rsidRDefault="00AF6C81">
    <w:pPr>
      <w:ind w:firstLine="708"/>
      <w:jc w:val="right"/>
      <w:rPr>
        <w:rFonts w:ascii="Arial" w:hAnsi="Arial" w:cs="Arial"/>
        <w:b/>
        <w:sz w:val="22"/>
        <w:szCs w:val="22"/>
      </w:rPr>
    </w:pPr>
    <w:r>
      <w:rPr>
        <w:rFonts w:ascii="Arial" w:hAnsi="Arial" w:cs="Arial"/>
        <w:sz w:val="14"/>
        <w:szCs w:val="14"/>
      </w:rPr>
      <w:t>INFORME DEL AUDITOR [2024-048]</w:t>
    </w:r>
  </w:p>
  <w:p w:rsidR="0037381E" w:rsidRDefault="0037381E">
    <w:pPr>
      <w:pBdr>
        <w:bottom w:val="thinThickSmallGap" w:sz="24" w:space="1" w:color="000000"/>
      </w:pBdr>
      <w:rPr>
        <w:rFonts w:ascii="Arial" w:hAnsi="Arial" w:cs="Arial"/>
        <w:sz w:val="2"/>
        <w:szCs w:val="2"/>
      </w:rPr>
    </w:pPr>
  </w:p>
  <w:p w:rsidR="0037381E" w:rsidRDefault="0037381E">
    <w:pPr>
      <w:pBdr>
        <w:bottom w:val="thinThickSmallGap" w:sz="24" w:space="1" w:color="000000"/>
      </w:pBdr>
      <w:rPr>
        <w:rFonts w:ascii="Arial" w:hAnsi="Arial" w:cs="Arial"/>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37381E">
    <w:pPr>
      <w:spacing w:line="276" w:lineRule="auto"/>
    </w:pPr>
  </w:p>
  <w:p w:rsidR="0037381E" w:rsidRDefault="0037381E">
    <w:pPr>
      <w:pBdr>
        <w:bottom w:val="thinThickSmallGap" w:sz="24" w:space="1" w:color="000000"/>
      </w:pBdr>
      <w:spacing w:line="276" w:lineRule="auto"/>
      <w:ind w:right="-91"/>
      <w:jc w:val="right"/>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B129C"/>
    <w:multiLevelType w:val="multilevel"/>
    <w:tmpl w:val="52EA36AA"/>
    <w:lvl w:ilvl="0">
      <w:start w:val="1"/>
      <w:numFmt w:val="decimal"/>
      <w:lvlText w:val="%1)"/>
      <w:lvlJc w:val="left"/>
      <w:pPr>
        <w:tabs>
          <w:tab w:val="num" w:pos="0"/>
        </w:tabs>
        <w:ind w:left="2136" w:hanging="360"/>
      </w:pPr>
    </w:lvl>
    <w:lvl w:ilvl="1">
      <w:start w:val="1"/>
      <w:numFmt w:val="lowerLetter"/>
      <w:lvlText w:val="%2."/>
      <w:lvlJc w:val="left"/>
      <w:pPr>
        <w:tabs>
          <w:tab w:val="num" w:pos="0"/>
        </w:tabs>
        <w:ind w:left="2856" w:hanging="360"/>
      </w:pPr>
    </w:lvl>
    <w:lvl w:ilvl="2">
      <w:start w:val="1"/>
      <w:numFmt w:val="lowerRoman"/>
      <w:lvlText w:val="%3."/>
      <w:lvlJc w:val="right"/>
      <w:pPr>
        <w:tabs>
          <w:tab w:val="num" w:pos="0"/>
        </w:tabs>
        <w:ind w:left="3576" w:hanging="180"/>
      </w:pPr>
    </w:lvl>
    <w:lvl w:ilvl="3">
      <w:start w:val="1"/>
      <w:numFmt w:val="decimal"/>
      <w:lvlText w:val="%4."/>
      <w:lvlJc w:val="left"/>
      <w:pPr>
        <w:tabs>
          <w:tab w:val="num" w:pos="0"/>
        </w:tabs>
        <w:ind w:left="4296" w:hanging="360"/>
      </w:pPr>
    </w:lvl>
    <w:lvl w:ilvl="4">
      <w:start w:val="1"/>
      <w:numFmt w:val="lowerLetter"/>
      <w:lvlText w:val="%5."/>
      <w:lvlJc w:val="left"/>
      <w:pPr>
        <w:tabs>
          <w:tab w:val="num" w:pos="0"/>
        </w:tabs>
        <w:ind w:left="5016" w:hanging="360"/>
      </w:pPr>
    </w:lvl>
    <w:lvl w:ilvl="5">
      <w:start w:val="1"/>
      <w:numFmt w:val="lowerRoman"/>
      <w:lvlText w:val="%6."/>
      <w:lvlJc w:val="right"/>
      <w:pPr>
        <w:tabs>
          <w:tab w:val="num" w:pos="0"/>
        </w:tabs>
        <w:ind w:left="5736" w:hanging="180"/>
      </w:pPr>
    </w:lvl>
    <w:lvl w:ilvl="6">
      <w:start w:val="1"/>
      <w:numFmt w:val="decimal"/>
      <w:lvlText w:val="%7."/>
      <w:lvlJc w:val="left"/>
      <w:pPr>
        <w:tabs>
          <w:tab w:val="num" w:pos="0"/>
        </w:tabs>
        <w:ind w:left="6456" w:hanging="360"/>
      </w:pPr>
    </w:lvl>
    <w:lvl w:ilvl="7">
      <w:start w:val="1"/>
      <w:numFmt w:val="lowerLetter"/>
      <w:lvlText w:val="%8."/>
      <w:lvlJc w:val="left"/>
      <w:pPr>
        <w:tabs>
          <w:tab w:val="num" w:pos="0"/>
        </w:tabs>
        <w:ind w:left="7176" w:hanging="360"/>
      </w:pPr>
    </w:lvl>
    <w:lvl w:ilvl="8">
      <w:start w:val="1"/>
      <w:numFmt w:val="lowerRoman"/>
      <w:lvlText w:val="%9."/>
      <w:lvlJc w:val="right"/>
      <w:pPr>
        <w:tabs>
          <w:tab w:val="num" w:pos="0"/>
        </w:tabs>
        <w:ind w:left="7896" w:hanging="180"/>
      </w:pPr>
    </w:lvl>
  </w:abstractNum>
  <w:abstractNum w:abstractNumId="1" w15:restartNumberingAfterBreak="0">
    <w:nsid w:val="35233D62"/>
    <w:multiLevelType w:val="multilevel"/>
    <w:tmpl w:val="0C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3ED40CDD"/>
    <w:multiLevelType w:val="multilevel"/>
    <w:tmpl w:val="6308AD7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88E34FF"/>
    <w:multiLevelType w:val="multilevel"/>
    <w:tmpl w:val="B7DE3E8A"/>
    <w:lvl w:ilvl="0">
      <w:start w:val="1"/>
      <w:numFmt w:val="decimal"/>
      <w:lvlText w:val="%1)"/>
      <w:lvlJc w:val="left"/>
      <w:pPr>
        <w:tabs>
          <w:tab w:val="num" w:pos="0"/>
        </w:tabs>
        <w:ind w:left="360" w:hanging="360"/>
      </w:pPr>
      <w:rPr>
        <w:rFonts w:ascii="Arial Narrow" w:hAnsi="Arial Narrow"/>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519D3D6B"/>
    <w:multiLevelType w:val="multilevel"/>
    <w:tmpl w:val="EC7E61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0781F75"/>
    <w:multiLevelType w:val="multilevel"/>
    <w:tmpl w:val="0AEAFE14"/>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72D81891"/>
    <w:multiLevelType w:val="multilevel"/>
    <w:tmpl w:val="30B05BE2"/>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15:restartNumberingAfterBreak="0">
    <w:nsid w:val="7DA15134"/>
    <w:multiLevelType w:val="multilevel"/>
    <w:tmpl w:val="DA7AF56C"/>
    <w:lvl w:ilvl="0">
      <w:start w:val="1"/>
      <w:numFmt w:val="bullet"/>
      <w:lvlText w:val=""/>
      <w:lvlJc w:val="left"/>
      <w:pPr>
        <w:tabs>
          <w:tab w:val="num" w:pos="0"/>
        </w:tabs>
        <w:ind w:left="360" w:hanging="360"/>
      </w:pPr>
      <w:rPr>
        <w:rFonts w:ascii="Symbol" w:hAnsi="Symbol" w:cs="Symbol"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Wingdings" w:hAnsi="Wingdings" w:cs="Wingdings"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2"/>
  </w:num>
  <w:num w:numId="2">
    <w:abstractNumId w:val="3"/>
  </w:num>
  <w:num w:numId="3">
    <w:abstractNumId w:val="5"/>
  </w:num>
  <w:num w:numId="4">
    <w:abstractNumId w:val="7"/>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381E"/>
    <w:rsid w:val="0037381E"/>
    <w:rsid w:val="00853957"/>
    <w:rsid w:val="00AF6C8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A48D"/>
  <w15:docId w15:val="{72CDEC1B-9E3A-4E37-AA50-6421124C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VE" w:eastAsia="es-VE"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C31"/>
    <w:rPr>
      <w:sz w:val="24"/>
      <w:szCs w:val="24"/>
      <w:lang w:val="es-ES" w:eastAsia="es-ES"/>
    </w:rPr>
  </w:style>
  <w:style w:type="paragraph" w:styleId="Ttulo4">
    <w:name w:val="heading 4"/>
    <w:basedOn w:val="Normal"/>
    <w:next w:val="Normal"/>
    <w:link w:val="Ttulo4Car"/>
    <w:qFormat/>
    <w:rsid w:val="00CF1AA9"/>
    <w:pPr>
      <w:keepNext/>
      <w:overflowPunct w:val="0"/>
      <w:textAlignment w:val="baseline"/>
      <w:outlineLvl w:val="3"/>
    </w:pPr>
    <w:rPr>
      <w:rFonts w:ascii="Arial" w:hAnsi="Arial"/>
      <w:szCs w:val="20"/>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E50040"/>
  </w:style>
  <w:style w:type="character" w:styleId="Refdenotaalpie">
    <w:name w:val="footnote reference"/>
    <w:rPr>
      <w:vertAlign w:val="superscript"/>
    </w:rPr>
  </w:style>
  <w:style w:type="character" w:customStyle="1" w:styleId="FootnoteCharacters">
    <w:name w:val="Footnote Characters"/>
    <w:qFormat/>
    <w:rPr>
      <w:vertAlign w:val="superscript"/>
    </w:rPr>
  </w:style>
  <w:style w:type="character" w:customStyle="1" w:styleId="FootnoteCharacters1">
    <w:name w:val="Footnote Characters1"/>
    <w:semiHidden/>
    <w:qFormat/>
    <w:rsid w:val="00862416"/>
    <w:rPr>
      <w:vertAlign w:val="superscript"/>
    </w:rPr>
  </w:style>
  <w:style w:type="character" w:styleId="Refdecomentario">
    <w:name w:val="annotation reference"/>
    <w:uiPriority w:val="99"/>
    <w:semiHidden/>
    <w:qFormat/>
    <w:rsid w:val="000D0896"/>
    <w:rPr>
      <w:sz w:val="16"/>
      <w:szCs w:val="16"/>
    </w:rPr>
  </w:style>
  <w:style w:type="character" w:customStyle="1" w:styleId="EncabezadoCar">
    <w:name w:val="Encabezado Car"/>
    <w:link w:val="Encabezado"/>
    <w:uiPriority w:val="99"/>
    <w:qFormat/>
    <w:rsid w:val="00E7513F"/>
    <w:rPr>
      <w:sz w:val="24"/>
      <w:szCs w:val="24"/>
      <w:lang w:val="es-ES" w:eastAsia="es-ES" w:bidi="ar-SA"/>
    </w:rPr>
  </w:style>
  <w:style w:type="character" w:customStyle="1" w:styleId="TextonotapieCar">
    <w:name w:val="Texto nota pie Car"/>
    <w:link w:val="Textonotapie"/>
    <w:semiHidden/>
    <w:qFormat/>
    <w:rsid w:val="00FF5FA5"/>
    <w:rPr>
      <w:lang w:val="es-ES" w:eastAsia="es-ES" w:bidi="ar-SA"/>
    </w:rPr>
  </w:style>
  <w:style w:type="character" w:customStyle="1" w:styleId="Ttulo4Car">
    <w:name w:val="Título 4 Car"/>
    <w:link w:val="Ttulo4"/>
    <w:qFormat/>
    <w:rsid w:val="005109CF"/>
    <w:rPr>
      <w:rFonts w:ascii="Arial" w:hAnsi="Arial"/>
      <w:sz w:val="24"/>
      <w:lang w:val="es-ES_tradnl" w:eastAsia="ar-SA"/>
    </w:rPr>
  </w:style>
  <w:style w:type="character" w:customStyle="1" w:styleId="TextocomentarioCar">
    <w:name w:val="Texto comentario Car"/>
    <w:link w:val="Textocomentario"/>
    <w:uiPriority w:val="99"/>
    <w:qFormat/>
    <w:rsid w:val="00A46D65"/>
    <w:rPr>
      <w:lang w:val="es-ES" w:eastAsia="es-ES"/>
    </w:rPr>
  </w:style>
  <w:style w:type="character" w:styleId="Textoennegrita">
    <w:name w:val="Strong"/>
    <w:uiPriority w:val="22"/>
    <w:qFormat/>
    <w:rsid w:val="008272E9"/>
    <w:rPr>
      <w:b/>
      <w:bCs/>
    </w:rPr>
  </w:style>
  <w:style w:type="character" w:customStyle="1" w:styleId="apple-converted-space">
    <w:name w:val="apple-converted-space"/>
    <w:basedOn w:val="Fuentedeprrafopredeter"/>
    <w:qFormat/>
    <w:rsid w:val="008272E9"/>
  </w:style>
  <w:style w:type="character" w:customStyle="1" w:styleId="InternetLink">
    <w:name w:val="Internet Link"/>
    <w:uiPriority w:val="99"/>
    <w:unhideWhenUsed/>
    <w:qFormat/>
    <w:rsid w:val="00A75DDC"/>
    <w:rPr>
      <w:color w:val="0000FF"/>
      <w:u w:val="single"/>
    </w:rPr>
  </w:style>
  <w:style w:type="character" w:customStyle="1" w:styleId="PiedepginaCar">
    <w:name w:val="Pie de página Car"/>
    <w:link w:val="Piedepgina"/>
    <w:uiPriority w:val="99"/>
    <w:qFormat/>
    <w:rsid w:val="00DA3A13"/>
    <w:rPr>
      <w:sz w:val="24"/>
      <w:szCs w:val="24"/>
      <w:lang w:val="es-ES" w:eastAsia="es-ES"/>
    </w:rPr>
  </w:style>
  <w:style w:type="character" w:customStyle="1" w:styleId="TextosinformatoCar">
    <w:name w:val="Texto sin formato Car"/>
    <w:link w:val="Textosinformato"/>
    <w:uiPriority w:val="99"/>
    <w:qFormat/>
    <w:rsid w:val="001F4FAB"/>
    <w:rPr>
      <w:rFonts w:ascii="Consolas" w:eastAsia="Calibri" w:hAnsi="Consolas" w:cs="Times New Roman"/>
      <w:sz w:val="21"/>
      <w:szCs w:val="21"/>
      <w:lang w:val="es-VE" w:eastAsia="en-US"/>
    </w:rPr>
  </w:style>
  <w:style w:type="character" w:customStyle="1" w:styleId="hgkelc">
    <w:name w:val="hgkelc"/>
    <w:basedOn w:val="Fuentedeprrafopredeter"/>
    <w:qFormat/>
    <w:rsid w:val="00FD3CC5"/>
  </w:style>
  <w:style w:type="character" w:customStyle="1" w:styleId="Textoindependiente2Car">
    <w:name w:val="Texto independiente 2 Car"/>
    <w:basedOn w:val="Fuentedeprrafopredeter"/>
    <w:link w:val="Textoindependiente2"/>
    <w:uiPriority w:val="99"/>
    <w:qFormat/>
    <w:rsid w:val="00461183"/>
    <w:rPr>
      <w:rFonts w:ascii="Arial" w:hAnsi="Arial"/>
      <w:sz w:val="22"/>
      <w:szCs w:val="22"/>
      <w:lang w:val="es-ES" w:eastAsia="es-MX"/>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rsid w:val="00D70CD8"/>
    <w:pPr>
      <w:spacing w:line="360" w:lineRule="auto"/>
      <w:jc w:val="both"/>
    </w:pPr>
    <w:rPr>
      <w:szCs w:val="20"/>
      <w:lang w:val="es-VE"/>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rPr>
  </w:style>
  <w:style w:type="paragraph" w:customStyle="1" w:styleId="ndice">
    <w:name w:val="Índice"/>
    <w:basedOn w:val="Normal"/>
    <w:qFormat/>
    <w:pPr>
      <w:suppressLineNumbers/>
    </w:pPr>
    <w:rPr>
      <w:rFonts w:cs="Noto Sans Devanagari"/>
    </w:rPr>
  </w:style>
  <w:style w:type="paragraph" w:styleId="Textodeglobo">
    <w:name w:val="Balloon Text"/>
    <w:basedOn w:val="Normal"/>
    <w:semiHidden/>
    <w:qFormat/>
    <w:rsid w:val="008347E2"/>
    <w:rPr>
      <w:rFonts w:ascii="Tahoma" w:hAnsi="Tahoma" w:cs="Tahoma"/>
      <w:sz w:val="16"/>
      <w:szCs w:val="16"/>
    </w:rPr>
  </w:style>
  <w:style w:type="paragraph" w:customStyle="1" w:styleId="HeaderandFooter">
    <w:name w:val="Header and Footer"/>
    <w:basedOn w:val="Normal"/>
    <w:qFormat/>
  </w:style>
  <w:style w:type="paragraph" w:styleId="Encabezado">
    <w:name w:val="header"/>
    <w:basedOn w:val="Normal"/>
    <w:link w:val="EncabezadoCar"/>
    <w:uiPriority w:val="99"/>
    <w:rsid w:val="00E50040"/>
    <w:pPr>
      <w:tabs>
        <w:tab w:val="center" w:pos="4252"/>
        <w:tab w:val="right" w:pos="8504"/>
      </w:tabs>
    </w:pPr>
  </w:style>
  <w:style w:type="paragraph" w:styleId="Piedepgina">
    <w:name w:val="footer"/>
    <w:basedOn w:val="Normal"/>
    <w:link w:val="PiedepginaCar"/>
    <w:uiPriority w:val="99"/>
    <w:rsid w:val="00AE40A1"/>
    <w:pPr>
      <w:tabs>
        <w:tab w:val="center" w:pos="4252"/>
        <w:tab w:val="right" w:pos="8504"/>
      </w:tabs>
    </w:pPr>
  </w:style>
  <w:style w:type="paragraph" w:styleId="Textonotapie">
    <w:name w:val="footnote text"/>
    <w:basedOn w:val="Normal"/>
    <w:link w:val="TextonotapieCar"/>
    <w:semiHidden/>
    <w:rsid w:val="00862416"/>
    <w:rPr>
      <w:sz w:val="20"/>
      <w:szCs w:val="20"/>
    </w:rPr>
  </w:style>
  <w:style w:type="paragraph" w:styleId="Textocomentario">
    <w:name w:val="annotation text"/>
    <w:basedOn w:val="Normal"/>
    <w:link w:val="TextocomentarioCar"/>
    <w:uiPriority w:val="99"/>
    <w:rsid w:val="000D0896"/>
    <w:rPr>
      <w:sz w:val="20"/>
      <w:szCs w:val="20"/>
    </w:rPr>
  </w:style>
  <w:style w:type="paragraph" w:styleId="Asuntodelcomentario">
    <w:name w:val="annotation subject"/>
    <w:basedOn w:val="Textocomentario"/>
    <w:next w:val="Textocomentario"/>
    <w:semiHidden/>
    <w:qFormat/>
    <w:rsid w:val="000D0896"/>
    <w:rPr>
      <w:b/>
      <w:bCs/>
    </w:rPr>
  </w:style>
  <w:style w:type="paragraph" w:styleId="Prrafodelista">
    <w:name w:val="List Paragraph"/>
    <w:basedOn w:val="Normal"/>
    <w:uiPriority w:val="34"/>
    <w:qFormat/>
    <w:rsid w:val="009C5BBF"/>
    <w:pPr>
      <w:ind w:left="708"/>
    </w:pPr>
  </w:style>
  <w:style w:type="paragraph" w:customStyle="1" w:styleId="Default">
    <w:name w:val="Default"/>
    <w:qFormat/>
    <w:rsid w:val="00D950A9"/>
    <w:rPr>
      <w:color w:val="000000"/>
      <w:sz w:val="24"/>
      <w:szCs w:val="24"/>
    </w:rPr>
  </w:style>
  <w:style w:type="paragraph" w:styleId="Textosinformato">
    <w:name w:val="Plain Text"/>
    <w:basedOn w:val="Normal"/>
    <w:link w:val="TextosinformatoCar"/>
    <w:uiPriority w:val="99"/>
    <w:unhideWhenUsed/>
    <w:qFormat/>
    <w:rsid w:val="001F4FAB"/>
    <w:rPr>
      <w:rFonts w:ascii="Consolas" w:eastAsia="Calibri" w:hAnsi="Consolas"/>
      <w:sz w:val="21"/>
      <w:szCs w:val="21"/>
      <w:lang w:val="es-VE" w:eastAsia="en-US"/>
    </w:rPr>
  </w:style>
  <w:style w:type="paragraph" w:styleId="Sinespaciado">
    <w:name w:val="No Spacing"/>
    <w:uiPriority w:val="1"/>
    <w:qFormat/>
    <w:rsid w:val="00102DE2"/>
    <w:rPr>
      <w:rFonts w:ascii="Calibri" w:eastAsia="Calibri" w:hAnsi="Calibri"/>
      <w:sz w:val="22"/>
      <w:szCs w:val="22"/>
      <w:lang w:eastAsia="en-US"/>
    </w:rPr>
  </w:style>
  <w:style w:type="paragraph" w:customStyle="1" w:styleId="Standard">
    <w:name w:val="Standard"/>
    <w:qFormat/>
    <w:rsid w:val="00102DE2"/>
    <w:pPr>
      <w:textAlignment w:val="baseline"/>
    </w:pPr>
    <w:rPr>
      <w:rFonts w:ascii="Tahoma" w:hAnsi="Tahoma" w:cs="Tahoma"/>
      <w:kern w:val="2"/>
      <w:sz w:val="24"/>
      <w:szCs w:val="24"/>
      <w:lang w:val="es-ES" w:eastAsia="zh-CN"/>
    </w:rPr>
  </w:style>
  <w:style w:type="paragraph" w:styleId="Textoindependiente2">
    <w:name w:val="Body Text 2"/>
    <w:basedOn w:val="Normal"/>
    <w:link w:val="Textoindependiente2Car"/>
    <w:uiPriority w:val="99"/>
    <w:qFormat/>
    <w:rsid w:val="00461183"/>
    <w:pPr>
      <w:jc w:val="both"/>
    </w:pPr>
    <w:rPr>
      <w:rFonts w:ascii="Arial" w:hAnsi="Arial"/>
      <w:sz w:val="22"/>
      <w:szCs w:val="22"/>
      <w:lang w:eastAsia="es-MX"/>
    </w:rPr>
  </w:style>
  <w:style w:type="paragraph" w:customStyle="1" w:styleId="style11">
    <w:name w:val="style11"/>
    <w:basedOn w:val="Normal"/>
    <w:uiPriority w:val="99"/>
    <w:qFormat/>
    <w:rsid w:val="00461183"/>
    <w:pPr>
      <w:spacing w:beforeAutospacing="1" w:afterAutospacing="1"/>
    </w:pPr>
    <w:rPr>
      <w:rFonts w:ascii="Arial" w:hAnsi="Arial" w:cs="Arial"/>
      <w:sz w:val="11"/>
      <w:szCs w:val="11"/>
      <w:lang w:val="es-ES_tradnl" w:eastAsia="es-ES_tradnl"/>
    </w:rPr>
  </w:style>
  <w:style w:type="paragraph" w:customStyle="1" w:styleId="WW-Encabezamiento">
    <w:name w:val="WW-Encabezamiento"/>
    <w:basedOn w:val="Normal"/>
    <w:qFormat/>
    <w:rsid w:val="00BC320C"/>
    <w:pPr>
      <w:overflowPunct w:val="0"/>
      <w:jc w:val="both"/>
    </w:pPr>
    <w:rPr>
      <w:color w:val="00000A"/>
      <w:lang w:eastAsia="zh-CN"/>
    </w:rPr>
  </w:style>
  <w:style w:type="paragraph" w:customStyle="1" w:styleId="western">
    <w:name w:val="western"/>
    <w:basedOn w:val="Normal"/>
    <w:qFormat/>
    <w:rsid w:val="005B7651"/>
    <w:pPr>
      <w:spacing w:beforeAutospacing="1" w:after="119"/>
    </w:pPr>
    <w:rPr>
      <w:color w:val="000000"/>
      <w:lang w:val="es-VE" w:eastAsia="es-VE"/>
    </w:rPr>
  </w:style>
  <w:style w:type="paragraph" w:customStyle="1" w:styleId="m8013895012438433063default">
    <w:name w:val="m_8013895012438433063default"/>
    <w:basedOn w:val="Normal"/>
    <w:qFormat/>
    <w:rsid w:val="007A0018"/>
    <w:pPr>
      <w:spacing w:beforeAutospacing="1" w:afterAutospacing="1"/>
    </w:pPr>
    <w:rPr>
      <w:lang w:val="es-VE" w:eastAsia="ko-KR"/>
    </w:rPr>
  </w:style>
  <w:style w:type="paragraph" w:customStyle="1" w:styleId="Contenidodelmarco">
    <w:name w:val="Contenido del marco"/>
    <w:basedOn w:val="Normal"/>
    <w:qFormat/>
  </w:style>
  <w:style w:type="numbering" w:customStyle="1" w:styleId="Ningunalista">
    <w:name w:val="Ninguna lista"/>
    <w:uiPriority w:val="99"/>
    <w:semiHidden/>
    <w:unhideWhenUsed/>
    <w:qFormat/>
  </w:style>
  <w:style w:type="table" w:styleId="Tablaconcuadrcula">
    <w:name w:val="Table Grid"/>
    <w:basedOn w:val="Tablanormal"/>
    <w:rsid w:val="003D2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CA10B70-AB84-4C69-B336-DC63274B7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Pages>
  <Words>2426</Words>
  <Characters>13347</Characters>
  <Application>Microsoft Office Word</Application>
  <DocSecurity>0</DocSecurity>
  <Lines>111</Lines>
  <Paragraphs>31</Paragraphs>
  <ScaleCrop>false</ScaleCrop>
  <Company>minep</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PRELIMINAR</dc:title>
  <dc:subject/>
  <dc:creator>svarga04</dc:creator>
  <dc:description/>
  <cp:lastModifiedBy>pier</cp:lastModifiedBy>
  <cp:revision>24</cp:revision>
  <cp:lastPrinted>2024-04-23T13:07:00Z</cp:lastPrinted>
  <dcterms:created xsi:type="dcterms:W3CDTF">2024-06-26T18:20:00Z</dcterms:created>
  <dcterms:modified xsi:type="dcterms:W3CDTF">2024-09-25T12:49:00Z</dcterms:modified>
  <dc:language>es-VE</dc:language>
</cp:coreProperties>
</file>