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400"/>
        <w:jc w:val="center"/>
      </w:pPr>
      <w:r>
        <w:rPr>
          <w:b/>
          <w:bCs/>
          <w:sz w:val="48"/>
          <w:szCs w:val="48"/>
        </w:rPr>
        <w:t xml:space="preserve">INVESTMENT PRACTICE MANUAL</w:t>
      </w:r>
    </w:p>
    <w:p>
      <w:pPr>
        <w:spacing w:after="1200"/>
        <w:jc w:val="center"/>
      </w:pPr>
      <w:r>
        <w:rPr>
          <w:i/>
          <w:iCs/>
          <w:sz w:val="28"/>
          <w:szCs w:val="28"/>
        </w:rPr>
        <w:t xml:space="preserve">and Documented Investment Management Process</w:t>
      </w:r>
    </w:p>
    <w:p>
      <w:pPr>
        <w:spacing w:after="120"/>
        <w:jc w:val="center"/>
      </w:pPr>
      <w:r>
        <w:rPr>
          <w:i/>
          <w:iCs/>
          <w:color w:val="0066CC"/>
        </w:rPr>
        <w:t xml:space="preserve">[Adviser Full Legal Name]</w:t>
      </w:r>
    </w:p>
    <w:p>
      <w:pPr>
        <w:spacing w:after="400"/>
        <w:jc w:val="center"/>
      </w:pPr>
      <w:r>
        <w:rPr>
          <w:sz w:val="24"/>
          <w:szCs w:val="24"/>
        </w:rPr>
        <w:t xml:space="preserve">Investment Adviser Representative</w:t>
      </w:r>
    </w:p>
    <w:p>
      <w:pPr>
        <w:spacing w:after="120"/>
        <w:jc w:val="center"/>
      </w:pPr>
      <w:r>
        <w:rPr>
          <w:i/>
          <w:iCs/>
          <w:sz w:val="22"/>
          <w:szCs w:val="22"/>
        </w:rPr>
        <w:t xml:space="preserve">an affiliate of</w:t>
      </w:r>
    </w:p>
    <w:p>
      <w:pPr>
        <w:spacing w:after="120"/>
        <w:jc w:val="center"/>
      </w:pPr>
      <w:r>
        <w:rPr>
          <w:i/>
          <w:iCs/>
          <w:color w:val="0066CC"/>
        </w:rPr>
        <w:t xml:space="preserve">[Parent RIA Legal Name]</w:t>
      </w:r>
    </w:p>
    <w:p>
      <w:pPr>
        <w:spacing w:after="2000"/>
        <w:jc w:val="center"/>
      </w:pPr>
      <w:r>
        <w:rPr>
          <w:sz w:val="22"/>
          <w:szCs w:val="22"/>
        </w:rPr>
        <w:t xml:space="preserve">SEC-Registered Investment Adviser</w:t>
      </w:r>
    </w:p>
    <w:p>
      <w:pPr>
        <w:spacing w:after="120"/>
        <w:jc w:val="center"/>
      </w:pPr>
      <w:r>
        <w:rPr>
          <w:b/>
          <w:bCs/>
        </w:rPr>
        <w:t xml:space="preserve">Version 1.0</w:t>
      </w:r>
    </w:p>
    <w:p>
      <w:pPr>
        <w:spacing w:after="120"/>
        <w:jc w:val="center"/>
      </w:pPr>
      <w:r>
        <w:t xml:space="preserve">Effective Date: </w:t>
      </w:r>
      <w:r>
        <w:rPr>
          <w:i/>
          <w:iCs/>
          <w:color w:val="0066CC"/>
        </w:rPr>
        <w:t xml:space="preserve">[Insert Date]</w:t>
      </w:r>
    </w:p>
    <w:p>
      <w:pPr>
        <w:spacing w:after="120"/>
        <w:jc w:val="center"/>
      </w:pPr>
      <w:r>
        <w:t xml:space="preserve">Last Reviewed: </w:t>
      </w:r>
      <w:r>
        <w:rPr>
          <w:i/>
          <w:iCs/>
          <w:color w:val="0066CC"/>
        </w:rPr>
        <w:t xml:space="preserve">[Insert Date]</w:t>
      </w:r>
    </w:p>
    <w:p>
      <w:pPr>
        <w:jc w:val="center"/>
      </w:pPr>
      <w:r>
        <w:t xml:space="preserve">Next Scheduled Review: </w:t>
      </w:r>
      <w:r>
        <w:rPr>
          <w:i/>
          <w:iCs/>
          <w:color w:val="0066CC"/>
        </w:rPr>
        <w:t xml:space="preserve">[Insert Date]</w:t>
      </w:r>
    </w:p>
    <w:p>
      <w:r>
        <w:br w:type="page"/>
      </w:r>
    </w:p>
    <w:p>
      <w:pPr>
        <w:spacing w:after="400"/>
        <w:jc w:val="center"/>
      </w:pPr>
      <w:r>
        <w:rPr>
          <w:b/>
          <w:bCs/>
          <w:sz w:val="32"/>
          <w:szCs w:val="32"/>
        </w:rPr>
        <w:t xml:space="preserve">TABLE OF CONTENTS</w:t>
      </w:r>
    </w:p>
    <w:p>
      <w:pPr>
        <w:spacing w:after="240"/>
      </w:pPr>
      <w:r>
        <w:rPr>
          <w:i/>
          <w:iCs/>
          <w:color w:val="555555"/>
          <w:sz w:val="20"/>
          <w:szCs w:val="20"/>
        </w:rPr>
        <w:t xml:space="preserve">After opening this document in Microsoft Word, right-click the table below and select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pStyle w:val="Heading2"/>
      </w:pPr>
      <w:r>
        <w:t xml:space="preserve">Purpose</w:t>
      </w:r>
    </w:p>
    <w:p>
      <w:pPr>
        <w:spacing w:after="120"/>
      </w:pPr>
      <w:r>
        <w:t xml:space="preserve">This Investment Practice Manual (the “Manual”) documents the investment management process and supervised-person compliance practices of </w:t>
      </w:r>
      <w:r>
        <w:rPr>
          <w:i/>
          <w:iCs/>
          <w:color w:val="0066CC"/>
        </w:rPr>
        <w:t xml:space="preserve">[Adviser Full Legal Name]</w:t>
      </w:r>
      <w:r>
        <w:t xml:space="preserve"> (the “Adviser”), an Investment Adviser Representative (“IAR”) of </w:t>
      </w:r>
      <w:r>
        <w:rPr>
          <w:i/>
          <w:iCs/>
          <w:color w:val="0066CC"/>
        </w:rPr>
        <w:t xml:space="preserve">[Parent RIA Legal Name]</w:t>
      </w:r>
      <w:r>
        <w:t xml:space="preserve"> (the “Parent RIA”), an investment adviser registered with the U.S. Securities and Exchange Commission (“SEC”) under the Investment Advisers Act of 1940 (the “Advisers Act”).</w:t>
      </w:r>
    </w:p>
    <w:p>
      <w:pPr>
        <w:spacing w:after="120"/>
      </w:pPr>
      <w:r>
        <w:t xml:space="preserve">This Manual is designed to:</w:t>
      </w:r>
    </w:p>
    <w:p>
      <w:pPr>
        <w:pStyle w:val="ListParagraph"/>
        <w:numPr>
          <w:ilvl w:val="0"/>
          <w:numId w:val="2"/>
        </w:numPr>
      </w:pPr>
      <w:r>
        <w:t xml:space="preserve">Define and operationalize the Adviser's investment management process in a manner consistent with the Adviser's fiduciary duty to clients.</w:t>
      </w:r>
    </w:p>
    <w:p>
      <w:pPr>
        <w:pStyle w:val="ListParagraph"/>
        <w:numPr>
          <w:ilvl w:val="0"/>
          <w:numId w:val="2"/>
        </w:numPr>
      </w:pPr>
      <w:r>
        <w:t xml:space="preserve">Document the Adviser's implementation of the Parent RIA's compliance program adopted pursuant to Rule 206(4)-7 under the Advisers Act.</w:t>
      </w:r>
    </w:p>
    <w:p>
      <w:pPr>
        <w:pStyle w:val="ListParagraph"/>
        <w:numPr>
          <w:ilvl w:val="0"/>
          <w:numId w:val="2"/>
        </w:numPr>
      </w:pPr>
      <w:r>
        <w:t xml:space="preserve">Provide a verifiable, repeatable framework that supports consistent client outcomes and supervisory review.</w:t>
      </w:r>
    </w:p>
    <w:p>
      <w:pPr>
        <w:pStyle w:val="ListParagraph"/>
        <w:numPr>
          <w:ilvl w:val="0"/>
          <w:numId w:val="2"/>
        </w:numPr>
      </w:pPr>
      <w:r>
        <w:t xml:space="preserve">Serve as a foundation that can be expanded into a standalone compliance program if and when the Adviser separately registers with the SEC.</w:t>
      </w:r>
    </w:p>
    <w:p>
      <w:pPr>
        <w:pStyle w:val="Heading2"/>
      </w:pPr>
      <w:r>
        <w:t xml:space="preserve">Scope</w:t>
      </w:r>
    </w:p>
    <w:p>
      <w:pPr>
        <w:spacing w:after="120"/>
      </w:pPr>
      <w:r>
        <w:t xml:space="preserve">This Manual covers the Adviser's investment management practice, including governance, investment philosophy, client onboarding, portfolio construction, trading, risk management, personal-trading and conflicts implementation, and custody touchpoints. It does not duplicate or replace policies maintained at the Parent RIA level; instead, it operates within and references those policies.</w:t>
      </w:r>
    </w:p>
    <w:p>
      <w:pPr>
        <w:spacing w:after="120"/>
      </w:pPr>
      <w:r>
        <w:t xml:space="preserve">Items typically managed at the Parent RIA level—including the firm-wide compliance program, marketing rule compliance under Rule 206(4)-1, recordkeeping infrastructure under Rule 204-2, privacy and Regulation S-P, cybersecurity, business continuity planning, and Form ADV maintenance—are addressed in the Parent RIA's compliance manual and are </w:t>
      </w:r>
      <w:r>
        <w:rPr>
          <w:b/>
          <w:bCs/>
        </w:rPr>
        <w:t xml:space="preserve">incorporated by reference</w:t>
      </w:r>
      <w:r>
        <w:t xml:space="preserve"> into this Manual. These items are noted as deferred sections (Sections 9–12) for future development should the Adviser pursue standalone SEC registration.</w:t>
      </w:r>
    </w:p>
    <w:p>
      <w:pPr>
        <w:pStyle w:val="Heading2"/>
      </w:pPr>
      <w:r>
        <w:t xml:space="preserve">Relationship to Parent RIA's Compliance Program</w:t>
      </w:r>
    </w:p>
    <w:p>
      <w:pPr>
        <w:spacing w:after="120"/>
      </w:pPr>
      <w:r>
        <w:t xml:space="preserve">The Adviser is a supervised person of the Parent RIA and operates under the Parent RIA's written compliance policies and procedures. Where the Parent RIA has adopted a prescriptive policy, this Manual references that policy. Where the Parent RIA leaves discretion to the IAR, this Manual documents the Adviser's specific approach. In any conflict between this Manual and a Parent RIA policy, the Parent RIA policy controls, and the Adviser will promptly escalate the conflict to the Parent RIA's Chief Compliance Officer (“CCO”) for resolution.</w:t>
      </w:r>
    </w:p>
    <w:p>
      <w:pPr>
        <w:pStyle w:val="Heading2"/>
      </w:pPr>
      <w:r>
        <w:t xml:space="preserve">Document Maintenance</w:t>
      </w:r>
    </w:p>
    <w:p>
      <w:pPr>
        <w:spacing w:after="120"/>
      </w:pPr>
      <w:r>
        <w:t xml:space="preserve">This Manual is reviewed and updated at least annually, and more frequently as needed to reflect material changes in the Adviser's practice, the Parent RIA's policies, or applicable law. The revision history is maintained in Appendix D.</w:t>
      </w:r>
    </w:p>
    <w:p>
      <w:pPr>
        <w:pStyle w:val="Heading2"/>
      </w:pPr>
      <w:r>
        <w:t xml:space="preserve">How to Use This Manual</w:t>
      </w:r>
    </w:p>
    <w:p>
      <w:pPr>
        <w:spacing w:after="120"/>
      </w:pPr>
      <w:r>
        <w:t xml:space="preserve">Throughout the Manual, placeholders requiring the Adviser's input are shown in [blue bracketed italics]. “Customization Notes” in indented italics provide guidance for completing each section. Once the Manual has been fully customized, placeholder formatting and customization notes should be removed.</w:t>
      </w:r>
    </w:p>
    <w:p>
      <w:pPr>
        <w:pStyle w:val="Heading1"/>
        <w:pageBreakBefore/>
      </w:pPr>
      <w:r>
        <w:t xml:space="preserve">1. Practice Overview and Relationship to Parent RIA</w:t>
      </w:r>
    </w:p>
    <w:p>
      <w:pPr>
        <w:pStyle w:val="Heading2"/>
      </w:pPr>
      <w:r>
        <w:t xml:space="preserve">1.1 Adviser Background and Role</w:t>
      </w:r>
    </w:p>
    <w:p>
      <w:pPr>
        <w:spacing w:after="120"/>
      </w:pPr>
      <w:r>
        <w:t xml:space="preserve">The Adviser, </w:t>
      </w:r>
      <w:r>
        <w:rPr>
          <w:i/>
          <w:iCs/>
          <w:color w:val="0066CC"/>
        </w:rPr>
        <w:t xml:space="preserve">[Adviser Full Legal Name]</w:t>
      </w:r>
      <w:r>
        <w:t xml:space="preserve">, operates an investment advisory practice as an IAR of the Parent RIA. As of </w:t>
      </w:r>
      <w:r>
        <w:rPr>
          <w:i/>
          <w:iCs/>
          <w:color w:val="0066CC"/>
        </w:rPr>
        <w:t xml:space="preserve">[Date]</w:t>
      </w:r>
      <w:r>
        <w:t xml:space="preserve">, the Adviser manages approximately </w:t>
      </w:r>
      <w:r>
        <w:rPr>
          <w:i/>
          <w:iCs/>
          <w:color w:val="0066CC"/>
        </w:rPr>
        <w:t xml:space="preserve">[$ AUM]</w:t>
      </w:r>
      <w:r>
        <w:t xml:space="preserve"> in client assets across </w:t>
      </w:r>
      <w:r>
        <w:rPr>
          <w:i/>
          <w:iCs/>
          <w:color w:val="0066CC"/>
        </w:rPr>
        <w:t xml:space="preserve">[# of client households / accounts]</w:t>
      </w:r>
      <w:r>
        <w:t xml:space="preserve"> client relationships.</w:t>
      </w:r>
    </w:p>
    <w:p>
      <w:pPr>
        <w:spacing w:after="120"/>
      </w:pPr>
      <w:r>
        <w:t xml:space="preserve">The Adviser's practice focuses on </w:t>
      </w:r>
      <w:r>
        <w:rPr>
          <w:i/>
          <w:iCs/>
          <w:color w:val="0066CC"/>
        </w:rPr>
        <w:t xml:space="preserve">[describe practice focus, e.g., “wealth management for high-net-worth individuals and families” or “discretionary portfolio management for accredited investors and small institutions”]</w:t>
      </w:r>
      <w:r>
        <w:t xml:space="preserve">.</w:t>
      </w:r>
    </w:p>
    <w:p>
      <w:pPr>
        <w:spacing w:after="200" w:before="80"/>
        <w:ind w:left="360"/>
      </w:pPr>
      <w:r>
        <w:rPr>
          <w:b/>
          <w:bCs/>
          <w:i/>
          <w:iCs/>
          <w:color w:val="0066CC"/>
        </w:rPr>
        <w:t xml:space="preserve">Customization Note: </w:t>
      </w:r>
      <w:r>
        <w:rPr>
          <w:i/>
          <w:iCs/>
          <w:color w:val="555555"/>
        </w:rPr>
        <w:t xml:space="preserve">Provide a concise description of your practice focus, target client profile, and primary service offering. This should align with how you are described in the Parent RIA's Form ADV Part 2A and your Part 2B brochure supplement.</w:t>
      </w:r>
    </w:p>
    <w:p>
      <w:pPr>
        <w:pStyle w:val="Heading2"/>
      </w:pPr>
      <w:r>
        <w:t xml:space="preserve">1.2 Registrations, Licenses, and Credentials</w:t>
      </w:r>
    </w:p>
    <w:p>
      <w:pPr>
        <w:pStyle w:val="ListParagraph"/>
        <w:numPr>
          <w:ilvl w:val="0"/>
          <w:numId w:val="2"/>
        </w:numPr>
      </w:pPr>
      <w:r>
        <w:rPr>
          <w:b/>
          <w:bCs/>
        </w:rPr>
        <w:t xml:space="preserve">IAR Registration (CRD #): </w:t>
      </w:r>
      <w:r>
        <w:rPr>
          <w:i/>
          <w:iCs/>
          <w:color w:val="0066CC"/>
        </w:rPr>
        <w:t xml:space="preserve">[CRD Number]</w:t>
      </w:r>
    </w:p>
    <w:p>
      <w:pPr>
        <w:pStyle w:val="ListParagraph"/>
        <w:numPr>
          <w:ilvl w:val="0"/>
          <w:numId w:val="2"/>
        </w:numPr>
      </w:pPr>
      <w:r>
        <w:rPr>
          <w:b/>
          <w:bCs/>
        </w:rPr>
        <w:t xml:space="preserve">States of Notice Filing: </w:t>
      </w:r>
      <w:r>
        <w:rPr>
          <w:i/>
          <w:iCs/>
          <w:color w:val="0066CC"/>
        </w:rPr>
        <w:t xml:space="preserve">[List states]</w:t>
      </w:r>
    </w:p>
    <w:p>
      <w:pPr>
        <w:pStyle w:val="ListParagraph"/>
        <w:numPr>
          <w:ilvl w:val="0"/>
          <w:numId w:val="2"/>
        </w:numPr>
      </w:pPr>
      <w:r>
        <w:rPr>
          <w:b/>
          <w:bCs/>
        </w:rPr>
        <w:t xml:space="preserve">Securities Examinations: </w:t>
      </w:r>
      <w:r>
        <w:rPr>
          <w:i/>
          <w:iCs/>
          <w:color w:val="0066CC"/>
        </w:rPr>
        <w:t xml:space="preserve">[e.g., Series 65, Series 66 + Series 7]</w:t>
      </w:r>
    </w:p>
    <w:p>
      <w:pPr>
        <w:pStyle w:val="ListParagraph"/>
        <w:numPr>
          <w:ilvl w:val="0"/>
          <w:numId w:val="2"/>
        </w:numPr>
      </w:pPr>
      <w:r>
        <w:rPr>
          <w:b/>
          <w:bCs/>
        </w:rPr>
        <w:t xml:space="preserve">Professional Designations: </w:t>
      </w:r>
      <w:r>
        <w:rPr>
          <w:i/>
          <w:iCs/>
          <w:color w:val="0066CC"/>
        </w:rPr>
        <w:t xml:space="preserve">[e.g., CFP®, CFA, CIMA®, ChFC®]</w:t>
      </w:r>
    </w:p>
    <w:p>
      <w:pPr>
        <w:pStyle w:val="ListParagraph"/>
        <w:numPr>
          <w:ilvl w:val="0"/>
          <w:numId w:val="2"/>
        </w:numPr>
      </w:pPr>
      <w:r>
        <w:rPr>
          <w:b/>
          <w:bCs/>
        </w:rPr>
        <w:t xml:space="preserve">Insurance Licenses (if applicable): </w:t>
      </w:r>
      <w:r>
        <w:rPr>
          <w:i/>
          <w:iCs/>
          <w:color w:val="0066CC"/>
        </w:rPr>
        <w:t xml:space="preserve">[List]</w:t>
      </w:r>
    </w:p>
    <w:p>
      <w:pPr>
        <w:pStyle w:val="ListParagraph"/>
        <w:numPr>
          <w:ilvl w:val="0"/>
          <w:numId w:val="2"/>
        </w:numPr>
      </w:pPr>
      <w:r>
        <w:rPr>
          <w:b/>
          <w:bCs/>
        </w:rPr>
        <w:t xml:space="preserve">Form U4 Status: </w:t>
      </w:r>
      <w:r>
        <w:t xml:space="preserve">Current and on file with FINRA/IARD</w:t>
      </w:r>
    </w:p>
    <w:p>
      <w:pPr>
        <w:pStyle w:val="Heading2"/>
      </w:pPr>
      <w:r>
        <w:t xml:space="preserve">1.3 Supervisory Structure</w:t>
      </w:r>
    </w:p>
    <w:p>
      <w:pPr>
        <w:spacing w:after="120"/>
      </w:pPr>
      <w:r>
        <w:t xml:space="preserve">The Adviser is supervised by </w:t>
      </w:r>
      <w:r>
        <w:rPr>
          <w:i/>
          <w:iCs/>
          <w:color w:val="0066CC"/>
        </w:rPr>
        <w:t xml:space="preserve">[Supervisor Name, Title]</w:t>
      </w:r>
      <w:r>
        <w:t xml:space="preserve"> of the Parent RIA. The Parent RIA's CCO is </w:t>
      </w:r>
      <w:r>
        <w:rPr>
          <w:i/>
          <w:iCs/>
          <w:color w:val="0066CC"/>
        </w:rPr>
        <w:t xml:space="preserve">[CCO Name]</w:t>
      </w:r>
      <w:r>
        <w:t xml:space="preserve">.</w:t>
      </w:r>
    </w:p>
    <w:p>
      <w:pPr>
        <w:spacing w:after="120"/>
      </w:pPr>
      <w:r>
        <w:t xml:space="preserve">Day-to-day escalation contacts are as follows:</w:t>
      </w:r>
    </w:p>
    <w:p>
      <w:pPr>
        <w:pStyle w:val="ListParagraph"/>
        <w:numPr>
          <w:ilvl w:val="0"/>
          <w:numId w:val="2"/>
        </w:numPr>
      </w:pPr>
      <w:r>
        <w:rPr>
          <w:b/>
          <w:bCs/>
        </w:rPr>
        <w:t xml:space="preserve">Compliance questions or potential violations: </w:t>
      </w:r>
      <w:r>
        <w:rPr>
          <w:i/>
          <w:iCs/>
          <w:color w:val="0066CC"/>
        </w:rPr>
        <w:t xml:space="preserve">[CCO Name, contact]</w:t>
      </w:r>
    </w:p>
    <w:p>
      <w:pPr>
        <w:pStyle w:val="ListParagraph"/>
        <w:numPr>
          <w:ilvl w:val="0"/>
          <w:numId w:val="2"/>
        </w:numPr>
      </w:pPr>
      <w:r>
        <w:rPr>
          <w:b/>
          <w:bCs/>
        </w:rPr>
        <w:t xml:space="preserve">Operational and account-administration matters: </w:t>
      </w:r>
      <w:r>
        <w:rPr>
          <w:i/>
          <w:iCs/>
          <w:color w:val="0066CC"/>
        </w:rPr>
        <w:t xml:space="preserve">[Operations Contact]</w:t>
      </w:r>
    </w:p>
    <w:p>
      <w:pPr>
        <w:pStyle w:val="ListParagraph"/>
        <w:numPr>
          <w:ilvl w:val="0"/>
          <w:numId w:val="2"/>
        </w:numPr>
      </w:pPr>
      <w:r>
        <w:rPr>
          <w:b/>
          <w:bCs/>
        </w:rPr>
        <w:t xml:space="preserve">Trading or execution issues: </w:t>
      </w:r>
      <w:r>
        <w:rPr>
          <w:i/>
          <w:iCs/>
          <w:color w:val="0066CC"/>
        </w:rPr>
        <w:t xml:space="preserve">[Trading Desk / Supervisor]</w:t>
      </w:r>
    </w:p>
    <w:p>
      <w:pPr>
        <w:pStyle w:val="ListParagraph"/>
        <w:numPr>
          <w:ilvl w:val="0"/>
          <w:numId w:val="2"/>
        </w:numPr>
      </w:pPr>
      <w:r>
        <w:rPr>
          <w:b/>
          <w:bCs/>
        </w:rPr>
        <w:t xml:space="preserve">Technology and cybersecurity incidents: </w:t>
      </w:r>
      <w:r>
        <w:rPr>
          <w:i/>
          <w:iCs/>
          <w:color w:val="0066CC"/>
        </w:rPr>
        <w:t xml:space="preserve">[IT/Security Contact]</w:t>
      </w:r>
    </w:p>
    <w:p>
      <w:pPr>
        <w:pStyle w:val="Heading2"/>
      </w:pPr>
      <w:r>
        <w:t xml:space="preserve">1.4 Governing Parent RIA Policies (Incorporated by Reference)</w:t>
      </w:r>
    </w:p>
    <w:p>
      <w:pPr>
        <w:spacing w:after="120"/>
      </w:pPr>
      <w:r>
        <w:t xml:space="preserve">The Adviser has read, understood, and agreed to abide by each of the following Parent RIA policies, which govern the Adviser's practice and are incorporated by reference into this Manual:</w:t>
      </w:r>
    </w:p>
    <w:p>
      <w:pPr>
        <w:pStyle w:val="ListParagraph"/>
        <w:numPr>
          <w:ilvl w:val="0"/>
          <w:numId w:val="2"/>
        </w:numPr>
      </w:pPr>
      <w:r>
        <w:rPr>
          <w:i/>
          <w:iCs/>
          <w:color w:val="0066CC"/>
        </w:rPr>
        <w:t xml:space="preserve">[Parent RIA Compliance Manual, dated _____]</w:t>
      </w:r>
    </w:p>
    <w:p>
      <w:pPr>
        <w:pStyle w:val="ListParagraph"/>
        <w:numPr>
          <w:ilvl w:val="0"/>
          <w:numId w:val="2"/>
        </w:numPr>
      </w:pPr>
      <w:r>
        <w:rPr>
          <w:i/>
          <w:iCs/>
          <w:color w:val="0066CC"/>
        </w:rPr>
        <w:t xml:space="preserve">[Parent RIA Code of Ethics (Rule 204A-1), dated _____]</w:t>
      </w:r>
    </w:p>
    <w:p>
      <w:pPr>
        <w:pStyle w:val="ListParagraph"/>
        <w:numPr>
          <w:ilvl w:val="0"/>
          <w:numId w:val="2"/>
        </w:numPr>
      </w:pPr>
      <w:r>
        <w:rPr>
          <w:i/>
          <w:iCs/>
          <w:color w:val="0066CC"/>
        </w:rPr>
        <w:t xml:space="preserve">[Parent RIA Best Execution and Trade Allocation Policy, dated _____]</w:t>
      </w:r>
    </w:p>
    <w:p>
      <w:pPr>
        <w:pStyle w:val="ListParagraph"/>
        <w:numPr>
          <w:ilvl w:val="0"/>
          <w:numId w:val="2"/>
        </w:numPr>
      </w:pPr>
      <w:r>
        <w:rPr>
          <w:i/>
          <w:iCs/>
          <w:color w:val="0066CC"/>
        </w:rPr>
        <w:t xml:space="preserve">[Parent RIA Custody Policy (Rule 206(4)-2), dated _____]</w:t>
      </w:r>
    </w:p>
    <w:p>
      <w:pPr>
        <w:pStyle w:val="ListParagraph"/>
        <w:numPr>
          <w:ilvl w:val="0"/>
          <w:numId w:val="2"/>
        </w:numPr>
      </w:pPr>
      <w:r>
        <w:rPr>
          <w:i/>
          <w:iCs/>
          <w:color w:val="0066CC"/>
        </w:rPr>
        <w:t xml:space="preserve">[Parent RIA Marketing and Advertising Policy (Rule 206(4)-1), dated _____]</w:t>
      </w:r>
    </w:p>
    <w:p>
      <w:pPr>
        <w:pStyle w:val="ListParagraph"/>
        <w:numPr>
          <w:ilvl w:val="0"/>
          <w:numId w:val="2"/>
        </w:numPr>
      </w:pPr>
      <w:r>
        <w:rPr>
          <w:i/>
          <w:iCs/>
          <w:color w:val="0066CC"/>
        </w:rPr>
        <w:t xml:space="preserve">[Parent RIA Privacy Policy / Regulation S-P, dated _____]</w:t>
      </w:r>
    </w:p>
    <w:p>
      <w:pPr>
        <w:pStyle w:val="ListParagraph"/>
        <w:numPr>
          <w:ilvl w:val="0"/>
          <w:numId w:val="2"/>
        </w:numPr>
      </w:pPr>
      <w:r>
        <w:rPr>
          <w:i/>
          <w:iCs/>
          <w:color w:val="0066CC"/>
        </w:rPr>
        <w:t xml:space="preserve">[Parent RIA Recordkeeping Policy (Rule 204-2), dated _____]</w:t>
      </w:r>
    </w:p>
    <w:p>
      <w:pPr>
        <w:pStyle w:val="ListParagraph"/>
        <w:numPr>
          <w:ilvl w:val="0"/>
          <w:numId w:val="2"/>
        </w:numPr>
      </w:pPr>
      <w:r>
        <w:rPr>
          <w:i/>
          <w:iCs/>
          <w:color w:val="0066CC"/>
        </w:rPr>
        <w:t xml:space="preserve">[Parent RIA Cybersecurity Policy and Incident Response Plan, dated _____]</w:t>
      </w:r>
    </w:p>
    <w:p>
      <w:pPr>
        <w:pStyle w:val="ListParagraph"/>
        <w:numPr>
          <w:ilvl w:val="0"/>
          <w:numId w:val="2"/>
        </w:numPr>
      </w:pPr>
      <w:r>
        <w:rPr>
          <w:i/>
          <w:iCs/>
          <w:color w:val="0066CC"/>
        </w:rPr>
        <w:t xml:space="preserve">[Parent RIA Business Continuity Plan, dated _____]</w:t>
      </w:r>
    </w:p>
    <w:p>
      <w:pPr>
        <w:pStyle w:val="ListParagraph"/>
        <w:numPr>
          <w:ilvl w:val="0"/>
          <w:numId w:val="2"/>
        </w:numPr>
      </w:pPr>
      <w:r>
        <w:rPr>
          <w:i/>
          <w:iCs/>
          <w:color w:val="0066CC"/>
        </w:rPr>
        <w:t xml:space="preserve">[Parent RIA Proxy Voting Policy (Rule 206(4)-6), dated _____]</w:t>
      </w:r>
    </w:p>
    <w:p>
      <w:pPr>
        <w:pStyle w:val="ListParagraph"/>
        <w:numPr>
          <w:ilvl w:val="0"/>
          <w:numId w:val="2"/>
        </w:numPr>
      </w:pPr>
      <w:r>
        <w:rPr>
          <w:i/>
          <w:iCs/>
          <w:color w:val="0066CC"/>
        </w:rPr>
        <w:t xml:space="preserve">[Parent RIA Form ADV Part 2A Brochure, dated _____]</w:t>
      </w:r>
    </w:p>
    <w:p>
      <w:pPr>
        <w:pStyle w:val="ListParagraph"/>
        <w:numPr>
          <w:ilvl w:val="0"/>
          <w:numId w:val="2"/>
        </w:numPr>
      </w:pPr>
      <w:r>
        <w:rPr>
          <w:i/>
          <w:iCs/>
          <w:color w:val="0066CC"/>
        </w:rPr>
        <w:t xml:space="preserve">[Parent RIA Form ADV Part 2B Brochure Supplement for the Adviser, dated _____]</w:t>
      </w:r>
    </w:p>
    <w:p>
      <w:pPr>
        <w:pStyle w:val="Heading2"/>
      </w:pPr>
      <w:r>
        <w:t xml:space="preserve">1.5 Decision Authority Matrix</w:t>
      </w:r>
    </w:p>
    <w:p>
      <w:pPr>
        <w:spacing w:after="120"/>
      </w:pPr>
      <w:r>
        <w:t xml:space="preserve">The following matrix summarizes decisions the Adviser makes independently versus those requiring Parent RIA approval or coordination. Items not listed default to the Parent RIA's discretion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c>
          <w:tcPr>
            <w:tcW w:type="dxa" w:w="33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Decision Category</w:t>
            </w:r>
          </w:p>
        </w:tc>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Adviser Authority</w:t>
            </w:r>
          </w:p>
        </w:tc>
        <w:tc>
          <w:tcPr>
            <w:tcW w:type="dxa" w:w="36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Parent RIA Approval Required</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Security selection within approved universe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Asset allocation within stated strategy bands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Rebalancing within policy</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Onboarding a new client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Recommends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Approves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Establishing a new investment strategy or composite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Adding a security type or asset class outside the approved universe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Engaging a sub-adviser or third-party manager</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Use of leverage, derivatives, or short selling</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Per Parent RIA policy</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Marketing materials, websites, social media posts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Drafts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Approves prior to use</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Personal trade preclearance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Submits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Approves per Code of Ethics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Fee schedule deviation from standard</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Recommends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Approves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Acceptance of gifts/entertainment above threshold</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Reports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Approves</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Outside business activities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Discloses</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Approves</w:t>
            </w:r>
          </w:p>
        </w:tc>
      </w:tr>
    </w:tbl>
    <w:p>
      <w:pPr>
        <w:spacing w:after="200" w:before="80"/>
        <w:ind w:left="360"/>
      </w:pPr>
      <w:r>
        <w:rPr>
          <w:b/>
          <w:bCs/>
          <w:i/>
          <w:iCs/>
          <w:color w:val="0066CC"/>
        </w:rPr>
        <w:t xml:space="preserve">Customization Note: </w:t>
      </w:r>
      <w:r>
        <w:rPr>
          <w:i/>
          <w:iCs/>
          <w:color w:val="555555"/>
        </w:rPr>
        <w:t xml:space="preserve">Confirm the boundaries above with the Parent RIA's CCO. Some firms grant IARs broader authority; others require additional approvals. The matrix should reflect actual practice, not aspiration.</w:t>
      </w:r>
    </w:p>
    <w:p>
      <w:pPr>
        <w:pStyle w:val="Heading1"/>
        <w:pageBreakBefore/>
      </w:pPr>
      <w:r>
        <w:t xml:space="preserve">2. Investment Philosophy and Strategy</w:t>
      </w:r>
    </w:p>
    <w:p>
      <w:pPr>
        <w:pStyle w:val="Heading2"/>
      </w:pPr>
      <w:r>
        <w:t xml:space="preserve">2.1 Investment Philosophy</w:t>
      </w:r>
    </w:p>
    <w:p>
      <w:pPr>
        <w:spacing w:after="120"/>
      </w:pPr>
      <w:r>
        <w:t xml:space="preserve">The Adviser's investment philosophy is built on the following core principles: </w:t>
      </w:r>
      <w:r>
        <w:rPr>
          <w:i/>
          <w:iCs/>
          <w:color w:val="0066CC"/>
        </w:rPr>
        <w:t xml:space="preserve">[Insert 3–6 core tenets. Examples: long-term focus; evidence-based portfolio construction; tax-aware implementation; risk management before return seeking; alignment with client goals through written IPS; disciplined rebalancing; broad diversification; preference for low-cost vehicles; etc.]</w:t>
      </w:r>
      <w:r>
        <w:t xml:space="preserve">.</w:t>
      </w:r>
    </w:p>
    <w:p>
      <w:pPr>
        <w:spacing w:after="200" w:before="80"/>
        <w:ind w:left="360"/>
      </w:pPr>
      <w:r>
        <w:rPr>
          <w:b/>
          <w:bCs/>
          <w:i/>
          <w:iCs/>
          <w:color w:val="0066CC"/>
        </w:rPr>
        <w:t xml:space="preserve">Customization Note: </w:t>
      </w:r>
      <w:r>
        <w:rPr>
          <w:i/>
          <w:iCs/>
          <w:color w:val="555555"/>
        </w:rPr>
        <w:t xml:space="preserve">Your philosophy is the most differentiated piece of this Manual. Articulate it in the Adviser’s own voice. It should be consistent with the Parent RIA's Form ADV Part 2A description and with marketing materials.</w:t>
      </w:r>
    </w:p>
    <w:p>
      <w:pPr>
        <w:pStyle w:val="Heading2"/>
      </w:pPr>
      <w:r>
        <w:t xml:space="preserve">2.2 Strategies Offered</w:t>
      </w:r>
    </w:p>
    <w:p>
      <w:pPr>
        <w:spacing w:after="120"/>
      </w:pPr>
      <w:r>
        <w:t xml:space="preserve">The Adviser offers the following investment strategies to clients. Each strategy is described in greater detail in the corresponding strategy summary maintained as </w:t>
      </w:r>
      <w:r>
        <w:rPr>
          <w:b/>
          <w:bCs/>
        </w:rPr>
        <w:t xml:space="preserve">Appendix E</w:t>
      </w:r>
      <w:r>
        <w:t xml:space="preserve">:</w:t>
      </w:r>
    </w:p>
    <w:p>
      <w:pPr>
        <w:pStyle w:val="ListParagraph"/>
        <w:numPr>
          <w:ilvl w:val="0"/>
          <w:numId w:val="2"/>
        </w:numPr>
      </w:pPr>
      <w:r>
        <w:rPr>
          <w:i/>
          <w:iCs/>
          <w:color w:val="0066CC"/>
        </w:rPr>
        <w:t xml:space="preserve">[Strategy 1 – e.g., “Core Balanced” – brief description]</w:t>
      </w:r>
    </w:p>
    <w:p>
      <w:pPr>
        <w:pStyle w:val="ListParagraph"/>
        <w:numPr>
          <w:ilvl w:val="0"/>
          <w:numId w:val="2"/>
        </w:numPr>
      </w:pPr>
      <w:r>
        <w:rPr>
          <w:i/>
          <w:iCs/>
          <w:color w:val="0066CC"/>
        </w:rPr>
        <w:t xml:space="preserve">[Strategy 2 – e.g., “Growth” – brief description]</w:t>
      </w:r>
    </w:p>
    <w:p>
      <w:pPr>
        <w:pStyle w:val="ListParagraph"/>
        <w:numPr>
          <w:ilvl w:val="0"/>
          <w:numId w:val="2"/>
        </w:numPr>
      </w:pPr>
      <w:r>
        <w:rPr>
          <w:i/>
          <w:iCs/>
          <w:color w:val="0066CC"/>
        </w:rPr>
        <w:t xml:space="preserve">[Strategy 3 – e.g., “Income” – brief description]</w:t>
      </w:r>
    </w:p>
    <w:p>
      <w:pPr>
        <w:pStyle w:val="ListParagraph"/>
        <w:numPr>
          <w:ilvl w:val="0"/>
          <w:numId w:val="2"/>
        </w:numPr>
      </w:pPr>
      <w:r>
        <w:rPr>
          <w:i/>
          <w:iCs/>
          <w:color w:val="0066CC"/>
        </w:rPr>
        <w:t xml:space="preserve">[Strategy 4 – e.g., “Tax-Managed Equity” – brief description]</w:t>
      </w:r>
    </w:p>
    <w:p>
      <w:pPr>
        <w:pStyle w:val="Heading2"/>
      </w:pPr>
      <w:r>
        <w:t xml:space="preserve">2.3 Eligible Investment Universe</w:t>
      </w:r>
    </w:p>
    <w:p>
      <w:pPr>
        <w:spacing w:after="120"/>
      </w:pPr>
      <w:r>
        <w:t xml:space="preserve">Unless otherwise approved in writing by the Parent RIA, the Adviser's eligible investment universe is limited to the following instruments:</w:t>
      </w:r>
    </w:p>
    <w:p>
      <w:pPr>
        <w:pStyle w:val="ListParagraph"/>
        <w:numPr>
          <w:ilvl w:val="0"/>
          <w:numId w:val="2"/>
        </w:numPr>
      </w:pPr>
      <w:r>
        <w:t xml:space="preserve">U.S.-listed common and preferred stocks</w:t>
      </w:r>
    </w:p>
    <w:p>
      <w:pPr>
        <w:pStyle w:val="ListParagraph"/>
        <w:numPr>
          <w:ilvl w:val="0"/>
          <w:numId w:val="2"/>
        </w:numPr>
      </w:pPr>
      <w:r>
        <w:t xml:space="preserve">U.S.-listed exchange-traded funds (ETFs) and exchange-traded notes (ETNs) with sufficient trading liquidity</w:t>
      </w:r>
    </w:p>
    <w:p>
      <w:pPr>
        <w:pStyle w:val="ListParagraph"/>
        <w:numPr>
          <w:ilvl w:val="0"/>
          <w:numId w:val="2"/>
        </w:numPr>
      </w:pPr>
      <w:r>
        <w:t xml:space="preserve">Open-end mutual funds offered on the Parent RIA's approved platform</w:t>
      </w:r>
    </w:p>
    <w:p>
      <w:pPr>
        <w:pStyle w:val="ListParagraph"/>
        <w:numPr>
          <w:ilvl w:val="0"/>
          <w:numId w:val="2"/>
        </w:numPr>
      </w:pPr>
      <w:r>
        <w:t xml:space="preserve">Investment-grade and high-yield corporate bonds, U.S. Treasuries, agency securities, and municipal bonds</w:t>
      </w:r>
    </w:p>
    <w:p>
      <w:pPr>
        <w:pStyle w:val="ListParagraph"/>
        <w:numPr>
          <w:ilvl w:val="0"/>
          <w:numId w:val="2"/>
        </w:numPr>
      </w:pPr>
      <w:r>
        <w:t xml:space="preserve">Money market funds and cash equivalents</w:t>
      </w:r>
    </w:p>
    <w:p>
      <w:pPr>
        <w:pStyle w:val="ListParagraph"/>
        <w:numPr>
          <w:ilvl w:val="0"/>
          <w:numId w:val="2"/>
        </w:numPr>
      </w:pPr>
      <w:r>
        <w:t xml:space="preserve">Certificates of deposit (CDs) within FDIC limits</w:t>
      </w:r>
    </w:p>
    <w:p>
      <w:pPr>
        <w:spacing w:after="120"/>
      </w:pPr>
      <w:r>
        <w:t xml:space="preserve">The following instruments are </w:t>
      </w:r>
      <w:r>
        <w:rPr>
          <w:b/>
          <w:bCs/>
        </w:rPr>
        <w:t xml:space="preserve">excluded</w:t>
      </w:r>
      <w:r>
        <w:t xml:space="preserve"> from the eligible universe unless specifically approved in writing by the Parent RIA's CCO: private placements, private funds, options and other derivatives, leveraged or inverse ETFs, cryptocurrency and digital assets, structured products, and direct real estate.</w:t>
      </w:r>
    </w:p>
    <w:p>
      <w:pPr>
        <w:spacing w:after="200" w:before="80"/>
        <w:ind w:left="360"/>
      </w:pPr>
      <w:r>
        <w:rPr>
          <w:b/>
          <w:bCs/>
          <w:i/>
          <w:iCs/>
          <w:color w:val="0066CC"/>
        </w:rPr>
        <w:t xml:space="preserve">Customization Note: </w:t>
      </w:r>
      <w:r>
        <w:rPr>
          <w:i/>
          <w:iCs/>
          <w:color w:val="555555"/>
        </w:rPr>
        <w:t xml:space="preserve">Adjust the eligible-universe and excluded lists to reflect your actual practice and Parent RIA's approved product list. The narrower and more specific, the easier to demonstrate consistency.</w:t>
      </w:r>
    </w:p>
    <w:p>
      <w:pPr>
        <w:pStyle w:val="Heading2"/>
      </w:pPr>
      <w:r>
        <w:t xml:space="preserve">2.4 Benchmarks</w:t>
      </w:r>
    </w:p>
    <w:p>
      <w:pPr>
        <w:spacing w:after="120"/>
      </w:pPr>
      <w:r>
        <w:t xml:space="preserve">Each strategy is measured against a primary benchmark and, where useful, a secondary or blended benchmark. Benchmarks are reviewed annually for continued appropriateness.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Strategy</w:t>
            </w:r>
          </w:p>
        </w:tc>
        <w:tc>
          <w:tcPr>
            <w:tcW w:type="dxa" w:w="32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Primary Benchmark</w:t>
            </w:r>
          </w:p>
        </w:tc>
        <w:tc>
          <w:tcPr>
            <w:tcW w:type="dxa" w:w="32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Secondary / Blended Benchmark</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[Strategy 1]</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[e.g., 60/40 blend]</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[e.g., Morningstar Moderate Target Risk]</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[Strategy 2]</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[e.g., MSCI ACWI]</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[Optional]</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[Strategy 3]</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[e.g., Bloomberg US Aggregate]</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[Optional]</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[Strategy 4]</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[Insert]</w:t>
            </w:r>
          </w:p>
        </w:tc>
        <w:tc>
          <w:tcPr>
            <w:tcW w:type="dxa" w:w="32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[Insert]</w:t>
            </w:r>
          </w:p>
        </w:tc>
      </w:tr>
    </w:tbl>
    <w:p>
      <w:pPr>
        <w:pStyle w:val="Heading2"/>
      </w:pPr>
      <w:r>
        <w:t xml:space="preserve">2.5 Expected Risk and Return Profile</w:t>
      </w:r>
    </w:p>
    <w:p>
      <w:pPr>
        <w:spacing w:after="120"/>
      </w:pPr>
      <w:r>
        <w:t xml:space="preserve">The expected long-term risk and return characteristics of each strategy are documented and reviewed annually. Expected returns are </w:t>
      </w:r>
      <w:r>
        <w:rPr>
          <w:b/>
          <w:bCs/>
        </w:rPr>
        <w:t xml:space="preserve">forward-looking estimates</w:t>
      </w:r>
      <w:r>
        <w:t xml:space="preserve"> used for planning purposes only and are not guarantees. Capital market assumptions are sourced from </w:t>
      </w:r>
      <w:r>
        <w:rPr>
          <w:i/>
          <w:iCs/>
          <w:color w:val="0066CC"/>
        </w:rPr>
        <w:t xml:space="preserve">[e.g., BlackRock, JPMorgan, Vanguard, Research Affiliates capital market assumptions]</w:t>
      </w:r>
      <w:r>
        <w:t xml:space="preserve"> and updated at least annually.</w:t>
      </w:r>
    </w:p>
    <w:p>
      <w:pPr>
        <w:spacing w:after="200" w:before="80"/>
        <w:ind w:left="360"/>
      </w:pPr>
      <w:r>
        <w:rPr>
          <w:b/>
          <w:bCs/>
          <w:i/>
          <w:iCs/>
          <w:color w:val="0066CC"/>
        </w:rPr>
        <w:t xml:space="preserve">Customization Note: </w:t>
      </w:r>
      <w:r>
        <w:rPr>
          <w:i/>
          <w:iCs/>
          <w:color w:val="555555"/>
        </w:rPr>
        <w:t xml:space="preserve">Document the source and date of your capital market assumptions. Examiners look for consistency between forward-looking statements in client communications and the underlying assumptions.</w:t>
      </w:r>
    </w:p>
    <w:p>
      <w:pPr>
        <w:pStyle w:val="Heading1"/>
        <w:pageBreakBefore/>
      </w:pPr>
      <w:r>
        <w:t xml:space="preserve">3. Client Onboarding, Suitability, and Investment Policy Statements</w:t>
      </w:r>
    </w:p>
    <w:p>
      <w:pPr>
        <w:pStyle w:val="Heading2"/>
      </w:pPr>
      <w:r>
        <w:t xml:space="preserve">3.1 Parent RIA Account Opening Process</w:t>
      </w:r>
    </w:p>
    <w:p>
      <w:pPr>
        <w:spacing w:after="120"/>
      </w:pPr>
      <w:r>
        <w:t xml:space="preserve">New client account opening, including Know Your Customer (“KYC”), Customer Identification Program (“CIP”), Anti-Money Laundering (“AML”) screening, and new account approval, is handled under the Parent RIA's account opening procedures. The Adviser completes all required new account forms, advisory agreement execution, and supporting documentation in accordance with those procedures. See </w:t>
      </w:r>
      <w:r>
        <w:rPr>
          <w:i/>
          <w:iCs/>
          <w:color w:val="0066CC"/>
        </w:rPr>
        <w:t xml:space="preserve">[Parent RIA Account Opening Procedures, dated _____]</w:t>
      </w:r>
      <w:r>
        <w:t xml:space="preserve">.</w:t>
      </w:r>
    </w:p>
    <w:p>
      <w:pPr>
        <w:pStyle w:val="Heading2"/>
      </w:pPr>
      <w:r>
        <w:t xml:space="preserve">3.2 Client Discovery Process</w:t>
      </w:r>
    </w:p>
    <w:p>
      <w:pPr>
        <w:spacing w:after="120"/>
      </w:pPr>
      <w:r>
        <w:t xml:space="preserve">Prior to onboarding, the Adviser conducts a discovery process designed to gather sufficient information to make suitable recommendations and prepare an Investment Policy Statement (“IPS”). The discovery process includes:</w:t>
      </w:r>
    </w:p>
    <w:p>
      <w:pPr>
        <w:pStyle w:val="ListParagraph"/>
        <w:numPr>
          <w:ilvl w:val="0"/>
          <w:numId w:val="3"/>
        </w:numPr>
      </w:pPr>
      <w:r>
        <w:t xml:space="preserve">Initial conversation to identify the prospective client's objectives, concerns, and constraints.</w:t>
      </w:r>
    </w:p>
    <w:p>
      <w:pPr>
        <w:pStyle w:val="ListParagraph"/>
        <w:numPr>
          <w:ilvl w:val="0"/>
          <w:numId w:val="3"/>
        </w:numPr>
      </w:pPr>
      <w:r>
        <w:t xml:space="preserve">Collection of financial information, including assets, liabilities, income, expenses, tax situation, and estate considerations.</w:t>
      </w:r>
    </w:p>
    <w:p>
      <w:pPr>
        <w:pStyle w:val="ListParagraph"/>
        <w:numPr>
          <w:ilvl w:val="0"/>
          <w:numId w:val="3"/>
        </w:numPr>
      </w:pPr>
      <w:r>
        <w:t xml:space="preserve">Discussion and documentation of investment objectives, time horizons, liquidity needs, and any unique circumstances or restrictions.</w:t>
      </w:r>
    </w:p>
    <w:p>
      <w:pPr>
        <w:pStyle w:val="ListParagraph"/>
        <w:numPr>
          <w:ilvl w:val="0"/>
          <w:numId w:val="3"/>
        </w:numPr>
      </w:pPr>
      <w:r>
        <w:t xml:space="preserve">Completion of the Adviser's risk profile questionnaire (Appendix F).</w:t>
      </w:r>
    </w:p>
    <w:p>
      <w:pPr>
        <w:pStyle w:val="ListParagraph"/>
        <w:numPr>
          <w:ilvl w:val="0"/>
          <w:numId w:val="3"/>
        </w:numPr>
      </w:pPr>
      <w:r>
        <w:t xml:space="preserve">Review of any existing portfolios, including embedded gains/losses, concentrated positions, and legacy holdings.</w:t>
      </w:r>
    </w:p>
    <w:p>
      <w:pPr>
        <w:pStyle w:val="ListParagraph"/>
        <w:numPr>
          <w:ilvl w:val="0"/>
          <w:numId w:val="3"/>
        </w:numPr>
      </w:pPr>
      <w:r>
        <w:t xml:space="preserve">Discussion of fees, conflicts of interest, and the Adviser's investment process.</w:t>
      </w:r>
    </w:p>
    <w:p>
      <w:pPr>
        <w:pStyle w:val="Heading2"/>
      </w:pPr>
      <w:r>
        <w:t xml:space="preserve">3.3 Risk Profiling Methodology</w:t>
      </w:r>
    </w:p>
    <w:p>
      <w:pPr>
        <w:spacing w:after="120"/>
      </w:pPr>
      <w:r>
        <w:t xml:space="preserve">The Adviser uses a multi-input approach to assess risk profile, consisting of:</w:t>
      </w:r>
    </w:p>
    <w:p>
      <w:pPr>
        <w:pStyle w:val="ListParagraph"/>
        <w:numPr>
          <w:ilvl w:val="0"/>
          <w:numId w:val="2"/>
        </w:numPr>
      </w:pPr>
      <w:r>
        <w:rPr>
          <w:b/>
          <w:bCs/>
        </w:rPr>
        <w:t xml:space="preserve">Risk Capacity: </w:t>
      </w:r>
      <w:r>
        <w:t xml:space="preserve">the client's financial ability to absorb loss, based on time horizon, liquidity needs, income stability, and other financial circumstances.</w:t>
      </w:r>
    </w:p>
    <w:p>
      <w:pPr>
        <w:pStyle w:val="ListParagraph"/>
        <w:numPr>
          <w:ilvl w:val="0"/>
          <w:numId w:val="2"/>
        </w:numPr>
      </w:pPr>
      <w:r>
        <w:rPr>
          <w:b/>
          <w:bCs/>
        </w:rPr>
        <w:t xml:space="preserve">Risk Tolerance: </w:t>
      </w:r>
      <w:r>
        <w:t xml:space="preserve">the client's psychological comfort with portfolio volatility, assessed through a structured questionnaire.</w:t>
      </w:r>
    </w:p>
    <w:p>
      <w:pPr>
        <w:pStyle w:val="ListParagraph"/>
        <w:numPr>
          <w:ilvl w:val="0"/>
          <w:numId w:val="2"/>
        </w:numPr>
      </w:pPr>
      <w:r>
        <w:rPr>
          <w:b/>
          <w:bCs/>
        </w:rPr>
        <w:t xml:space="preserve">Risk Required: </w:t>
      </w:r>
      <w:r>
        <w:t xml:space="preserve">the level of return needed to meet the client's stated goals, as informed by financial planning analysis where applicable.</w:t>
      </w:r>
    </w:p>
    <w:p>
      <w:pPr>
        <w:spacing w:after="120"/>
      </w:pPr>
      <w:r>
        <w:t xml:space="preserve">Where these three dimensions diverge materially, the Adviser discusses the divergence with the client and documents the resolution in the IPS.</w:t>
      </w:r>
    </w:p>
    <w:p>
      <w:pPr>
        <w:spacing w:after="200" w:before="80"/>
        <w:ind w:left="360"/>
      </w:pPr>
      <w:r>
        <w:rPr>
          <w:b/>
          <w:bCs/>
          <w:i/>
          <w:iCs/>
          <w:color w:val="0066CC"/>
        </w:rPr>
        <w:t xml:space="preserve">Customization Note: </w:t>
      </w:r>
      <w:r>
        <w:rPr>
          <w:i/>
          <w:iCs/>
          <w:color w:val="555555"/>
        </w:rPr>
        <w:t xml:space="preserve">If you use a specific risk-profiling tool (Riskalyze/Nitrogen, FinaMetrica, Orion, etc.), reference it here and retain output reports as part of the client file.</w:t>
      </w:r>
    </w:p>
    <w:p>
      <w:pPr>
        <w:pStyle w:val="Heading2"/>
      </w:pPr>
      <w:r>
        <w:t xml:space="preserve">3.4 Investment Policy Statement</w:t>
      </w:r>
    </w:p>
    <w:p>
      <w:pPr>
        <w:spacing w:after="120"/>
      </w:pPr>
      <w:r>
        <w:t xml:space="preserve">An Investment Policy Statement is prepared for each discretionary client relationship </w:t>
      </w:r>
      <w:r>
        <w:rPr>
          <w:i/>
          <w:iCs/>
          <w:color w:val="0066CC"/>
        </w:rPr>
        <w:t xml:space="preserve">[indicate threshold or “for all relationships above $___” if applicable]</w:t>
      </w:r>
      <w:r>
        <w:t xml:space="preserve"> within </w:t>
      </w:r>
      <w:r>
        <w:rPr>
          <w:i/>
          <w:iCs/>
          <w:color w:val="0066CC"/>
        </w:rPr>
        <w:t xml:space="preserve">[e.g., 30 days]</w:t>
      </w:r>
      <w:r>
        <w:t xml:space="preserve"> of account funding. The IPS includes, at minimum:</w:t>
      </w:r>
    </w:p>
    <w:p>
      <w:pPr>
        <w:pStyle w:val="ListParagraph"/>
        <w:numPr>
          <w:ilvl w:val="0"/>
          <w:numId w:val="2"/>
        </w:numPr>
      </w:pPr>
      <w:r>
        <w:t xml:space="preserve">Client identification and account information</w:t>
      </w:r>
    </w:p>
    <w:p>
      <w:pPr>
        <w:pStyle w:val="ListParagraph"/>
        <w:numPr>
          <w:ilvl w:val="0"/>
          <w:numId w:val="2"/>
        </w:numPr>
      </w:pPr>
      <w:r>
        <w:t xml:space="preserve">Investment objectives, time horizon, and liquidity needs</w:t>
      </w:r>
    </w:p>
    <w:p>
      <w:pPr>
        <w:pStyle w:val="ListParagraph"/>
        <w:numPr>
          <w:ilvl w:val="0"/>
          <w:numId w:val="2"/>
        </w:numPr>
      </w:pPr>
      <w:r>
        <w:t xml:space="preserve">Risk profile classification</w:t>
      </w:r>
    </w:p>
    <w:p>
      <w:pPr>
        <w:pStyle w:val="ListParagraph"/>
        <w:numPr>
          <w:ilvl w:val="0"/>
          <w:numId w:val="2"/>
        </w:numPr>
      </w:pPr>
      <w:r>
        <w:t xml:space="preserve">Target asset allocation and ranges</w:t>
      </w:r>
    </w:p>
    <w:p>
      <w:pPr>
        <w:pStyle w:val="ListParagraph"/>
        <w:numPr>
          <w:ilvl w:val="0"/>
          <w:numId w:val="2"/>
        </w:numPr>
      </w:pPr>
      <w:r>
        <w:t xml:space="preserve">Eligible and excluded investments specific to the client</w:t>
      </w:r>
    </w:p>
    <w:p>
      <w:pPr>
        <w:pStyle w:val="ListParagraph"/>
        <w:numPr>
          <w:ilvl w:val="0"/>
          <w:numId w:val="2"/>
        </w:numPr>
      </w:pPr>
      <w:r>
        <w:t xml:space="preserve">Rebalancing parameters</w:t>
      </w:r>
    </w:p>
    <w:p>
      <w:pPr>
        <w:pStyle w:val="ListParagraph"/>
        <w:numPr>
          <w:ilvl w:val="0"/>
          <w:numId w:val="2"/>
        </w:numPr>
      </w:pPr>
      <w:r>
        <w:t xml:space="preserve">Review frequency</w:t>
      </w:r>
    </w:p>
    <w:p>
      <w:pPr>
        <w:pStyle w:val="ListParagraph"/>
        <w:numPr>
          <w:ilvl w:val="0"/>
          <w:numId w:val="2"/>
        </w:numPr>
      </w:pPr>
      <w:r>
        <w:t xml:space="preserve">Acknowledgment signatures (Adviser and client)</w:t>
      </w:r>
    </w:p>
    <w:p>
      <w:pPr>
        <w:pStyle w:val="Heading2"/>
      </w:pPr>
      <w:r>
        <w:t xml:space="preserve">3.5 Suitability Documentation</w:t>
      </w:r>
    </w:p>
    <w:p>
      <w:pPr>
        <w:spacing w:after="120"/>
      </w:pPr>
      <w:r>
        <w:t xml:space="preserve">For each new client and material change in client circumstances, the Adviser documents the basis for suitability of the recommended strategy or allocation. The suitability rationale is retained in the client file and includes references to the discovery information, risk profile output, and IPS targets.</w:t>
      </w:r>
    </w:p>
    <w:p>
      <w:pPr>
        <w:pStyle w:val="Heading2"/>
      </w:pPr>
      <w:r>
        <w:t xml:space="preserve">3.6 Periodic Review</w:t>
      </w:r>
    </w:p>
    <w:p>
      <w:pPr>
        <w:spacing w:after="120"/>
      </w:pPr>
      <w:r>
        <w:t xml:space="preserve">The Adviser reviews each client relationship at least </w:t>
      </w:r>
      <w:r>
        <w:rPr>
          <w:i/>
          <w:iCs/>
          <w:color w:val="0066CC"/>
        </w:rPr>
        <w:t xml:space="preserve">[annually]</w:t>
      </w:r>
      <w:r>
        <w:t xml:space="preserve"> to confirm continued suitability of the IPS and current allocation. Reviews are documented in the client file and address:</w:t>
      </w:r>
    </w:p>
    <w:p>
      <w:pPr>
        <w:pStyle w:val="ListParagraph"/>
        <w:numPr>
          <w:ilvl w:val="0"/>
          <w:numId w:val="2"/>
        </w:numPr>
      </w:pPr>
      <w:r>
        <w:t xml:space="preserve">Any material changes in client circumstances, objectives, or constraints</w:t>
      </w:r>
    </w:p>
    <w:p>
      <w:pPr>
        <w:pStyle w:val="ListParagraph"/>
        <w:numPr>
          <w:ilvl w:val="0"/>
          <w:numId w:val="2"/>
        </w:numPr>
      </w:pPr>
      <w:r>
        <w:t xml:space="preserve">Performance versus benchmarks and IPS expectations</w:t>
      </w:r>
    </w:p>
    <w:p>
      <w:pPr>
        <w:pStyle w:val="ListParagraph"/>
        <w:numPr>
          <w:ilvl w:val="0"/>
          <w:numId w:val="2"/>
        </w:numPr>
      </w:pPr>
      <w:r>
        <w:t xml:space="preserve">Allocation drift relative to IPS targets</w:t>
      </w:r>
    </w:p>
    <w:p>
      <w:pPr>
        <w:pStyle w:val="ListParagraph"/>
        <w:numPr>
          <w:ilvl w:val="0"/>
          <w:numId w:val="2"/>
        </w:numPr>
      </w:pPr>
      <w:r>
        <w:t xml:space="preserve">Continued appropriateness of the strategy and eligible universe</w:t>
      </w:r>
    </w:p>
    <w:p>
      <w:pPr>
        <w:pStyle w:val="ListParagraph"/>
        <w:numPr>
          <w:ilvl w:val="0"/>
          <w:numId w:val="2"/>
        </w:numPr>
      </w:pPr>
      <w:r>
        <w:t xml:space="preserve">Confirmation of contact information and any updates to beneficiary or trusted-contact designations</w:t>
      </w:r>
    </w:p>
    <w:p>
      <w:pPr>
        <w:pStyle w:val="Heading1"/>
        <w:pageBreakBefore/>
      </w:pPr>
      <w:r>
        <w:t xml:space="preserve">4. Portfolio Construction and Management</w:t>
      </w:r>
    </w:p>
    <w:p>
      <w:pPr>
        <w:pStyle w:val="Heading2"/>
      </w:pPr>
      <w:r>
        <w:t xml:space="preserve">4.1 Asset Allocation Framework</w:t>
      </w:r>
    </w:p>
    <w:p>
      <w:pPr>
        <w:spacing w:after="120"/>
      </w:pPr>
      <w:r>
        <w:t xml:space="preserve">The Adviser uses a strategic asset allocation framework with defined tactical ranges. Strategic targets are set based on long-term capital market assumptions and the client's risk profile. Tactical positioning within ranges is informed by valuation, macroeconomic conditions, and risk considerations.</w:t>
      </w:r>
    </w:p>
    <w:p>
      <w:pPr>
        <w:spacing w:after="120"/>
      </w:pPr>
      <w:r>
        <w:t xml:space="preserve">Strategic targets and tactical ranges for each strategy are as follows (</w:t>
      </w:r>
      <w:r>
        <w:rPr>
          <w:b/>
          <w:bCs/>
        </w:rPr>
        <w:t xml:space="preserve">illustrative — update to reflect actual targets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Asset Class</w:t>
            </w:r>
          </w:p>
        </w:tc>
        <w:tc>
          <w:tcPr>
            <w:tcW w:type="dxa" w:w="232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Conservative Target / Range</w:t>
            </w:r>
          </w:p>
        </w:tc>
        <w:tc>
          <w:tcPr>
            <w:tcW w:type="dxa" w:w="232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Moderate Target / Range</w:t>
            </w:r>
          </w:p>
        </w:tc>
        <w:tc>
          <w:tcPr>
            <w:tcW w:type="dxa" w:w="232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Growth Target / Range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Global Equities</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[20% / 15–25%]</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[55% / 45–65%]</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[80% / 70–90%]</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Fixed Income</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[65% / 55–75%]</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[35% / 25–45%]</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[15% / 5–25%]</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Real Assets / Alternatives</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 / 0–10%]</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 / 0–10%]</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 / 0–10%]</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Cash &amp; Equivalents</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[10% / 2–20%]</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 / 2–15%]</w:t>
            </w:r>
          </w:p>
        </w:tc>
        <w:tc>
          <w:tcPr>
            <w:tcW w:type="dxa" w:w="2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[0% / 0–10%]</w:t>
            </w:r>
          </w:p>
        </w:tc>
      </w:tr>
    </w:tbl>
    <w:p>
      <w:pPr>
        <w:pStyle w:val="Heading2"/>
      </w:pPr>
      <w:r>
        <w:t xml:space="preserve">4.2 Model Portfolios</w:t>
      </w:r>
    </w:p>
    <w:p>
      <w:pPr>
        <w:spacing w:after="120"/>
      </w:pPr>
      <w:r>
        <w:t xml:space="preserve">The Adviser maintains model portfolios that implement each strategy. Models are documented in </w:t>
      </w:r>
      <w:r>
        <w:rPr>
          <w:b/>
          <w:bCs/>
        </w:rPr>
        <w:t xml:space="preserve">Appendix G</w:t>
      </w:r>
      <w:r>
        <w:t xml:space="preserve"> and are reviewed and approved by the Adviser at least quarterly. Each client account is mapped to a model unless the client's IPS requires customization. Customizations are documented in the IPS or in a written addendum.</w:t>
      </w:r>
    </w:p>
    <w:p>
      <w:pPr>
        <w:spacing w:after="200" w:before="80"/>
        <w:ind w:left="360"/>
      </w:pPr>
      <w:r>
        <w:rPr>
          <w:b/>
          <w:bCs/>
          <w:i/>
          <w:iCs/>
          <w:color w:val="0066CC"/>
        </w:rPr>
        <w:t xml:space="preserve">Customization Note: </w:t>
      </w:r>
      <w:r>
        <w:rPr>
          <w:i/>
          <w:iCs/>
          <w:color w:val="555555"/>
        </w:rPr>
        <w:t xml:space="preserve">If you operate without formal models (fully customized per client), revise this section to describe your construction process and how you ensure consistency across similar clients.</w:t>
      </w:r>
    </w:p>
    <w:p>
      <w:pPr>
        <w:pStyle w:val="Heading2"/>
      </w:pPr>
      <w:r>
        <w:t xml:space="preserve">4.3 Position Sizing and Concentration Limits</w:t>
      </w:r>
    </w:p>
    <w:p>
      <w:pPr>
        <w:spacing w:after="120"/>
      </w:pPr>
      <w:r>
        <w:t xml:space="preserve">Unless specifically permitted by a client's IPS, the following position-sizing and concentration limits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Limit Type</w:t>
            </w:r>
          </w:p>
        </w:tc>
        <w:tc>
          <w:tcPr>
            <w:tcW w:type="dxa" w:w="1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Limit</w:t>
            </w:r>
          </w:p>
        </w:tc>
        <w:tc>
          <w:tcPr>
            <w:tcW w:type="dxa" w:w="39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Notes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Maximum single equity position (initial purchase)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Excludes broad-market ETFs/funds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Maximum single equity position (post-appreciation)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[10%]</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Triggers review for trim</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Maximum single corporate bond issuer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[5%]</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Excludes U.S. Treasuries / agencies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Maximum sector exposure (equity)</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[25%]</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Above benchmark weight</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Maximum single-fund/ETF position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[25%]</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Excludes core market-cap weighted index funds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Minimum number of positions (diversified strategies)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[20]</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bl>
    <w:p>
      <w:pPr>
        <w:pStyle w:val="Heading2"/>
      </w:pPr>
      <w:r>
        <w:t xml:space="preserve">4.4 Rebalancing Policy</w:t>
      </w:r>
    </w:p>
    <w:p>
      <w:pPr>
        <w:spacing w:after="120"/>
      </w:pPr>
      <w:r>
        <w:t xml:space="preserve">Portfolios are rebalanced on a </w:t>
      </w:r>
      <w:r>
        <w:rPr>
          <w:i/>
          <w:iCs/>
          <w:color w:val="0066CC"/>
        </w:rPr>
        <w:t xml:space="preserve">[threshold-based / calendar-based / hybrid]</w:t>
      </w:r>
      <w:r>
        <w:t xml:space="preserve"> basis. Rebalancing is triggered by any of the following:</w:t>
      </w:r>
    </w:p>
    <w:p>
      <w:pPr>
        <w:pStyle w:val="ListParagraph"/>
        <w:numPr>
          <w:ilvl w:val="0"/>
          <w:numId w:val="2"/>
        </w:numPr>
      </w:pPr>
      <w:r>
        <w:rPr>
          <w:b/>
          <w:bCs/>
        </w:rPr>
        <w:t xml:space="preserve">Threshold: </w:t>
      </w:r>
      <w:r>
        <w:t xml:space="preserve">any asset class deviates from its target by more than </w:t>
      </w:r>
      <w:r>
        <w:rPr>
          <w:i/>
          <w:iCs/>
          <w:color w:val="0066CC"/>
        </w:rPr>
        <w:t xml:space="preserve">[±5%]</w:t>
      </w:r>
      <w:r>
        <w:t xml:space="preserve"> (relative or absolute, as specified in IPS).</w:t>
      </w:r>
    </w:p>
    <w:p>
      <w:pPr>
        <w:pStyle w:val="ListParagraph"/>
        <w:numPr>
          <w:ilvl w:val="0"/>
          <w:numId w:val="2"/>
        </w:numPr>
      </w:pPr>
      <w:r>
        <w:rPr>
          <w:b/>
          <w:bCs/>
        </w:rPr>
        <w:t xml:space="preserve">Calendar: </w:t>
      </w:r>
      <w:r>
        <w:t xml:space="preserve">at least </w:t>
      </w:r>
      <w:r>
        <w:rPr>
          <w:i/>
          <w:iCs/>
          <w:color w:val="0066CC"/>
        </w:rPr>
        <w:t xml:space="preserve">[annually / semi-annually]</w:t>
      </w:r>
      <w:r>
        <w:t xml:space="preserve"> if no threshold trigger has occurred.</w:t>
      </w:r>
    </w:p>
    <w:p>
      <w:pPr>
        <w:pStyle w:val="ListParagraph"/>
        <w:numPr>
          <w:ilvl w:val="0"/>
          <w:numId w:val="2"/>
        </w:numPr>
      </w:pPr>
      <w:r>
        <w:rPr>
          <w:b/>
          <w:bCs/>
        </w:rPr>
        <w:t xml:space="preserve">Event-driven: </w:t>
      </w:r>
      <w:r>
        <w:t xml:space="preserve">material cash flow into or out of the account, change in IPS, or significant market dislocation.</w:t>
      </w:r>
    </w:p>
    <w:p>
      <w:pPr>
        <w:spacing w:after="120"/>
      </w:pPr>
      <w:r>
        <w:t xml:space="preserve">Rebalancing decisions consider tax implications, transaction costs, and the use of cash flows to rebalance organically where practical.</w:t>
      </w:r>
    </w:p>
    <w:p>
      <w:pPr>
        <w:pStyle w:val="Heading2"/>
      </w:pPr>
      <w:r>
        <w:t xml:space="preserve">4.5 Cash Management</w:t>
      </w:r>
    </w:p>
    <w:p>
      <w:pPr>
        <w:spacing w:after="120"/>
      </w:pPr>
      <w:r>
        <w:t xml:space="preserve">Client accounts maintain target cash levels consistent with the IPS. Excess cash is invested promptly, generally within </w:t>
      </w:r>
      <w:r>
        <w:rPr>
          <w:i/>
          <w:iCs/>
          <w:color w:val="0066CC"/>
        </w:rPr>
        <w:t xml:space="preserve">[5 business days]</w:t>
      </w:r>
      <w:r>
        <w:t xml:space="preserve"> of receipt. Cash sweep options follow the Parent RIA's approved cash sweep program.</w:t>
      </w:r>
    </w:p>
    <w:p>
      <w:pPr>
        <w:pStyle w:val="Heading2"/>
      </w:pPr>
      <w:r>
        <w:t xml:space="preserve">4.6 Deviation Documentation</w:t>
      </w:r>
    </w:p>
    <w:p>
      <w:pPr>
        <w:spacing w:after="120"/>
      </w:pPr>
      <w:r>
        <w:t xml:space="preserve">Any deviation from a model portfolio, position limit, or IPS target is documented in the client file with the rationale and, where applicable, client acknowledgment. Deviations are reviewed during the periodic client review described in Section 3.6.</w:t>
      </w:r>
    </w:p>
    <w:p>
      <w:pPr>
        <w:pStyle w:val="Heading1"/>
        <w:pageBreakBefore/>
      </w:pPr>
      <w:r>
        <w:t xml:space="preserve">5. Trading and Best Execution</w:t>
      </w:r>
    </w:p>
    <w:p>
      <w:pPr>
        <w:pStyle w:val="Heading2"/>
      </w:pPr>
      <w:r>
        <w:t xml:space="preserve">5.1 Reference to Parent RIA Best Execution Policy</w:t>
      </w:r>
    </w:p>
    <w:p>
      <w:pPr>
        <w:spacing w:after="120"/>
      </w:pPr>
      <w:r>
        <w:t xml:space="preserve">Best execution is governed by the Parent RIA's Best Execution and Trade Allocation Policy (the “Execution Policy”), incorporated by reference. The Parent RIA's Best Execution Committee periodically reviews execution quality across brokers and custodians used by the firm. See </w:t>
      </w:r>
      <w:r>
        <w:rPr>
          <w:i/>
          <w:iCs/>
          <w:color w:val="0066CC"/>
        </w:rPr>
        <w:t xml:space="preserve">[Parent RIA Best Execution Policy, dated _____]</w:t>
      </w:r>
      <w:r>
        <w:t xml:space="preserve">.</w:t>
      </w:r>
    </w:p>
    <w:p>
      <w:pPr>
        <w:pStyle w:val="Heading2"/>
      </w:pPr>
      <w:r>
        <w:t xml:space="preserve">5.2 Trade Generation and Workflow</w:t>
      </w:r>
    </w:p>
    <w:p>
      <w:pPr>
        <w:spacing w:after="120"/>
      </w:pPr>
      <w:r>
        <w:t xml:space="preserve">The Adviser generates trades through the following workflow:</w:t>
      </w:r>
    </w:p>
    <w:p>
      <w:pPr>
        <w:pStyle w:val="ListParagraph"/>
        <w:numPr>
          <w:ilvl w:val="0"/>
          <w:numId w:val="3"/>
        </w:numPr>
      </w:pPr>
      <w:r>
        <w:t xml:space="preserve">Identify the trading need (new account, rebalancing event, model change, cash flow, tax-loss harvesting, or client instruction).</w:t>
      </w:r>
    </w:p>
    <w:p>
      <w:pPr>
        <w:pStyle w:val="ListParagraph"/>
        <w:numPr>
          <w:ilvl w:val="0"/>
          <w:numId w:val="3"/>
        </w:numPr>
      </w:pPr>
      <w:r>
        <w:t xml:space="preserve">Confirm consistency with the client's IPS, model portfolio, and eligible investment universe.</w:t>
      </w:r>
    </w:p>
    <w:p>
      <w:pPr>
        <w:pStyle w:val="ListParagraph"/>
        <w:numPr>
          <w:ilvl w:val="0"/>
          <w:numId w:val="3"/>
        </w:numPr>
      </w:pPr>
      <w:r>
        <w:t xml:space="preserve">Apply pre-trade compliance checks (Section 6.1).</w:t>
      </w:r>
    </w:p>
    <w:p>
      <w:pPr>
        <w:pStyle w:val="ListParagraph"/>
        <w:numPr>
          <w:ilvl w:val="0"/>
          <w:numId w:val="3"/>
        </w:numPr>
      </w:pPr>
      <w:r>
        <w:t xml:space="preserve">Stage orders in the Parent RIA's order management or trading system.</w:t>
      </w:r>
    </w:p>
    <w:p>
      <w:pPr>
        <w:pStyle w:val="ListParagraph"/>
        <w:numPr>
          <w:ilvl w:val="0"/>
          <w:numId w:val="3"/>
        </w:numPr>
      </w:pPr>
      <w:r>
        <w:t xml:space="preserve">Execute or route for execution per the Execution Policy.</w:t>
      </w:r>
    </w:p>
    <w:p>
      <w:pPr>
        <w:pStyle w:val="ListParagraph"/>
        <w:numPr>
          <w:ilvl w:val="0"/>
          <w:numId w:val="3"/>
        </w:numPr>
      </w:pPr>
      <w:r>
        <w:t xml:space="preserve">Confirm execution, reconcile to client accounts, and document any exceptions.</w:t>
      </w:r>
    </w:p>
    <w:p>
      <w:pPr>
        <w:pStyle w:val="Heading2"/>
      </w:pPr>
      <w:r>
        <w:t xml:space="preserve">5.3 Execution Channels</w:t>
      </w:r>
    </w:p>
    <w:p>
      <w:pPr>
        <w:spacing w:after="120"/>
      </w:pPr>
      <w:r>
        <w:t xml:space="preserve">The Adviser executes trades through </w:t>
      </w:r>
      <w:r>
        <w:rPr>
          <w:i/>
          <w:iCs/>
          <w:color w:val="0066CC"/>
        </w:rPr>
        <w:t xml:space="preserve">[the Parent RIA's trading desk / the custodian's trading platform / a combination, as applicable]</w:t>
      </w:r>
      <w:r>
        <w:t xml:space="preserve">. The specific channel used for each transaction is determined by the Execution Policy and operational considerations.</w:t>
      </w:r>
    </w:p>
    <w:p>
      <w:pPr>
        <w:spacing w:after="200" w:before="80"/>
        <w:ind w:left="360"/>
      </w:pPr>
      <w:r>
        <w:rPr>
          <w:b/>
          <w:bCs/>
          <w:i/>
          <w:iCs/>
          <w:color w:val="0066CC"/>
        </w:rPr>
        <w:t xml:space="preserve">Customization Note: </w:t>
      </w:r>
      <w:r>
        <w:rPr>
          <w:i/>
          <w:iCs/>
          <w:color w:val="555555"/>
        </w:rPr>
        <w:t xml:space="preserve">Describe the actual operational reality. For most IARs at a custodian-based RIA, this is the custodian platform (e.g., Schwab, Fidelity, Pershing). Be specific.</w:t>
      </w:r>
    </w:p>
    <w:p>
      <w:pPr>
        <w:pStyle w:val="Heading2"/>
      </w:pPr>
      <w:r>
        <w:t xml:space="preserve">5.4 Trade Aggregation and Allocation</w:t>
      </w:r>
    </w:p>
    <w:p>
      <w:pPr>
        <w:spacing w:after="120"/>
      </w:pPr>
      <w:r>
        <w:t xml:space="preserve">When the Adviser places the same trade for multiple client accounts, orders are aggregated (“bunched”) where permitted by the Execution Policy and where doing so is expected to result in equal or better execution for participating clients. Aggregated orders are pre-allocated, and allocations are confirmed prior to execution. In the event of a partial fill, securities are allocated </w:t>
      </w:r>
      <w:r>
        <w:rPr>
          <w:b/>
          <w:bCs/>
        </w:rPr>
        <w:t xml:space="preserve">pro rata</w:t>
      </w:r>
      <w:r>
        <w:t xml:space="preserve"> across participating accounts unless an alternative allocation method is documented and disclosed.</w:t>
      </w:r>
    </w:p>
    <w:p>
      <w:pPr>
        <w:spacing w:after="120"/>
      </w:pPr>
      <w:r>
        <w:t xml:space="preserve">The Adviser does not favor any client account over another in trade allocation. Personal accounts of the Adviser and related persons are subject to the Code of Ethics personal trading provisions and may not participate in aggregated client orders except as expressly permitted by the Parent RIA.</w:t>
      </w:r>
    </w:p>
    <w:p>
      <w:pPr>
        <w:pStyle w:val="Heading2"/>
      </w:pPr>
      <w:r>
        <w:t xml:space="preserve">5.5 Trade Documentation and Errors</w:t>
      </w:r>
    </w:p>
    <w:p>
      <w:pPr>
        <w:spacing w:after="120"/>
      </w:pPr>
      <w:r>
        <w:t xml:space="preserve">Trade tickets, allocation records, and execution confirmations are retained per Rule 204-2 in the systems designated by the Parent RIA. Trade errors are reported immediately to the Parent RIA's CCO and resolved consistent with the Parent RIA's error correction procedures. Clients are made whole for any losses caused by the Adviser; gains arising from error correction are handled per </w:t>
      </w:r>
      <w:r>
        <w:rPr>
          <w:i/>
          <w:iCs/>
          <w:color w:val="0066CC"/>
        </w:rPr>
        <w:t xml:space="preserve">[Parent RIA Trade Error Policy]</w:t>
      </w:r>
      <w:r>
        <w:t xml:space="preserve">.</w:t>
      </w:r>
    </w:p>
    <w:p>
      <w:pPr>
        <w:pStyle w:val="Heading1"/>
        <w:pageBreakBefore/>
      </w:pPr>
      <w:r>
        <w:t xml:space="preserve">6. Risk Management</w:t>
      </w:r>
    </w:p>
    <w:p>
      <w:pPr>
        <w:pStyle w:val="Heading2"/>
      </w:pPr>
      <w:r>
        <w:t xml:space="preserve">6.1 Pre-Trade and Post-Trade Compliance Checks</w:t>
      </w:r>
    </w:p>
    <w:p>
      <w:pPr>
        <w:spacing w:after="120"/>
      </w:pPr>
      <w:r>
        <w:t xml:space="preserve">Prior to executing any trade, the Adviser confirms:</w:t>
      </w:r>
    </w:p>
    <w:p>
      <w:pPr>
        <w:pStyle w:val="ListParagraph"/>
        <w:numPr>
          <w:ilvl w:val="0"/>
          <w:numId w:val="2"/>
        </w:numPr>
      </w:pPr>
      <w:r>
        <w:t xml:space="preserve">The security is on the approved eligible universe (Section 2.3).</w:t>
      </w:r>
    </w:p>
    <w:p>
      <w:pPr>
        <w:pStyle w:val="ListParagraph"/>
        <w:numPr>
          <w:ilvl w:val="0"/>
          <w:numId w:val="2"/>
        </w:numPr>
      </w:pPr>
      <w:r>
        <w:t xml:space="preserve">The trade is consistent with the client's IPS and current strategy.</w:t>
      </w:r>
    </w:p>
    <w:p>
      <w:pPr>
        <w:pStyle w:val="ListParagraph"/>
        <w:numPr>
          <w:ilvl w:val="0"/>
          <w:numId w:val="2"/>
        </w:numPr>
      </w:pPr>
      <w:r>
        <w:t xml:space="preserve">Position sizing and concentration limits will not be breached (Section 4.3).</w:t>
      </w:r>
    </w:p>
    <w:p>
      <w:pPr>
        <w:pStyle w:val="ListParagraph"/>
        <w:numPr>
          <w:ilvl w:val="0"/>
          <w:numId w:val="2"/>
        </w:numPr>
      </w:pPr>
      <w:r>
        <w:t xml:space="preserve">Sufficient cash or settled proceeds are available.</w:t>
      </w:r>
    </w:p>
    <w:p>
      <w:pPr>
        <w:pStyle w:val="ListParagraph"/>
        <w:numPr>
          <w:ilvl w:val="0"/>
          <w:numId w:val="2"/>
        </w:numPr>
      </w:pPr>
      <w:r>
        <w:t xml:space="preserve">Tax considerations have been reviewed (wash sales, short-term/long-term, harvesting opportunities).</w:t>
      </w:r>
    </w:p>
    <w:p>
      <w:pPr>
        <w:pStyle w:val="ListParagraph"/>
        <w:numPr>
          <w:ilvl w:val="0"/>
          <w:numId w:val="2"/>
        </w:numPr>
      </w:pPr>
      <w:r>
        <w:t xml:space="preserve">Personal trading sequencing rules have been observed (Section 7.2).</w:t>
      </w:r>
    </w:p>
    <w:p>
      <w:pPr>
        <w:spacing w:after="120"/>
      </w:pPr>
      <w:r>
        <w:t xml:space="preserve">Post-trade, the Adviser confirms execution, reconciles allocations, and reviews resulting positions against limits.</w:t>
      </w:r>
    </w:p>
    <w:p>
      <w:pPr>
        <w:pStyle w:val="Heading2"/>
      </w:pPr>
      <w:r>
        <w:t xml:space="preserve">6.2 Position, Sector, and Issuer Limits</w:t>
      </w:r>
    </w:p>
    <w:p>
      <w:pPr>
        <w:spacing w:after="120"/>
      </w:pPr>
      <w:r>
        <w:t xml:space="preserve">In addition to the construction limits in Section 4.3, the following risk monitoring limits apply across the Adviser's book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80"/>
        <w:gridCol w:w="3080"/>
      </w:tblGrid>
      <w:tr>
        <w:tc>
          <w:tcPr>
            <w:tcW w:type="dxa" w:w="3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Risk Dimension</w:t>
            </w:r>
          </w:p>
        </w:tc>
        <w:tc>
          <w:tcPr>
            <w:tcW w:type="dxa" w:w="24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Threshold</w:t>
            </w:r>
          </w:p>
        </w:tc>
        <w:tc>
          <w:tcPr>
            <w:tcW w:type="dxa" w:w="30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Monitoring</w:t>
            </w:r>
          </w:p>
        </w:tc>
      </w:tr>
      <w:tr>
        <w:tc>
          <w:tcPr>
            <w:tcW w:type="dxa" w:w="3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Single security across all client accounts</w:t>
            </w:r>
          </w:p>
        </w:tc>
        <w:tc>
          <w:tcPr>
            <w:tcW w:type="dxa" w:w="2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[Informational only]</w:t>
            </w:r>
          </w:p>
        </w:tc>
        <w:tc>
          <w:tcPr>
            <w:tcW w:type="dxa" w:w="3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Quarterly review</w:t>
            </w:r>
          </w:p>
        </w:tc>
      </w:tr>
      <w:tr>
        <w:tc>
          <w:tcPr>
            <w:tcW w:type="dxa" w:w="3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Client account leverage</w:t>
            </w:r>
          </w:p>
        </w:tc>
        <w:tc>
          <w:tcPr>
            <w:tcW w:type="dxa" w:w="2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 permitted</w:t>
            </w:r>
          </w:p>
        </w:tc>
        <w:tc>
          <w:tcPr>
            <w:tcW w:type="dxa" w:w="3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Pre-trade and ongoing</w:t>
            </w:r>
          </w:p>
        </w:tc>
      </w:tr>
      <w:tr>
        <w:tc>
          <w:tcPr>
            <w:tcW w:type="dxa" w:w="3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Use of margin</w:t>
            </w:r>
          </w:p>
        </w:tc>
        <w:tc>
          <w:tcPr>
            <w:tcW w:type="dxa" w:w="2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[Prohibited / limited to cash management]</w:t>
            </w:r>
          </w:p>
        </w:tc>
        <w:tc>
          <w:tcPr>
            <w:tcW w:type="dxa" w:w="3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Pre-trade</w:t>
            </w:r>
          </w:p>
        </w:tc>
      </w:tr>
      <w:tr>
        <w:tc>
          <w:tcPr>
            <w:tcW w:type="dxa" w:w="3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Single fund/ETF concentration across book</w:t>
            </w:r>
          </w:p>
        </w:tc>
        <w:tc>
          <w:tcPr>
            <w:tcW w:type="dxa" w:w="2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[40%]</w:t>
            </w:r>
          </w:p>
        </w:tc>
        <w:tc>
          <w:tcPr>
            <w:tcW w:type="dxa" w:w="3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Quarterly review</w:t>
            </w:r>
          </w:p>
        </w:tc>
      </w:tr>
      <w:tr>
        <w:tc>
          <w:tcPr>
            <w:tcW w:type="dxa" w:w="3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Aggregate exposure to high-yield fixed income</w:t>
            </w:r>
          </w:p>
        </w:tc>
        <w:tc>
          <w:tcPr>
            <w:tcW w:type="dxa" w:w="24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[20% per client]</w:t>
            </w:r>
          </w:p>
        </w:tc>
        <w:tc>
          <w:tcPr>
            <w:tcW w:type="dxa" w:w="30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Per-account and book level</w:t>
            </w:r>
          </w:p>
        </w:tc>
      </w:tr>
    </w:tbl>
    <w:p>
      <w:pPr>
        <w:pStyle w:val="Heading2"/>
      </w:pPr>
      <w:r>
        <w:t xml:space="preserve">6.3 Liquidity Considerations</w:t>
      </w:r>
    </w:p>
    <w:p>
      <w:pPr>
        <w:spacing w:after="120"/>
      </w:pPr>
      <w:r>
        <w:t xml:space="preserve">The Adviser monitors liquidity at both the security level and account level. Securities are screened for sufficient trading volume relative to position size. Client accounts maintain sufficient liquid assets to meet anticipated distributions and unexpected withdrawals, consistent with the IPS.</w:t>
      </w:r>
    </w:p>
    <w:p>
      <w:pPr>
        <w:pStyle w:val="Heading2"/>
      </w:pPr>
      <w:r>
        <w:t xml:space="preserve">6.4 IPS Drift Monitoring</w:t>
      </w:r>
    </w:p>
    <w:p>
      <w:pPr>
        <w:spacing w:after="120"/>
      </w:pPr>
      <w:r>
        <w:t xml:space="preserve">Allocation drift relative to IPS targets is monitored on a </w:t>
      </w:r>
      <w:r>
        <w:rPr>
          <w:i/>
          <w:iCs/>
          <w:color w:val="0066CC"/>
        </w:rPr>
        <w:t xml:space="preserve">[monthly / quarterly]</w:t>
      </w:r>
      <w:r>
        <w:t xml:space="preserve"> basis. Accounts exceeding rebalancing thresholds are identified, and rebalancing is executed per Section 4.4 unless deferred for documented reasons (e.g., tax considerations, pending client instructions).</w:t>
      </w:r>
    </w:p>
    <w:p>
      <w:pPr>
        <w:pStyle w:val="Heading2"/>
      </w:pPr>
      <w:r>
        <w:t xml:space="preserve">6.5 Limit Breach and Escalation</w:t>
      </w:r>
    </w:p>
    <w:p>
      <w:pPr>
        <w:spacing w:after="120"/>
      </w:pPr>
      <w:r>
        <w:t xml:space="preserve">If a limit is breached or anticipated to be breached, the Adviser takes the following steps:</w:t>
      </w:r>
    </w:p>
    <w:p>
      <w:pPr>
        <w:pStyle w:val="ListParagraph"/>
        <w:numPr>
          <w:ilvl w:val="0"/>
          <w:numId w:val="3"/>
        </w:numPr>
      </w:pPr>
      <w:r>
        <w:t xml:space="preserve">Halt the activity giving rise to the breach.</w:t>
      </w:r>
    </w:p>
    <w:p>
      <w:pPr>
        <w:pStyle w:val="ListParagraph"/>
        <w:numPr>
          <w:ilvl w:val="0"/>
          <w:numId w:val="3"/>
        </w:numPr>
      </w:pPr>
      <w:r>
        <w:t xml:space="preserve">Document the nature, cause, and magnitude of the breach.</w:t>
      </w:r>
    </w:p>
    <w:p>
      <w:pPr>
        <w:pStyle w:val="ListParagraph"/>
        <w:numPr>
          <w:ilvl w:val="0"/>
          <w:numId w:val="3"/>
        </w:numPr>
      </w:pPr>
      <w:r>
        <w:t xml:space="preserve">Determine the appropriate corrective action (e.g., trim position, allocate trades, halt strategy).</w:t>
      </w:r>
    </w:p>
    <w:p>
      <w:pPr>
        <w:pStyle w:val="ListParagraph"/>
        <w:numPr>
          <w:ilvl w:val="0"/>
          <w:numId w:val="3"/>
        </w:numPr>
      </w:pPr>
      <w:r>
        <w:t xml:space="preserve">Notify the Parent RIA's CCO promptly, and in any event within [1 business day].</w:t>
      </w:r>
    </w:p>
    <w:p>
      <w:pPr>
        <w:pStyle w:val="ListParagraph"/>
        <w:numPr>
          <w:ilvl w:val="0"/>
          <w:numId w:val="3"/>
        </w:numPr>
      </w:pPr>
      <w:r>
        <w:t xml:space="preserve">Implement and document remediation. Where required, communicate with affected clients.</w:t>
      </w:r>
    </w:p>
    <w:p>
      <w:pPr>
        <w:pStyle w:val="Heading1"/>
        <w:pageBreakBefore/>
      </w:pPr>
      <w:r>
        <w:t xml:space="preserve">7. Code of Ethics, Personal Trading, and Conflicts of Interest</w:t>
      </w:r>
    </w:p>
    <w:p>
      <w:pPr>
        <w:pStyle w:val="Heading2"/>
      </w:pPr>
      <w:r>
        <w:t xml:space="preserve">7.1 Reference to Parent RIA Code of Ethics</w:t>
      </w:r>
    </w:p>
    <w:p>
      <w:pPr>
        <w:spacing w:after="120"/>
      </w:pPr>
      <w:r>
        <w:t xml:space="preserve">The Adviser is subject to and complies with the Parent RIA's Code of Ethics, adopted pursuant to Rule 204A-1 under the Advisers Act. The Code governs personal securities trading by the Adviser and related “access persons,” reporting of holdings and transactions, preclearance requirements, gifts and entertainment, political contributions, outside business activities, and insider trading. See </w:t>
      </w:r>
      <w:r>
        <w:rPr>
          <w:i/>
          <w:iCs/>
          <w:color w:val="0066CC"/>
        </w:rPr>
        <w:t xml:space="preserve">[Parent RIA Code of Ethics, dated _____]</w:t>
      </w:r>
      <w:r>
        <w:t xml:space="preserve">.</w:t>
      </w:r>
    </w:p>
    <w:p>
      <w:pPr>
        <w:pStyle w:val="Heading2"/>
      </w:pPr>
      <w:r>
        <w:t xml:space="preserve">7.2 Personal Trading Implementation</w:t>
      </w:r>
    </w:p>
    <w:p>
      <w:pPr>
        <w:spacing w:after="120"/>
      </w:pPr>
      <w:r>
        <w:t xml:space="preserve">In addition to the Parent RIA's Code of Ethics requirements, the Adviser observes the following personal trading practices:</w:t>
      </w:r>
    </w:p>
    <w:p>
      <w:pPr>
        <w:pStyle w:val="ListParagraph"/>
        <w:numPr>
          <w:ilvl w:val="0"/>
          <w:numId w:val="2"/>
        </w:numPr>
      </w:pPr>
      <w:r>
        <w:rPr>
          <w:b/>
          <w:bCs/>
        </w:rPr>
        <w:t xml:space="preserve">Client-first sequencing: </w:t>
      </w:r>
      <w:r>
        <w:t xml:space="preserve">the Adviser does not trade in any security for a personal account on the same day as a client trade in that security, except as expressly permitted by the Code of Ethics (e.g., aggregated orders at the same price and pro rata allocation).</w:t>
      </w:r>
    </w:p>
    <w:p>
      <w:pPr>
        <w:pStyle w:val="ListParagraph"/>
        <w:numPr>
          <w:ilvl w:val="0"/>
          <w:numId w:val="2"/>
        </w:numPr>
      </w:pPr>
      <w:r>
        <w:rPr>
          <w:b/>
          <w:bCs/>
        </w:rPr>
        <w:t xml:space="preserve">Preclearance: </w:t>
      </w:r>
      <w:r>
        <w:t xml:space="preserve">all reportable securities transactions are precleared as required by the Code of Ethics.</w:t>
      </w:r>
    </w:p>
    <w:p>
      <w:pPr>
        <w:pStyle w:val="ListParagraph"/>
        <w:numPr>
          <w:ilvl w:val="0"/>
          <w:numId w:val="2"/>
        </w:numPr>
      </w:pPr>
      <w:r>
        <w:rPr>
          <w:b/>
          <w:bCs/>
        </w:rPr>
        <w:t xml:space="preserve">Holdings reporting: </w:t>
      </w:r>
      <w:r>
        <w:t xml:space="preserve">initial and annual holdings reports, and quarterly transaction reports, are submitted within the timeframes required by Rule 204A-1.</w:t>
      </w:r>
    </w:p>
    <w:p>
      <w:pPr>
        <w:pStyle w:val="ListParagraph"/>
        <w:numPr>
          <w:ilvl w:val="0"/>
          <w:numId w:val="2"/>
        </w:numPr>
      </w:pPr>
      <w:r>
        <w:rPr>
          <w:b/>
          <w:bCs/>
        </w:rPr>
        <w:t xml:space="preserve">Restricted securities: </w:t>
      </w:r>
      <w:r>
        <w:t xml:space="preserve">the Adviser does not purchase securities on the Parent RIA's restricted list or in any issuer about which the Adviser has material non-public information.</w:t>
      </w:r>
    </w:p>
    <w:p>
      <w:pPr>
        <w:pStyle w:val="Heading2"/>
      </w:pPr>
      <w:r>
        <w:t xml:space="preserve">7.3 Gifts, Entertainment, and Political Contributions</w:t>
      </w:r>
    </w:p>
    <w:p>
      <w:pPr>
        <w:spacing w:after="120"/>
      </w:pPr>
      <w:r>
        <w:t xml:space="preserve">Gifts and entertainment given or received in connection with the Adviser's practice are tracked and reported per the Parent RIA's policy. The Adviser tracks all reportable gifts and entertainment in </w:t>
      </w:r>
      <w:r>
        <w:rPr>
          <w:b/>
          <w:bCs/>
        </w:rPr>
        <w:t xml:space="preserve">Appendix H</w:t>
      </w:r>
      <w:r>
        <w:t xml:space="preserve">. Political contributions are made only in compliance with Rule 206(4)-5 (the “pay-to-play” rule) and the Parent RIA's political contributions policy. Pre-clearance is obtained where required.</w:t>
      </w:r>
    </w:p>
    <w:p>
      <w:pPr>
        <w:pStyle w:val="Heading2"/>
      </w:pPr>
      <w:r>
        <w:t xml:space="preserve">7.4 Outside Business Activities</w:t>
      </w:r>
    </w:p>
    <w:p>
      <w:pPr>
        <w:spacing w:after="120"/>
      </w:pPr>
      <w:r>
        <w:t xml:space="preserve">All outside business activities (including board service, consulting, ownership interests, and second jobs) have been disclosed to the Parent RIA in writing and reflected on Form U4 where required. The Adviser's currently disclosed outside business activities are:</w:t>
      </w:r>
    </w:p>
    <w:p>
      <w:pPr>
        <w:pStyle w:val="ListParagraph"/>
        <w:numPr>
          <w:ilvl w:val="0"/>
          <w:numId w:val="2"/>
        </w:numPr>
      </w:pPr>
      <w:r>
        <w:rPr>
          <w:i/>
          <w:iCs/>
          <w:color w:val="0066CC"/>
        </w:rPr>
        <w:t xml:space="preserve">[List, or state “None”]</w:t>
      </w:r>
    </w:p>
    <w:p>
      <w:pPr>
        <w:pStyle w:val="Heading2"/>
      </w:pPr>
      <w:r>
        <w:t xml:space="preserve">7.5 Insider Trading and Material Non-Public Information</w:t>
      </w:r>
    </w:p>
    <w:p>
      <w:pPr>
        <w:spacing w:after="120"/>
      </w:pPr>
      <w:r>
        <w:t xml:space="preserve">The Adviser does not trade on the basis of, or communicate to others, material non-public information (“MNPI”). If the Adviser becomes aware of potential MNPI, the Adviser immediately ceases trading in the affected security, refrains from discussing the information, and notifies the Parent RIA's CCO. Information barriers and restricted-list procedures are maintained at the Parent RIA level.</w:t>
      </w:r>
    </w:p>
    <w:p>
      <w:pPr>
        <w:pStyle w:val="Heading2"/>
      </w:pPr>
      <w:r>
        <w:t xml:space="preserve">7.6 Conflicts of Interest Inventory</w:t>
      </w:r>
    </w:p>
    <w:p>
      <w:pPr>
        <w:spacing w:after="120"/>
      </w:pPr>
      <w:r>
        <w:t xml:space="preserve">The Adviser maintains the following inventory of identified conflicts of interest, the disclosure mechanism, and the mitigation procedure. This inventory is reviewed at least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00"/>
        <w:gridCol w:w="3200"/>
      </w:tblGrid>
      <w:tr>
        <w:tc>
          <w:tcPr>
            <w:tcW w:type="dxa" w:w="33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Conflict</w:t>
            </w:r>
          </w:p>
        </w:tc>
        <w:tc>
          <w:tcPr>
            <w:tcW w:type="dxa" w:w="2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Disclosure</w:t>
            </w:r>
          </w:p>
        </w:tc>
        <w:tc>
          <w:tcPr>
            <w:tcW w:type="dxa" w:w="3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Mitigation</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Asset-based fees create incentive to favor strategies that increase AUM</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Form ADV Part 2A; advisory agreement</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Fee schedule disclosed; suitability documented; IPS controls allocation</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Personal trading in same securities as clients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Form ADV Part 2A; Code of Ethics</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Preclearance; client-first sequencing; periodic review</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Receipt of soft dollars or platform support (if any)</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Form ADV Part 2A</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Best execution review by Parent RIA; documented use</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Outside business activities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Form ADV Part 2B; Form U4</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Pre-approval; periodic review</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Recommendations involving affiliated products (if any)</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Form ADV Part 2A</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Suitability documentation; client consent</w:t>
            </w:r>
          </w:p>
        </w:tc>
      </w:tr>
      <w:tr>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[Add adviser-specific conflicts]</w:t>
            </w:r>
          </w:p>
        </w:tc>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[Insert]</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[Insert]</w:t>
            </w:r>
          </w:p>
        </w:tc>
      </w:tr>
    </w:tbl>
    <w:p>
      <w:pPr>
        <w:spacing w:after="200" w:before="80"/>
        <w:ind w:left="360"/>
      </w:pPr>
      <w:r>
        <w:rPr>
          <w:b/>
          <w:bCs/>
          <w:i/>
          <w:iCs/>
          <w:color w:val="0066CC"/>
        </w:rPr>
        <w:t xml:space="preserve">Customization Note: </w:t>
      </w:r>
      <w:r>
        <w:rPr>
          <w:i/>
          <w:iCs/>
          <w:color w:val="555555"/>
        </w:rPr>
        <w:t xml:space="preserve">This inventory is uniquely yours. Review the Parent RIA's disclosure of conflicts in Form ADV Part 2A and tailor this list to your actual practice. Examiners frequently test whether disclosed conflicts match real-world activities.</w:t>
      </w:r>
    </w:p>
    <w:p>
      <w:pPr>
        <w:pStyle w:val="Heading1"/>
        <w:pageBreakBefore/>
      </w:pPr>
      <w:r>
        <w:t xml:space="preserve">8. Custody</w:t>
      </w:r>
    </w:p>
    <w:p>
      <w:pPr>
        <w:pStyle w:val="Heading2"/>
      </w:pPr>
      <w:r>
        <w:t xml:space="preserve">8.1 Reference to Parent RIA Custody Policy</w:t>
      </w:r>
    </w:p>
    <w:p>
      <w:pPr>
        <w:spacing w:after="120"/>
      </w:pPr>
      <w:r>
        <w:t xml:space="preserve">Custody is governed by the Parent RIA's Custody Policy, adopted pursuant to Rule 206(4)-2 under the Advisers Act. See </w:t>
      </w:r>
      <w:r>
        <w:rPr>
          <w:i/>
          <w:iCs/>
          <w:color w:val="0066CC"/>
        </w:rPr>
        <w:t xml:space="preserve">[Parent RIA Custody Policy, dated _____]</w:t>
      </w:r>
      <w:r>
        <w:t xml:space="preserve">.</w:t>
      </w:r>
    </w:p>
    <w:p>
      <w:pPr>
        <w:pStyle w:val="Heading2"/>
      </w:pPr>
      <w:r>
        <w:t xml:space="preserve">8.2 Custody Status Assessment</w:t>
      </w:r>
    </w:p>
    <w:p>
      <w:pPr>
        <w:spacing w:after="120"/>
      </w:pPr>
      <w:r>
        <w:t xml:space="preserve">The Adviser has assessed the following potential custody triggers and confirms its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Potential Custody Trigger</w:t>
            </w:r>
          </w:p>
        </w:tc>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Status</w:t>
            </w:r>
          </w:p>
        </w:tc>
        <w:tc>
          <w:tcPr>
            <w:tcW w:type="dxa" w:w="33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Notes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Direct possession of client funds or securities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All assets held at qualified custodians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Authority to deduct advisory fees from client accounts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Disclosed in advisory agreement and ADV; subject to Parent RIA fee controls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Standing Letters of Authorization (SLOAs) for third-party transfers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 / Reliance on SEC No-Action Letter (IM 2017-02)]</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Documented per Parent RIA SLOA procedures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Trustee or executor role for any client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 / Disclosed exception]</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Bill-paying services on behalf of clients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Possession of client passwords or login credentials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Receipt of checks or securities made out other than to the qualified custodian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 forward unopened within 3 business days if received]</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General partner or managing-member role in any pooled vehicle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[None]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bl>
    <w:p>
      <w:pPr>
        <w:spacing w:after="200" w:before="80"/>
        <w:ind w:left="360"/>
      </w:pPr>
      <w:r>
        <w:rPr>
          <w:b/>
          <w:bCs/>
          <w:i/>
          <w:iCs/>
          <w:color w:val="0066CC"/>
        </w:rPr>
        <w:t xml:space="preserve">Customization Note: </w:t>
      </w:r>
      <w:r>
        <w:rPr>
          <w:i/>
          <w:iCs/>
          <w:color w:val="555555"/>
        </w:rPr>
        <w:t xml:space="preserve">This is the single most common deficiency area for small advisers. Walk through each row carefully with the Parent RIA's CCO before completing. Inadvertent custody can trigger surprise examination requirements under Rule 206(4)-2.</w:t>
      </w:r>
    </w:p>
    <w:p>
      <w:pPr>
        <w:pStyle w:val="Heading2"/>
      </w:pPr>
      <w:r>
        <w:t xml:space="preserve">8.3 Qualified Custodian Relationships</w:t>
      </w:r>
    </w:p>
    <w:p>
      <w:pPr>
        <w:spacing w:after="120"/>
      </w:pPr>
      <w:r>
        <w:t xml:space="preserve">Client assets are held at the following qualified custodian(s): </w:t>
      </w:r>
      <w:r>
        <w:rPr>
          <w:i/>
          <w:iCs/>
          <w:color w:val="0066CC"/>
        </w:rPr>
        <w:t xml:space="preserve">[List custodians, e.g., Charles Schwab &amp; Co., Inc.; Fidelity Brokerage Services LLC; Pershing LLC]</w:t>
      </w:r>
      <w:r>
        <w:t xml:space="preserve">. Clients receive account statements directly from the qualified custodian at least quarterly. The Adviser urges clients to compare custodian statements against any reports provided by the Adviser.</w:t>
      </w:r>
    </w:p>
    <w:p>
      <w:pPr>
        <w:pStyle w:val="Heading2"/>
      </w:pPr>
      <w:r>
        <w:t xml:space="preserve">8.4 Fee Deduction Process</w:t>
      </w:r>
    </w:p>
    <w:p>
      <w:pPr>
        <w:spacing w:after="120"/>
      </w:pPr>
      <w:r>
        <w:t xml:space="preserve">Advisory fees are deducted from client accounts in accordance with the advisory agreement and the Parent RIA's fee billing procedures. The Adviser does not have direct authority to instruct fee deductions; fee instructions are submitted through the Parent RIA's billing process, which includes independent review and reconciliation.</w:t>
      </w:r>
    </w:p>
    <w:p>
      <w:pPr>
        <w:pStyle w:val="Heading2"/>
      </w:pPr>
      <w:r>
        <w:t xml:space="preserve">8.5 Inadvertent Custody Avoidance</w:t>
      </w:r>
    </w:p>
    <w:p>
      <w:pPr>
        <w:spacing w:after="120"/>
      </w:pPr>
      <w:r>
        <w:t xml:space="preserve">To avoid inadvertent custody, the Adviser:</w:t>
      </w:r>
    </w:p>
    <w:p>
      <w:pPr>
        <w:pStyle w:val="ListParagraph"/>
        <w:numPr>
          <w:ilvl w:val="0"/>
          <w:numId w:val="2"/>
        </w:numPr>
      </w:pPr>
      <w:r>
        <w:t xml:space="preserve">Does not accept or hold client funds or securities directly.</w:t>
      </w:r>
    </w:p>
    <w:p>
      <w:pPr>
        <w:pStyle w:val="ListParagraph"/>
        <w:numPr>
          <w:ilvl w:val="0"/>
          <w:numId w:val="2"/>
        </w:numPr>
      </w:pPr>
      <w:r>
        <w:t xml:space="preserve">Does not accept or store client login credentials.</w:t>
      </w:r>
    </w:p>
    <w:p>
      <w:pPr>
        <w:pStyle w:val="ListParagraph"/>
        <w:numPr>
          <w:ilvl w:val="0"/>
          <w:numId w:val="2"/>
        </w:numPr>
      </w:pPr>
      <w:r>
        <w:t xml:space="preserve">Forwards any inadvertently received client checks or securities to the qualified custodian within three business days, unopened where practicable.</w:t>
      </w:r>
    </w:p>
    <w:p>
      <w:pPr>
        <w:pStyle w:val="ListParagraph"/>
        <w:numPr>
          <w:ilvl w:val="0"/>
          <w:numId w:val="2"/>
        </w:numPr>
      </w:pPr>
      <w:r>
        <w:t xml:space="preserve">Does not serve as trustee, executor, or attorney-in-fact for any client account, except where disclosed and approved by the Parent RIA.</w:t>
      </w:r>
    </w:p>
    <w:p>
      <w:pPr>
        <w:pStyle w:val="ListParagraph"/>
        <w:numPr>
          <w:ilvl w:val="0"/>
          <w:numId w:val="2"/>
        </w:numPr>
      </w:pPr>
      <w:r>
        <w:t xml:space="preserve">Does not engage in bill-paying or check-writing services on behalf of clients.</w:t>
      </w:r>
    </w:p>
    <w:p>
      <w:pPr>
        <w:pStyle w:val="ListParagraph"/>
        <w:numPr>
          <w:ilvl w:val="0"/>
          <w:numId w:val="2"/>
        </w:numPr>
      </w:pPr>
      <w:r>
        <w:t xml:space="preserve">Reviews each SLOA arrangement against the conditions of the SEC's IM 2017-02 No-Action Letter to confirm reliance is appropriate.</w:t>
      </w:r>
    </w:p>
    <w:p>
      <w:pPr>
        <w:pStyle w:val="Heading1"/>
        <w:pageBreakBefore/>
      </w:pPr>
      <w:r>
        <w:t xml:space="preserve">9–12. Deferred Sections (Parent RIA-Managed)</w:t>
      </w:r>
    </w:p>
    <w:p>
      <w:pPr>
        <w:spacing w:after="120"/>
      </w:pPr>
      <w:r>
        <w:t xml:space="preserve">The following sections are managed at the Parent RIA level and are incorporated by reference into this Manual. They are listed here as placeholders to be developed into standalone policies if the Adviser pursues independent SEC registration in the future.</w:t>
      </w:r>
    </w:p>
    <w:p>
      <w:pPr>
        <w:pStyle w:val="Heading2"/>
      </w:pPr>
      <w:r>
        <w:t xml:space="preserve">9. Marketing and Communications (Rule 206(4)-1)</w:t>
      </w:r>
    </w:p>
    <w:p>
      <w:pPr>
        <w:spacing w:after="120"/>
      </w:pPr>
      <w:r>
        <w:t xml:space="preserve">Currently governed by </w:t>
      </w:r>
      <w:r>
        <w:rPr>
          <w:i/>
          <w:iCs/>
          <w:color w:val="0066CC"/>
        </w:rPr>
        <w:t xml:space="preserve">[Parent RIA Marketing and Advertising Policy]</w:t>
      </w:r>
      <w:r>
        <w:t xml:space="preserve">. To be developed independently upon standalone registration. Will cover advertisement approval workflow, testimonials and endorsements, performance presentation (gross/net, time periods, benchmark requirements), hypothetical and predecessor performance, third-party ratings, and substantiation files.</w:t>
      </w:r>
    </w:p>
    <w:p>
      <w:pPr>
        <w:pStyle w:val="Heading2"/>
      </w:pPr>
      <w:r>
        <w:t xml:space="preserve">10. Recordkeeping (Rule 204-2)</w:t>
      </w:r>
    </w:p>
    <w:p>
      <w:pPr>
        <w:spacing w:after="120"/>
      </w:pPr>
      <w:r>
        <w:t xml:space="preserve">Currently governed by </w:t>
      </w:r>
      <w:r>
        <w:rPr>
          <w:i/>
          <w:iCs/>
          <w:color w:val="0066CC"/>
        </w:rPr>
        <w:t xml:space="preserve">[Parent RIA Recordkeeping Policy]</w:t>
      </w:r>
      <w:r>
        <w:t xml:space="preserve">. To be developed independently upon standalone registration. Will cover required records, retention periods (generally five years, first two readily accessible), storage location, electronic communications capture (including off-channel communications), and access controls.</w:t>
      </w:r>
    </w:p>
    <w:p>
      <w:pPr>
        <w:pStyle w:val="Heading2"/>
      </w:pPr>
      <w:r>
        <w:t xml:space="preserve">11. Privacy (Reg S-P), Cybersecurity, and Business Continuity</w:t>
      </w:r>
    </w:p>
    <w:p>
      <w:pPr>
        <w:spacing w:after="120"/>
      </w:pPr>
      <w:r>
        <w:t xml:space="preserve">Currently governed by Parent RIA's Privacy Policy, Cybersecurity Policy and Incident Response Plan, and Business Continuity Plan. To be developed independently upon standalone registration. Will cover privacy notice delivery, nonpublic personal information safeguards, cybersecurity controls (MFA, encryption, access management, vendor diligence), incident response, business continuity and succession, and key-person risk.</w:t>
      </w:r>
    </w:p>
    <w:p>
      <w:pPr>
        <w:pStyle w:val="Heading2"/>
      </w:pPr>
      <w:r>
        <w:t xml:space="preserve">12. Form ADV Maintenance and Annual Compliance Review</w:t>
      </w:r>
    </w:p>
    <w:p>
      <w:pPr>
        <w:spacing w:after="120"/>
      </w:pPr>
      <w:r>
        <w:t xml:space="preserve">Form ADV is currently maintained by the Parent RIA. The Adviser is identified in the Parent RIA's Form ADV Part 2B Brochure Supplement and reviews the supplement at least annually for accuracy. To be developed independently upon standalone registration. Will cover annual updating amendments, other-than-annual amendments, brochure delivery, the annual Rule 206(4)-7 compliance review, and the documented review memo.</w:t>
      </w:r>
    </w:p>
    <w:p>
      <w:pPr>
        <w:spacing w:after="200" w:before="80"/>
        <w:ind w:left="360"/>
      </w:pPr>
      <w:r>
        <w:rPr>
          <w:b/>
          <w:bCs/>
          <w:i/>
          <w:iCs/>
          <w:color w:val="0066CC"/>
        </w:rPr>
        <w:t xml:space="preserve">Customization Note: </w:t>
      </w:r>
      <w:r>
        <w:rPr>
          <w:i/>
          <w:iCs/>
          <w:color w:val="555555"/>
        </w:rPr>
        <w:t xml:space="preserve">When converting to standalone SEC registration, Sections 9–12 will require the most build-out. Engage a fractional CCO or compliance consultant approximately six months before anticipated separation to allow time for policy development, vendor selection, and ADV preparation.</w:t>
      </w:r>
    </w:p>
    <w:p>
      <w:pPr>
        <w:pStyle w:val="Heading1"/>
        <w:pageBreakBefore/>
      </w:pPr>
      <w:r>
        <w:t xml:space="preserve">Appendix A. Annual Compliance and Practice Calendar</w:t>
      </w:r>
    </w:p>
    <w:p>
      <w:pPr>
        <w:spacing w:after="120"/>
      </w:pPr>
      <w:r>
        <w:t xml:space="preserve">The following calendar summarizes recurring practice and compliance tasks. Items marked (PR) are owned at the Parent RIA level; the Adviser confirms completion and retains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40"/>
        <w:gridCol w:w="2120"/>
      </w:tblGrid>
      <w:tr>
        <w:tc>
          <w:tcPr>
            <w:tcW w:type="dxa" w:w="2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Month / Frequency</w:t>
            </w:r>
          </w:p>
        </w:tc>
        <w:tc>
          <w:tcPr>
            <w:tcW w:type="dxa" w:w="504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Task</w:t>
            </w:r>
          </w:p>
        </w:tc>
        <w:tc>
          <w:tcPr>
            <w:tcW w:type="dxa" w:w="212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Owner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Monthly</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Reconcile client positions to custodian statements (sample)</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Monthly</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Review new account openings for IPS completion</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Quarterly</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Practice review log (Appendix B) — sample of accounts</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Quarterly</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IPS drift monitoring across book</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Quarterly</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Review of personal trading vs. client trading</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 / CCO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Quarterly</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Best execution committee meeting</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Parent RIA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Q1</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Annual Form ADV updating amendment review</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Parent RIA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Q1</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Code of Ethics annual holdings report submission</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Q1</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Annual privacy notice delivery (if required)</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Parent RIA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Q2</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Annual capital market assumptions refresh</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Q2</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Strategy and model portfolio review</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Q2</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Conflicts of interest inventory review</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Q3</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Annual client review cycle progress check</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Q3</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Cybersecurity training and phishing test</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Parent RIA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Q4</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Annual Rule 206(4)-7 compliance review</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Parent RIA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Q4</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Practice manual annual review (this document)</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Q4</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Business continuity / succession plan review</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Parent RIA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Ongoing</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Marketing material pre-clearance prior to use</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 / CCO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Ongoing</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Outside business activity disclosure updates</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Ongoing</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Gift and entertainment log maintenance</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As triggered</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Limit breach reporting (per Section 6.5)</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 / CCO (PR)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As triggered</w:t>
            </w:r>
          </w:p>
        </w:tc>
        <w:tc>
          <w:tcPr>
            <w:tcW w:type="dxa" w:w="50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Trade error reporting and remediation</w:t>
            </w:r>
          </w:p>
        </w:tc>
        <w:tc>
          <w:tcPr>
            <w:tcW w:type="dxa" w:w="2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 / CCO (PR)</w:t>
            </w:r>
          </w:p>
        </w:tc>
      </w:tr>
    </w:tbl>
    <w:p>
      <w:pPr>
        <w:pStyle w:val="Heading1"/>
        <w:pageBreakBefore/>
      </w:pPr>
      <w:r>
        <w:t xml:space="preserve">Appendix B. Quarterly Practice Review Log Template</w:t>
      </w:r>
    </w:p>
    <w:p>
      <w:pPr>
        <w:spacing w:after="120"/>
      </w:pPr>
      <w:r>
        <w:t xml:space="preserve">Each quarter, the Adviser reviews a sample of client accounts and documents the review in the log below. The sample should cover at least 10% of accounts and a cross-section of strategies. Completed logs are retained as part of the Adviser's books and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Field</w:t>
            </w:r>
          </w:p>
        </w:tc>
        <w:tc>
          <w:tcPr>
            <w:tcW w:type="dxa" w:w="468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Entry</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Review Period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Q__ , 20__</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Review Date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Reviewer</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Accounts Sampled (number, list)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Sample Selection Method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[e.g., random, largest, by strategy, by tenure]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IPS on file for each sampled account?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Exceptions: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Allocation within IPS ranges?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Exceptions: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Holdings within eligible universe?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Exceptions: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Position and concentration limits observed?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Exceptions: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Periodic client review current (Section 3.6)?</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Exceptions: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Suitability still appropriate?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Comments: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Trade allocation pro rata for any block trades?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N/A:</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Cash levels appropriate per IPS?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Exceptions: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Personal trading conflicts identified?</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Yes / No / Comments: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Findings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Remediation Actions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Items Escalated to Parent RIA CCO</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Reviewer Signature / Date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bl>
    <w:p>
      <w:pPr>
        <w:pStyle w:val="Heading1"/>
        <w:pageBreakBefore/>
      </w:pPr>
      <w:r>
        <w:t xml:space="preserve">Appendix C. Conflicts of Interest Inventory (Standalone Worksheet)</w:t>
      </w:r>
    </w:p>
    <w:p>
      <w:pPr>
        <w:spacing w:after="120"/>
      </w:pPr>
      <w:r>
        <w:t xml:space="preserve">Use this worksheet to maintain the conflicts inventory referenced in Section 7.6. Review and update at least annually, or upon any change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160"/>
        <w:gridCol w:w="2160"/>
        <w:gridCol w:w="1200"/>
      </w:tblGrid>
      <w:tr>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Conflict</w:t>
            </w:r>
          </w:p>
        </w:tc>
        <w:tc>
          <w:tcPr>
            <w:tcW w:type="dxa" w:w="144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Date Identified</w:t>
            </w:r>
          </w:p>
        </w:tc>
        <w:tc>
          <w:tcPr>
            <w:tcW w:type="dxa" w:w="2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Disclosure Location</w:t>
            </w:r>
          </w:p>
        </w:tc>
        <w:tc>
          <w:tcPr>
            <w:tcW w:type="dxa" w:w="2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Mitigation</w:t>
            </w:r>
          </w:p>
        </w:tc>
        <w:tc>
          <w:tcPr>
            <w:tcW w:type="dxa" w:w="1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Last Reviewed</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bl>
    <w:p>
      <w:pPr>
        <w:pStyle w:val="Heading1"/>
        <w:pageBreakBefore/>
      </w:pPr>
      <w:r>
        <w:t xml:space="preserve">Appendix D.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Version</w:t>
            </w:r>
          </w:p>
        </w:tc>
        <w:tc>
          <w:tcPr>
            <w:tcW w:type="dxa" w:w="2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Date</w:t>
            </w:r>
          </w:p>
        </w:tc>
        <w:tc>
          <w:tcPr>
            <w:tcW w:type="dxa" w:w="216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Author</w:t>
            </w:r>
          </w:p>
        </w:tc>
        <w:tc>
          <w:tcPr>
            <w:tcW w:type="dxa" w:w="36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Summary of Changes</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1.0</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[Initial date]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[Adviser]</w:t>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Initial version</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bl>
    <w:p>
      <w:pPr>
        <w:pStyle w:val="Heading1"/>
        <w:pageBreakBefore/>
      </w:pPr>
      <w:r>
        <w:t xml:space="preserve">Appendix E. Strategy Summaries (Placeholder)</w:t>
      </w:r>
    </w:p>
    <w:p>
      <w:pPr>
        <w:spacing w:after="120"/>
      </w:pPr>
      <w:r>
        <w:t xml:space="preserve">Insert a one-page summary for each strategy referenced in Section 2.2. Each summary should include: objective, benchmark, eligible universe, target allocation ranges, expected risk and return, typical client profile, and minimum account size.</w:t>
      </w:r>
    </w:p>
    <w:p>
      <w:pPr>
        <w:pStyle w:val="Heading1"/>
        <w:pageBreakBefore/>
      </w:pPr>
      <w:r>
        <w:t xml:space="preserve">Appendix F. Risk Profile Questionnaire (Placeholder)</w:t>
      </w:r>
    </w:p>
    <w:p>
      <w:pPr>
        <w:spacing w:after="120"/>
      </w:pPr>
      <w:r>
        <w:t xml:space="preserve">Insert the risk-profiling questionnaire used during client discovery (Section 3.3), or reference the third-party tool used (e.g., Riskalyze/Nitrogen report) and the retention practice.</w:t>
      </w:r>
    </w:p>
    <w:p>
      <w:pPr>
        <w:pStyle w:val="Heading1"/>
        <w:pageBreakBefore/>
      </w:pPr>
      <w:r>
        <w:t xml:space="preserve">Appendix G. Model Portfolios (Placeholder)</w:t>
      </w:r>
    </w:p>
    <w:p>
      <w:pPr>
        <w:spacing w:after="120"/>
      </w:pPr>
      <w:r>
        <w:t xml:space="preserve">Insert the current model portfolio holdings and target weights for each strategy referenced in Section 4.2. Maintain prior versions per recordkeeping requirements.</w:t>
      </w:r>
    </w:p>
    <w:p>
      <w:pPr>
        <w:pStyle w:val="Heading1"/>
        <w:pageBreakBefore/>
      </w:pPr>
      <w:r>
        <w:t xml:space="preserve">Appendix H. Gifts, Entertainment, and Political Contributions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200"/>
        <w:gridCol w:w="1320"/>
        <w:gridCol w:w="1440"/>
      </w:tblGrid>
      <w:tr>
        <w:tc>
          <w:tcPr>
            <w:tcW w:type="dxa" w:w="1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Date</w:t>
            </w:r>
          </w:p>
        </w:tc>
        <w:tc>
          <w:tcPr>
            <w:tcW w:type="dxa" w:w="24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Type (Gift / Entertainment / Pol. Contribution)</w:t>
            </w:r>
          </w:p>
        </w:tc>
        <w:tc>
          <w:tcPr>
            <w:tcW w:type="dxa" w:w="18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Counterparty</w:t>
            </w:r>
          </w:p>
        </w:tc>
        <w:tc>
          <w:tcPr>
            <w:tcW w:type="dxa" w:w="120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Value ($)</w:t>
            </w:r>
          </w:p>
        </w:tc>
        <w:tc>
          <w:tcPr>
            <w:tcW w:type="dxa" w:w="132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Pre-Cleared (Y/N)</w:t>
            </w:r>
          </w:p>
        </w:tc>
        <w:tc>
          <w:tcPr>
            <w:tcW w:type="dxa" w:w="1440"/>
            <w:tcBorders>
              <w:top w:val="single" w:color="BBBBBB" w:sz="4"/>
              <w:left w:val="single" w:color="BBBBBB" w:sz="4"/>
              <w:bottom w:val="single" w:color="BBBBBB" w:sz="4"/>
              <w:right w:val="single" w:color="BBBBBB" w:sz="4"/>
            </w:tcBorders>
            <w:shd w:fill="D5E8F0" w:val="clear"/>
            <w:tcMar>
              <w:top w:type="dxa" w:w="100"/>
              <w:left w:type="dxa" w:w="140"/>
              <w:bottom w:type="dxa" w:w="100"/>
              <w:right w:type="dxa" w:w="140"/>
            </w:tcMar>
          </w:tcPr>
          <w:p>
            <w:r>
              <w:rPr>
                <w:b/>
                <w:bCs/>
              </w:rPr>
              <w:t xml:space="preserve">Notes</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rPr>
              <w:t xml:space="preserve"/>
            </w:r>
          </w:p>
        </w:tc>
      </w:tr>
    </w:tbl>
    <w:p>
      <w:pPr>
        <w:pStyle w:val="Heading1"/>
        <w:pageBreakBefore/>
      </w:pPr>
      <w:r>
        <w:t xml:space="preserve">Appendix I. Adviser Attestation</w:t>
      </w:r>
    </w:p>
    <w:p>
      <w:pPr>
        <w:spacing w:after="120"/>
      </w:pPr>
      <w:r>
        <w:t xml:space="preserve">I, the undersigned, have read this Investment Practice Manual in its entirety. I have read, understood, and agreed to comply with each of the Parent RIA policies referenced and incorporated by reference herein. I commit to maintaining this Manual in a current and accurate state and to escalating any potential or actual violations to the Parent RIA's Chief Compliance Officer.</w:t>
      </w:r>
    </w:p>
    <w:p>
      <w:r>
        <w:t xml:space="preserve"/>
      </w:r>
    </w:p>
    <w:p>
      <w:pPr>
        <w:spacing w:after="120"/>
      </w:pPr>
      <w:r>
        <w:t xml:space="preserve">Signed: ____________________________________  Date: __________________</w:t>
      </w:r>
    </w:p>
    <w:p>
      <w:r>
        <w:t xml:space="preserve"/>
      </w:r>
    </w:p>
    <w:p>
      <w:pPr>
        <w:spacing w:after="120"/>
      </w:pPr>
      <w:r>
        <w:t xml:space="preserve">Printed Name: </w:t>
      </w:r>
      <w:r>
        <w:rPr>
          <w:i/>
          <w:iCs/>
          <w:color w:val="0066CC"/>
        </w:rPr>
        <w:t xml:space="preserve">[Adviser Name]</w:t>
      </w:r>
    </w:p>
    <w:p>
      <w:r>
        <w:t xml:space="preserve"/>
      </w:r>
    </w:p>
    <w:p>
      <w:pPr>
        <w:spacing w:after="120"/>
      </w:pPr>
      <w:r>
        <w:t xml:space="preserve">Reviewed by Parent RIA CCO: ____________________________________  Date: 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Investment Practice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Practice Manual</dc:title>
  <dc:creator>Investment Practice Manual Template</dc:creator>
  <cp:lastModifiedBy>Un-named</cp:lastModifiedBy>
  <cp:revision>1</cp:revision>
  <dcterms:created xsi:type="dcterms:W3CDTF">2026-05-18T18:33:24.334Z</dcterms:created>
  <dcterms:modified xsi:type="dcterms:W3CDTF">2026-05-18T18:33:24.353Z</dcterms:modified>
</cp:coreProperties>
</file>

<file path=docProps/custom.xml><?xml version="1.0" encoding="utf-8"?>
<Properties xmlns="http://schemas.openxmlformats.org/officeDocument/2006/custom-properties" xmlns:vt="http://schemas.openxmlformats.org/officeDocument/2006/docPropsVTypes"/>
</file>