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GeFi — como a pipeline RAG funciona, do clique do usuário até a resposta</w:t>
      </w:r>
    </w:p>
    <w:p>
      <w:r>
        <w:t>Este é um material de estudo, não um artigo. A ideia é que, depois de ler, você consiga apontar no diagrama onde cada coisa acontece, dizer quem faz aquilo no código e explicar por que aquele passo existe.</w:t>
      </w:r>
    </w:p>
    <w:p>
      <w:r>
        <w:t xml:space="preserve">O texto segue a numeração do diagrama abaixo: onze passos, do momento em que o fiscal digita a pergunta até a resposta aparecer com as fontes clicáveis. Antes dos onze passos há uma seção de conceitos — vale ler primeiro se os termos </w:t>
      </w:r>
      <w:r>
        <w:rPr>
          <w:i/>
        </w:rPr>
        <w:t>embedding</w:t>
      </w:r>
      <w:r>
        <w:t xml:space="preserve">, </w:t>
      </w:r>
      <w:r>
        <w:rPr>
          <w:i/>
        </w:rPr>
        <w:t>busca vetorial</w:t>
      </w:r>
      <w:r>
        <w:t xml:space="preserve"> ou </w:t>
      </w:r>
      <w:r>
        <w:rPr>
          <w:i/>
        </w:rPr>
        <w:t>chunk</w:t>
      </w:r>
      <w:r>
        <w:t xml:space="preserve"> ainda são vagos para você. Ao longo do texto, os nomes de arquivo e de função são os reais do repositório, então dá para abrir o código ao lado e conferir.</w:t>
      </w:r>
    </w:p>
    <w:p>
      <w:pPr>
        <w:pStyle w:val="Heading1"/>
      </w:pPr>
      <w:r>
        <w:t>O 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71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1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66"/>
          <w:sz w:val="18"/>
        </w:rPr>
        <w:t>A pipeline completa. Os números são os mesmos usados nas seções seguintes.</w:t>
      </w:r>
    </w:p>
    <w:p>
      <w:r>
        <w:t xml:space="preserve">Uma frase para o caminho inteiro: </w:t>
      </w:r>
      <w:r>
        <w:rPr>
          <w:b/>
        </w:rPr>
        <w:t>a pergunta vira um vetor, esse vetor acha os trechos da norma que falam do mesmo assunto, esses trechos entram no prompt junto com a pergunta, e o modelo escreve a resposta usando só aquilo.</w:t>
      </w:r>
      <w:r>
        <w:t xml:space="preserve"> Todo o resto — expansão de irmãos, janela deslizante, orçamento de contexto — é refinamento dessa frase.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EFF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Por que essa arquitetura existe</w:t>
            </w:r>
          </w:p>
          <w:p>
            <w:pPr>
              <w:spacing w:after="40"/>
            </w:pPr>
            <w:r>
              <w:rPr>
                <w:sz w:val="20"/>
              </w:rPr>
              <w:t xml:space="preserve">Um LLM sozinho responderia sobre a IN 05/2017 de memória, misturando versões e inventando números de item com a maior naturalidade. O RAG inverte isso: o modelo não é a fonte do conteúdo, é só o redator. A fonte é o texto recuperado do banco. Por isso a qualidade da recuperação é o </w:t>
            </w:r>
            <w:r>
              <w:rPr>
                <w:b/>
                <w:sz w:val="20"/>
              </w:rPr>
              <w:t>teto</w:t>
            </w:r>
            <w:r>
              <w:rPr>
                <w:sz w:val="20"/>
              </w:rPr>
              <w:t xml:space="preserve"> da qualidade da resposta — se o trecho certo não for recuperado, nenhum prompt salva.</w:t>
            </w:r>
          </w:p>
        </w:tc>
      </w:tr>
    </w:tbl>
    <w:p>
      <w:pPr>
        <w:spacing w:after="40"/>
      </w:pPr>
    </w:p>
    <w:p>
      <w:pPr>
        <w:pStyle w:val="Heading1"/>
      </w:pPr>
      <w:r>
        <w:t>O passo zero: o que já tinha que estar pronto</w:t>
      </w:r>
    </w:p>
    <w:p>
      <w:r>
        <w:t>Os onze passos do diagrama só funcionam porque, antes, alguém subiu os PDFs e o sistema os transformou em trechos pesquisáveis. Esse é um pipeline separado, que roda no upload do documento (</w:t>
      </w:r>
      <w:r>
        <w:rPr>
          <w:rFonts w:ascii="Consolas" w:hAnsi="Consolas"/>
          <w:color w:val="8B1A5A"/>
          <w:sz w:val="19"/>
        </w:rPr>
        <w:t>POST /api/documents</w:t>
      </w:r>
      <w:r>
        <w:t>) e é assíncrono: a rota responde na hora e a indexação segue em segundo plano.</w:t>
      </w:r>
    </w:p>
    <w:p>
      <w:pPr>
        <w:pStyle w:val="ListNumber"/>
        <w:spacing w:after="80"/>
        <w:ind w:left="397"/>
      </w:pPr>
      <w:r>
        <w:t>O PDF é lido página a página (</w:t>
      </w:r>
      <w:r>
        <w:rPr>
          <w:rFonts w:ascii="Consolas" w:hAnsi="Consolas"/>
          <w:color w:val="8B1A5A"/>
          <w:sz w:val="19"/>
        </w:rPr>
        <w:t>PDFLoader</w:t>
      </w:r>
      <w:r>
        <w:t xml:space="preserve"> com </w:t>
      </w:r>
      <w:r>
        <w:rPr>
          <w:rFonts w:ascii="Consolas" w:hAnsi="Consolas"/>
          <w:color w:val="8B1A5A"/>
          <w:sz w:val="19"/>
        </w:rPr>
        <w:t>splitPages: true</w:t>
      </w:r>
      <w:r>
        <w:t>), e as páginas são remontadas preservando a numeração real do arquivo.</w:t>
      </w:r>
    </w:p>
    <w:p>
      <w:pPr>
        <w:pStyle w:val="ListNumber"/>
        <w:spacing w:after="80"/>
        <w:ind w:left="397"/>
      </w:pPr>
      <w:r>
        <w:t>O texto passa por uma limpeza (</w:t>
      </w:r>
      <w:r>
        <w:rPr>
          <w:rFonts w:ascii="Consolas" w:hAnsi="Consolas"/>
          <w:color w:val="8B1A5A"/>
          <w:sz w:val="19"/>
        </w:rPr>
        <w:t>cleanExtractedText</w:t>
      </w:r>
      <w:r>
        <w:t>): junta palavras quebradas por hífen no fim da linha, remove cabeçalhos institucionais e artefatos de paginação, sem apagar marcadores estruturais como "ANEXO VIII-B" ou "CAPÍTULO II".</w:t>
      </w:r>
    </w:p>
    <w:p>
      <w:pPr>
        <w:pStyle w:val="ListNumber"/>
        <w:spacing w:after="80"/>
        <w:ind w:left="397"/>
      </w:pPr>
      <w:r>
        <w:t>Uma máquina de estados (</w:t>
      </w:r>
      <w:r>
        <w:rPr>
          <w:rFonts w:ascii="Consolas" w:hAnsi="Consolas"/>
          <w:color w:val="8B1A5A"/>
          <w:sz w:val="19"/>
        </w:rPr>
        <w:t>splitLegalDocument</w:t>
      </w:r>
      <w:r>
        <w:t xml:space="preserve">) corta o texto pela </w:t>
      </w:r>
      <w:r>
        <w:rPr>
          <w:b/>
        </w:rPr>
        <w:t>estrutura jurídica</w:t>
      </w:r>
      <w:r>
        <w:t xml:space="preserve"> — anexo, capítulo, seção, artigo, item — e não a cada N caracteres. Cada pedaço vira um </w:t>
      </w:r>
      <w:r>
        <w:rPr>
          <w:b/>
        </w:rPr>
        <w:t>pai</w:t>
      </w:r>
      <w:r>
        <w:t xml:space="preserve"> (</w:t>
      </w:r>
      <w:r>
        <w:rPr>
          <w:rFonts w:ascii="Consolas" w:hAnsi="Consolas"/>
          <w:color w:val="8B1A5A"/>
          <w:sz w:val="19"/>
        </w:rPr>
        <w:t>parent_chunks</w:t>
      </w:r>
      <w:r>
        <w:t>), com o cabeçalho a que pertence.</w:t>
      </w:r>
    </w:p>
    <w:p>
      <w:pPr>
        <w:pStyle w:val="ListNumber"/>
        <w:spacing w:after="80"/>
        <w:ind w:left="397"/>
      </w:pPr>
      <w:r>
        <w:t xml:space="preserve">Cada pai é fatiado em </w:t>
      </w:r>
      <w:r>
        <w:rPr>
          <w:b/>
        </w:rPr>
        <w:t>filhos</w:t>
      </w:r>
      <w:r>
        <w:t xml:space="preserve"> de 600 caracteres com 80 de sobreposição. O filho é a unidade de busca; o pai é a unidade de leitura.</w:t>
      </w:r>
    </w:p>
    <w:p>
      <w:pPr>
        <w:pStyle w:val="ListNumber"/>
        <w:spacing w:after="80"/>
        <w:ind w:left="397"/>
      </w:pPr>
      <w:r>
        <w:t xml:space="preserve">Cada filho é convertido em vetor pela API do Gemini, em lotes de 15 com pausa de 10 segundos entre lotes (limite de taxa da API), e gravado em </w:t>
      </w:r>
      <w:r>
        <w:rPr>
          <w:rFonts w:ascii="Consolas" w:hAnsi="Consolas"/>
          <w:color w:val="8B1A5A"/>
          <w:sz w:val="19"/>
        </w:rPr>
        <w:t>documentos_vetorizados</w:t>
      </w:r>
      <w:r>
        <w:t xml:space="preserve"> com o </w:t>
      </w:r>
      <w:r>
        <w:rPr>
          <w:rFonts w:ascii="Consolas" w:hAnsi="Consolas"/>
          <w:color w:val="8B1A5A"/>
          <w:sz w:val="19"/>
        </w:rPr>
        <w:t>parentId</w:t>
      </w:r>
      <w:r>
        <w:t xml:space="preserve"> no metadado.</w:t>
      </w:r>
    </w:p>
    <w:p>
      <w:pPr>
        <w:pStyle w:val="ListNumber"/>
        <w:spacing w:after="80"/>
        <w:ind w:left="397"/>
      </w:pPr>
      <w:r>
        <w:t>A posição de cada trecho dentro do documento (intervalo de caracteres e faixa de páginas) é calculada e gravada — é isso que permite, lá no fim, abrir o PDF na página certa.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EFF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Reindexação</w:t>
            </w:r>
          </w:p>
          <w:p>
            <w:pPr>
              <w:spacing w:after="40"/>
            </w:pPr>
            <w:r>
              <w:rPr>
                <w:sz w:val="20"/>
              </w:rPr>
              <w:t xml:space="preserve">Documentos indexados antes da introdução da localização não têm </w:t>
            </w:r>
            <w:r>
              <w:rPr>
                <w:rFonts w:ascii="Consolas" w:hAnsi="Consolas"/>
                <w:color w:val="8B1A5A"/>
                <w:sz w:val="19"/>
              </w:rPr>
              <w:t>char_start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8B1A5A"/>
                <w:sz w:val="19"/>
              </w:rPr>
              <w:t>page_start</w:t>
            </w:r>
            <w:r>
              <w:rPr>
                <w:sz w:val="20"/>
              </w:rPr>
              <w:t xml:space="preserve">. Eles continuam funcionando normalmente (aparecem como fonte, sem página). Para recalcular a posição sem refazer os embeddings existe </w:t>
            </w:r>
            <w:r>
              <w:rPr>
                <w:rFonts w:ascii="Consolas" w:hAnsi="Consolas"/>
                <w:color w:val="8B1A5A"/>
                <w:sz w:val="19"/>
              </w:rPr>
              <w:t>POST /api/documents/:id/locations/backfill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Os conceitos, antes dos passos</w:t>
      </w:r>
    </w:p>
    <w:p>
      <w:pPr>
        <w:pStyle w:val="Heading2"/>
      </w:pPr>
      <w:r>
        <w:t>Embedding (vetor)</w:t>
      </w:r>
    </w:p>
    <w:p>
      <w:r>
        <w:t xml:space="preserve">Um embedding é uma lista de números que representa o </w:t>
      </w:r>
      <w:r>
        <w:rPr>
          <w:b/>
        </w:rPr>
        <w:t>significado</w:t>
      </w:r>
      <w:r>
        <w:t xml:space="preserve"> de um texto. Textos com sentido parecido recebem listas de números parecidas, mesmo sem compartilhar uma única palavra. É o truque que permite a pergunta "quando o fiscal precisa atestar o serviço?" encontrar um trecho que fala em "recebimento provisório mediante termo circunstanciado".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Quem faz</w:t>
            </w:r>
          </w:p>
        </w:tc>
        <w:tc>
          <w:tcPr>
            <w:tcW w:type="dxa" w:w="532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Como faz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 API do Google Gemini, chamada pela classe </w:t>
            </w:r>
            <w:r>
              <w:rPr>
                <w:rFonts w:ascii="Consolas" w:hAnsi="Consolas"/>
                <w:color w:val="8B1A5A"/>
                <w:sz w:val="19"/>
              </w:rPr>
              <w:t>NativeGeminiEmbeddings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1A5A"/>
                <w:sz w:val="19"/>
              </w:rPr>
              <w:t>src/rag/rag.service.ts:128</w:t>
            </w:r>
            <w:r>
              <w:rPr>
                <w:sz w:val="20"/>
              </w:rPr>
              <w:t>).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 modelo </w:t>
            </w:r>
            <w:r>
              <w:rPr>
                <w:rFonts w:ascii="Consolas" w:hAnsi="Consolas"/>
                <w:color w:val="8B1A5A"/>
                <w:sz w:val="19"/>
              </w:rPr>
              <w:t>gemini-embedding-2</w:t>
            </w:r>
            <w:r>
              <w:rPr>
                <w:sz w:val="20"/>
              </w:rPr>
              <w:t xml:space="preserve"> recebe o texto e devolve o vetor. Na ingestão usa </w:t>
            </w:r>
            <w:r>
              <w:rPr>
                <w:rFonts w:ascii="Consolas" w:hAnsi="Consolas"/>
                <w:color w:val="8B1A5A"/>
                <w:sz w:val="19"/>
              </w:rPr>
              <w:t>embedDocuments</w:t>
            </w:r>
            <w:r>
              <w:rPr>
                <w:sz w:val="20"/>
              </w:rPr>
              <w:t xml:space="preserve"> (lote); na consulta, </w:t>
            </w:r>
            <w:r>
              <w:rPr>
                <w:rFonts w:ascii="Consolas" w:hAnsi="Consolas"/>
                <w:color w:val="8B1A5A"/>
                <w:sz w:val="19"/>
              </w:rPr>
              <w:t>embedQuery</w:t>
            </w:r>
            <w:r>
              <w:rPr>
                <w:sz w:val="20"/>
              </w:rPr>
              <w:t xml:space="preserve"> (um por vez).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EFF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 regra que quebra tudo se for violada</w:t>
            </w:r>
          </w:p>
          <w:p>
            <w:pPr>
              <w:spacing w:after="40"/>
            </w:pPr>
            <w:r>
              <w:rPr>
                <w:sz w:val="20"/>
              </w:rPr>
              <w:t xml:space="preserve">Pergunta e documentos precisam ser vetorizados pelo </w:t>
            </w:r>
            <w:r>
              <w:rPr>
                <w:b/>
                <w:sz w:val="20"/>
              </w:rPr>
              <w:t>mesmo modelo</w:t>
            </w:r>
            <w:r>
              <w:rPr>
                <w:sz w:val="20"/>
              </w:rPr>
              <w:t>. Vetores de modelos diferentes não são comparáveis — a busca não dá erro, ela simplesmente passa a devolver resultados sem sentido. Trocar o modelo de embedding obriga a reindexar todo o acervo.</w:t>
            </w:r>
          </w:p>
        </w:tc>
      </w:tr>
    </w:tbl>
    <w:p>
      <w:pPr>
        <w:spacing w:after="40"/>
      </w:pPr>
    </w:p>
    <w:p>
      <w:pPr>
        <w:pStyle w:val="Heading2"/>
      </w:pPr>
      <w:r>
        <w:t>Busca léxica × busca semântica</w:t>
      </w:r>
    </w:p>
    <w:p>
      <w:r>
        <w:t xml:space="preserve">A busca léxica é o </w:t>
      </w:r>
      <w:r>
        <w:rPr>
          <w:rFonts w:ascii="Consolas" w:hAnsi="Consolas"/>
          <w:color w:val="8B1A5A"/>
          <w:sz w:val="19"/>
        </w:rPr>
        <w:t>Ctrl+F</w:t>
      </w:r>
      <w:r>
        <w:t>: casa palavras. A busca semântica casa significado, comparando vetores. Uma não substitui a outra.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55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Busca léxica</w:t>
            </w:r>
          </w:p>
        </w:tc>
        <w:tc>
          <w:tcPr>
            <w:tcW w:type="dxa" w:w="396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Busca semântica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Acha por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palavras iguais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sentido parecido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Boa em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termos exatos, siglas, números de artigo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perguntas em linguagem natural, sinônimos, paráfrases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Ruim em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sinônimos ("atesto" × "recebimento definitivo")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termos exatos — pode trazer o anexo errado por ser "parecido"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GeFi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entra como filtro auxiliar: quando a pergunta cita "Anexo VIII-B", esse texto é extraído por expressão regular e vira um filtro de metadado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é o mecanismo principal de recuperação</w:t>
            </w:r>
          </w:p>
        </w:tc>
      </w:tr>
    </w:tbl>
    <w:p>
      <w:pPr>
        <w:spacing w:after="40"/>
      </w:pPr>
    </w:p>
    <w:p>
      <w:pPr>
        <w:pStyle w:val="Heading2"/>
      </w:pPr>
      <w:r>
        <w:t>Busca vetorial e distância</w:t>
      </w:r>
    </w:p>
    <w:p>
      <w:r>
        <w:t xml:space="preserve">Busca vetorial é encontrar, dentro de milhares de vetores guardados, os que estão mais </w:t>
      </w:r>
      <w:r>
        <w:rPr>
          <w:b/>
        </w:rPr>
        <w:t>próximos</w:t>
      </w:r>
      <w:r>
        <w:t xml:space="preserve"> do vetor da pergunta. Proximidade aqui é geometria: cada vetor é um ponto num espaço de muitas dimensões, e o banco devolve os vizinhos mais próximos desse ponto.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Quem faz</w:t>
            </w:r>
          </w:p>
        </w:tc>
        <w:tc>
          <w:tcPr>
            <w:tcW w:type="dxa" w:w="532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Como faz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 PostgreSQL com a extensão </w:t>
            </w:r>
            <w:r>
              <w:rPr>
                <w:b/>
                <w:sz w:val="20"/>
              </w:rPr>
              <w:t>pgvector</w:t>
            </w:r>
            <w:r>
              <w:rPr>
                <w:sz w:val="20"/>
              </w:rPr>
              <w:t xml:space="preserve">, acessado pelo </w:t>
            </w:r>
            <w:r>
              <w:rPr>
                <w:rFonts w:ascii="Consolas" w:hAnsi="Consolas"/>
                <w:color w:val="8B1A5A"/>
                <w:sz w:val="19"/>
              </w:rPr>
              <w:t>PGVectorStore</w:t>
            </w:r>
            <w:r>
              <w:rPr>
                <w:sz w:val="20"/>
              </w:rPr>
              <w:t xml:space="preserve"> do LangChain.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 método </w:t>
            </w:r>
            <w:r>
              <w:rPr>
                <w:rFonts w:ascii="Consolas" w:hAnsi="Consolas"/>
                <w:color w:val="8B1A5A"/>
                <w:sz w:val="19"/>
              </w:rPr>
              <w:t>similaritySearchVectorWithScore(vetor, k, filtro)</w:t>
            </w:r>
            <w:r>
              <w:rPr>
                <w:sz w:val="20"/>
              </w:rPr>
              <w:t xml:space="preserve"> traduz a chamada em SQL com o operador de distância do pgvector e devolve os </w:t>
            </w:r>
            <w:r>
              <w:rPr>
                <w:rFonts w:ascii="Consolas" w:hAnsi="Consolas"/>
                <w:color w:val="8B1A5A"/>
                <w:sz w:val="19"/>
              </w:rPr>
              <w:t>k</w:t>
            </w:r>
            <w:r>
              <w:rPr>
                <w:sz w:val="20"/>
              </w:rPr>
              <w:t xml:space="preserve"> filhos mais próximos, cada um com o seu score.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EFF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Armadilha de leitura do código</w:t>
            </w:r>
          </w:p>
          <w:p>
            <w:pPr>
              <w:spacing w:after="40"/>
            </w:pPr>
            <w:r>
              <w:rPr>
                <w:sz w:val="20"/>
              </w:rPr>
              <w:t xml:space="preserve">O </w:t>
            </w:r>
            <w:r>
              <w:rPr>
                <w:rFonts w:ascii="Consolas" w:hAnsi="Consolas"/>
                <w:color w:val="8B1A5A"/>
                <w:sz w:val="19"/>
              </w:rPr>
              <w:t>score</w:t>
            </w:r>
            <w:r>
              <w:rPr>
                <w:sz w:val="20"/>
              </w:rPr>
              <w:t xml:space="preserve"> devolvido é </w:t>
            </w:r>
            <w:r>
              <w:rPr>
                <w:b/>
                <w:sz w:val="20"/>
              </w:rPr>
              <w:t>distância</w:t>
            </w:r>
            <w:r>
              <w:rPr>
                <w:sz w:val="20"/>
              </w:rPr>
              <w:t xml:space="preserve">, não similaridade: </w:t>
            </w:r>
            <w:r>
              <w:rPr>
                <w:b/>
                <w:sz w:val="20"/>
              </w:rPr>
              <w:t>menor é melhor</w:t>
            </w:r>
            <w:r>
              <w:rPr>
                <w:sz w:val="20"/>
              </w:rPr>
              <w:t xml:space="preserve">. Em vários pontos do código o "melhor score" é obtido com </w:t>
            </w:r>
            <w:r>
              <w:rPr>
                <w:rFonts w:ascii="Consolas" w:hAnsi="Consolas"/>
                <w:color w:val="8B1A5A"/>
                <w:sz w:val="19"/>
              </w:rPr>
              <w:t>Math.min</w:t>
            </w:r>
            <w:r>
              <w:rPr>
                <w:sz w:val="20"/>
              </w:rPr>
              <w:t>. Ler como se fosse similaridade inverte todas as prioridades.</w:t>
            </w:r>
          </w:p>
        </w:tc>
      </w:tr>
    </w:tbl>
    <w:p>
      <w:pPr>
        <w:spacing w:after="40"/>
      </w:pPr>
    </w:p>
    <w:p>
      <w:pPr>
        <w:pStyle w:val="Heading2"/>
      </w:pPr>
      <w:r>
        <w:t>Chunk, pai e filho</w:t>
      </w:r>
    </w:p>
    <w:p>
      <w:r>
        <w:t>Chunk é um pedaço do documento. O tamanho do chunk é um dilema: pedaço pequeno dá busca precisa mas contexto insuficiente para responder; pedaço grande dá contexto bom mas busca imprecisa, porque o vetor vira uma média de muitos assuntos.</w:t>
      </w:r>
    </w:p>
    <w:p>
      <w:r>
        <w:t>O GeFi não escolhe um lado — usa os dois tamanhos ao mesmo tempo, e é isso que o próximo conceito resolve.</w:t>
      </w:r>
    </w:p>
    <w:p>
      <w:pPr>
        <w:pStyle w:val="Heading2"/>
      </w:pPr>
      <w:r>
        <w:t>Parent Document Retrieval (a busca acha o filho, o modelo lê o pai)</w:t>
      </w:r>
    </w:p>
    <w:p>
      <w:r>
        <w:t xml:space="preserve">A técnica: vetoriza-se o </w:t>
      </w:r>
      <w:r>
        <w:rPr>
          <w:b/>
        </w:rPr>
        <w:t>filho</w:t>
      </w:r>
      <w:r>
        <w:t xml:space="preserve"> (pequeno, preciso para a busca), mas quando o filho é encontrado, quem vai para o prompt é o </w:t>
      </w:r>
      <w:r>
        <w:rPr>
          <w:b/>
        </w:rPr>
        <w:t>pai</w:t>
      </w:r>
      <w:r>
        <w:t xml:space="preserve"> inteiro (o item normativo completo). O filho é só um ponteiro; ele é descartado depois de cumprir o papel de localizar.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3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3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66"/>
          <w:sz w:val="18"/>
        </w:rPr>
        <w:t>Parent Document Retrieval e expansão de irmãos, com números de item apenas ilustrativos.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Quem faz</w:t>
            </w:r>
          </w:p>
        </w:tc>
        <w:tc>
          <w:tcPr>
            <w:tcW w:type="dxa" w:w="532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Como faz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retrieveParentContexts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1A5A"/>
                <w:sz w:val="19"/>
              </w:rPr>
              <w:t>src/rag/rag.service.ts:1059</w:t>
            </w:r>
            <w:r>
              <w:rPr>
                <w:sz w:val="20"/>
              </w:rPr>
              <w:t>).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Lê o </w:t>
            </w:r>
            <w:r>
              <w:rPr>
                <w:rFonts w:ascii="Consolas" w:hAnsi="Consolas"/>
                <w:color w:val="8B1A5A"/>
                <w:sz w:val="19"/>
              </w:rPr>
              <w:t>parentId</w:t>
            </w:r>
            <w:r>
              <w:rPr>
                <w:sz w:val="20"/>
              </w:rPr>
              <w:t xml:space="preserve"> do metadado de cada filho retornado, elimina repetições preservando a ordem de relevância, busca os pais em </w:t>
            </w:r>
            <w:r>
              <w:rPr>
                <w:rFonts w:ascii="Consolas" w:hAnsi="Consolas"/>
                <w:color w:val="8B1A5A"/>
                <w:sz w:val="19"/>
              </w:rPr>
              <w:t>parent_chunks</w:t>
            </w:r>
            <w:r>
              <w:rPr>
                <w:sz w:val="20"/>
              </w:rPr>
              <w:t xml:space="preserve"> e descarta pais com menos de 80 caracteres (ruído de sumário, cabeçalho solto).</w:t>
            </w:r>
          </w:p>
        </w:tc>
      </w:tr>
    </w:tbl>
    <w:p>
      <w:pPr>
        <w:spacing w:after="40"/>
      </w:pPr>
    </w:p>
    <w:p>
      <w:pPr>
        <w:pStyle w:val="Heading2"/>
      </w:pPr>
      <w:r>
        <w:t>Contextual retrieval (o texto vetorizado não é o texto guardado)</w:t>
      </w:r>
    </w:p>
    <w:p>
      <w:r>
        <w:t>Um item normativo como "10.2. O relatório deverá ser encaminhado em até cinco dias úteis" não diz, no próprio texto, que ele fala de fiscalização de contratos — quem diz isso é o anexo em que ele está. Vetorizado sozinho, o trecho "some" de perguntas que usam o vocabulário do tema.</w:t>
      </w:r>
    </w:p>
    <w:p>
      <w:r>
        <w:t xml:space="preserve">A solução é vetorizar o filho </w:t>
      </w:r>
      <w:r>
        <w:rPr>
          <w:b/>
        </w:rPr>
        <w:t>com um prefixo de contexto estrutural</w:t>
      </w:r>
      <w:r>
        <w:t xml:space="preserve"> (título do documento, cabeçalho do anexo, número do item), mas guardar o texto cru. O prefixo melhora o vetor sem contaminar o que o modelo lê.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Quem faz</w:t>
            </w:r>
          </w:p>
        </w:tc>
        <w:tc>
          <w:tcPr>
            <w:tcW w:type="dxa" w:w="5329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Como faz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buildChunkEmbedText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1A5A"/>
                <w:sz w:val="19"/>
              </w:rPr>
              <w:t>src/rag/rag.service.ts:433</w:t>
            </w:r>
            <w:r>
              <w:rPr>
                <w:sz w:val="20"/>
              </w:rPr>
              <w:t>).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Monta </w:t>
            </w:r>
            <w:r>
              <w:rPr>
                <w:rFonts w:ascii="Consolas" w:hAnsi="Consolas"/>
                <w:color w:val="8B1A5A"/>
                <w:sz w:val="19"/>
              </w:rPr>
              <w:t>Título — Cabeçalho da seção — Item X</w:t>
            </w:r>
            <w:r>
              <w:rPr>
                <w:sz w:val="20"/>
              </w:rPr>
              <w:t xml:space="preserve"> + o conteúdo, e manda </w:t>
            </w:r>
            <w:r>
              <w:rPr>
                <w:b/>
                <w:sz w:val="20"/>
              </w:rPr>
              <w:t>esse</w:t>
            </w:r>
            <w:r>
              <w:rPr>
                <w:sz w:val="20"/>
              </w:rPr>
              <w:t xml:space="preserve"> texto para o embedding. O </w:t>
            </w:r>
            <w:r>
              <w:rPr>
                <w:rFonts w:ascii="Consolas" w:hAnsi="Consolas"/>
                <w:color w:val="8B1A5A"/>
                <w:sz w:val="19"/>
              </w:rPr>
              <w:t>addVectors</w:t>
            </w:r>
            <w:r>
              <w:rPr>
                <w:sz w:val="20"/>
              </w:rPr>
              <w:t xml:space="preserve"> do LangChain permite gravar um vetor calculado de um texto e armazenar outro.</w:t>
            </w:r>
          </w:p>
        </w:tc>
      </w:tr>
    </w:tbl>
    <w:p>
      <w:pPr>
        <w:spacing w:after="40"/>
      </w:pPr>
    </w:p>
    <w:p>
      <w:pPr>
        <w:pStyle w:val="Heading2"/>
      </w:pPr>
      <w:r>
        <w:t>Grounding (ancoragem)</w:t>
      </w:r>
    </w:p>
    <w:p>
      <w:r>
        <w:t>Grounding é a exigência de que toda afirmação da resposta venha de um trecho fornecido — nada de conhecimento próprio do modelo, nada de "geralmente, nesses casos...". No GeFi o grounding é sustentado por três coisas ao mesmo tempo: a instrução explícita no prompt, a conferência final que o prompt manda o modelo fazer antes de responder, e a citação obrigatória do dispositivo. Se nada nos trechos responde, a resposta correta é dizer que não há informação suficiente.</w:t>
      </w:r>
    </w:p>
    <w:p>
      <w:pPr>
        <w:pStyle w:val="Heading2"/>
      </w:pPr>
      <w:r>
        <w:t>Janela de contexto e orçamento</w:t>
      </w:r>
    </w:p>
    <w:p>
      <w:r>
        <w:t>A janela de contexto é o limite de texto que cabe numa chamada ao modelo. Não dá para mandar a norma inteira — e mesmo que coubesse, seria ruim: contexto demais dilui a atenção do modelo e aumenta a chance de ele responder com o trecho errado.</w:t>
      </w:r>
    </w:p>
    <w:p>
      <w:r>
        <w:t xml:space="preserve">Por isso existe um orçamento explícito: no máximo 20 pais e 40.000 caracteres no prompt. Pais muito grandes (acima de 3.500 caracteres) não são cortados pelo começo: aplica-se uma </w:t>
      </w:r>
      <w:r>
        <w:rPr>
          <w:b/>
        </w:rPr>
        <w:t>janela deslizante</w:t>
      </w:r>
      <w:r>
        <w:t xml:space="preserve"> em volta do ponto que casou com a pergunta, marcada com </w:t>
      </w:r>
      <w:r>
        <w:rPr>
          <w:rFonts w:ascii="Consolas" w:hAnsi="Consolas"/>
          <w:color w:val="8B1A5A"/>
          <w:sz w:val="19"/>
        </w:rPr>
        <w:t>[...]</w:t>
      </w:r>
      <w:r>
        <w:t xml:space="preserve"> para o modelo saber que houve corte.</w:t>
      </w:r>
    </w:p>
    <w:p>
      <w:pPr>
        <w:pStyle w:val="Heading1"/>
      </w:pPr>
      <w:r>
        <w:t>A pipeline, passo a passo</w:t>
      </w:r>
    </w:p>
    <w:p>
      <w:pPr>
        <w:pStyle w:val="Heading2"/>
      </w:pPr>
      <w:r>
        <w:t>Passo 1 — Pergunta (Usuário → Frontend)</w:t>
      </w:r>
    </w:p>
    <w:p>
      <w:pPr>
        <w:spacing w:after="60"/>
      </w:pPr>
      <w:r>
        <w:rPr>
          <w:b/>
        </w:rPr>
        <w:t>Onde acontece:</w:t>
      </w:r>
      <w:r>
        <w:t xml:space="preserve"> no navegador, fora deste repositório.</w:t>
      </w:r>
    </w:p>
    <w:p>
      <w:pPr>
        <w:spacing w:after="200"/>
      </w:pPr>
      <w:r>
        <w:rPr>
          <w:b/>
        </w:rPr>
        <w:t>Como acontece:</w:t>
      </w:r>
      <w:r>
        <w:t xml:space="preserve"> O fiscal digita a pergunta dentro de uma conversa. A conversa já existe: ela foi criada antes por </w:t>
      </w:r>
      <w:r>
        <w:rPr>
          <w:rFonts w:ascii="Consolas" w:hAnsi="Consolas"/>
          <w:color w:val="8B1A5A"/>
          <w:sz w:val="19"/>
        </w:rPr>
        <w:t>POST /api/chat/conversations</w:t>
      </w:r>
      <w:r>
        <w:t xml:space="preserve">, e o seu </w:t>
      </w:r>
      <w:r>
        <w:rPr>
          <w:rFonts w:ascii="Consolas" w:hAnsi="Consolas"/>
          <w:color w:val="8B1A5A"/>
          <w:sz w:val="19"/>
        </w:rPr>
        <w:t>conversation_id</w:t>
      </w:r>
      <w:r>
        <w:t xml:space="preserve"> é o que amarra as perguntas em um histórico. O frontend também já tem o token JWT do login guardado.</w:t>
      </w:r>
    </w:p>
    <w:p>
      <w:pPr>
        <w:pStyle w:val="Heading2"/>
      </w:pPr>
      <w:r>
        <w:t>Passo 2 — Requisição API (Frontend → Backend)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POST /api/chat/ask</w:t>
      </w:r>
      <w:r>
        <w:t xml:space="preserve">, tratado por </w:t>
      </w:r>
      <w:r>
        <w:rPr>
          <w:rFonts w:ascii="Consolas" w:hAnsi="Consolas"/>
          <w:color w:val="8B1A5A"/>
          <w:sz w:val="19"/>
        </w:rPr>
        <w:t>ChatController.ask</w:t>
      </w:r>
      <w:r>
        <w:t xml:space="preserve"> (</w:t>
      </w:r>
      <w:r>
        <w:rPr>
          <w:rFonts w:ascii="Consolas" w:hAnsi="Consolas"/>
          <w:color w:val="8B1A5A"/>
          <w:sz w:val="19"/>
        </w:rPr>
        <w:t>src/chat/chat.controller.ts:91</w:t>
      </w:r>
      <w:r>
        <w:t>).</w:t>
      </w:r>
    </w:p>
    <w:p>
      <w:pPr>
        <w:spacing w:after="60"/>
      </w:pPr>
      <w:r>
        <w:rPr>
          <w:b/>
        </w:rPr>
        <w:t>Como acontece:</w:t>
      </w:r>
      <w:r>
        <w:t xml:space="preserve"> O corpo leva </w:t>
      </w:r>
      <w:r>
        <w:rPr>
          <w:rFonts w:ascii="Consolas" w:hAnsi="Consolas"/>
          <w:color w:val="8B1A5A"/>
          <w:sz w:val="19"/>
        </w:rPr>
        <w:t>conversation_id</w:t>
      </w:r>
      <w:r>
        <w:t xml:space="preserve">, </w:t>
      </w:r>
      <w:r>
        <w:rPr>
          <w:rFonts w:ascii="Consolas" w:hAnsi="Consolas"/>
          <w:color w:val="8B1A5A"/>
          <w:sz w:val="19"/>
        </w:rPr>
        <w:t>query</w:t>
      </w:r>
      <w:r>
        <w:t xml:space="preserve"> e, opcionalmente, </w:t>
      </w:r>
      <w:r>
        <w:rPr>
          <w:rFonts w:ascii="Consolas" w:hAnsi="Consolas"/>
          <w:color w:val="8B1A5A"/>
          <w:sz w:val="19"/>
        </w:rPr>
        <w:t>persona</w:t>
      </w:r>
      <w:r>
        <w:t xml:space="preserve">. O cabeçalho leva </w:t>
      </w:r>
      <w:r>
        <w:rPr>
          <w:rFonts w:ascii="Consolas" w:hAnsi="Consolas"/>
          <w:color w:val="8B1A5A"/>
          <w:sz w:val="19"/>
        </w:rPr>
        <w:t>Authorization: Bearer &lt;token&gt;</w:t>
      </w:r>
      <w:r>
        <w:t xml:space="preserve">. Antes de qualquer coisa acontecer, duas verificações: o </w:t>
      </w:r>
      <w:r>
        <w:rPr>
          <w:rFonts w:ascii="Consolas" w:hAnsi="Consolas"/>
          <w:color w:val="8B1A5A"/>
          <w:sz w:val="19"/>
        </w:rPr>
        <w:t>JwtAuthGuard</w:t>
      </w:r>
      <w:r>
        <w:t xml:space="preserve"> valida o token e preenche </w:t>
      </w:r>
      <w:r>
        <w:rPr>
          <w:rFonts w:ascii="Consolas" w:hAnsi="Consolas"/>
          <w:color w:val="8B1A5A"/>
          <w:sz w:val="19"/>
        </w:rPr>
        <w:t>req.user</w:t>
      </w:r>
      <w:r>
        <w:t xml:space="preserve">; em seguida </w:t>
      </w:r>
      <w:r>
        <w:rPr>
          <w:rFonts w:ascii="Consolas" w:hAnsi="Consolas"/>
          <w:color w:val="8B1A5A"/>
          <w:sz w:val="19"/>
        </w:rPr>
        <w:t>validateConversation</w:t>
      </w:r>
      <w:r>
        <w:t xml:space="preserve"> confirma que aquela conversa pertence a esse usuário — conversa de outro usuário responde 403, conversa inexistente responde 404.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>A personalidade da resposta é resolvida em cascata: o que veio na requisição vence; senão, a personalidade fixada na conversa; senão, a preferência salva no perfil; senão, o padrão (</w:t>
            </w:r>
            <w:r>
              <w:rPr>
                <w:rFonts w:ascii="Consolas" w:hAnsi="Consolas"/>
                <w:color w:val="8B1A5A"/>
                <w:sz w:val="19"/>
              </w:rPr>
              <w:t>INSTITUCIONAL</w:t>
            </w:r>
            <w:r>
              <w:rPr>
                <w:sz w:val="20"/>
              </w:rPr>
              <w:t>). Um valor desconhecido — cliente desatualizado, por exemplo — cai no padrão em vez de derrubar a requisição.</w:t>
            </w:r>
          </w:p>
        </w:tc>
      </w:tr>
    </w:tbl>
    <w:p>
      <w:pPr>
        <w:spacing w:after="40"/>
      </w:pPr>
    </w:p>
    <w:p>
      <w:pPr>
        <w:pStyle w:val="Heading2"/>
      </w:pPr>
      <w:r>
        <w:t>Passo 3 — Query (Backend → núcleo RAG)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RagService.query</w:t>
      </w:r>
      <w:r>
        <w:t xml:space="preserve"> (</w:t>
      </w:r>
      <w:r>
        <w:rPr>
          <w:rFonts w:ascii="Consolas" w:hAnsi="Consolas"/>
          <w:color w:val="8B1A5A"/>
          <w:sz w:val="19"/>
        </w:rPr>
        <w:t>src/rag/rag.service.ts:1641</w:t>
      </w:r>
      <w:r>
        <w:t>), chamado pelo controller.</w:t>
      </w:r>
    </w:p>
    <w:p>
      <w:pPr>
        <w:spacing w:after="200"/>
      </w:pPr>
      <w:r>
        <w:rPr>
          <w:b/>
        </w:rPr>
        <w:t>Como acontece:</w:t>
      </w:r>
      <w:r>
        <w:t xml:space="preserve"> O controller não sabe nada sobre RAG: ele entrega a pergunta em texto puro e as três origens de personalidade, e espera de volta a resposta com as fontes. O </w:t>
      </w:r>
      <w:r>
        <w:rPr>
          <w:rFonts w:ascii="Consolas" w:hAnsi="Consolas"/>
          <w:color w:val="8B1A5A"/>
          <w:sz w:val="19"/>
        </w:rPr>
        <w:t>query</w:t>
      </w:r>
      <w:r>
        <w:t xml:space="preserve"> resolve a personalidade e delega a parte pesada — achar o que é relevante — para </w:t>
      </w:r>
      <w:r>
        <w:rPr>
          <w:rFonts w:ascii="Consolas" w:hAnsi="Consolas"/>
          <w:color w:val="8B1A5A"/>
          <w:sz w:val="19"/>
        </w:rPr>
        <w:t>retrieveParentContexts</w:t>
      </w:r>
      <w:r>
        <w:t>.</w:t>
      </w:r>
    </w:p>
    <w:p>
      <w:pPr>
        <w:pStyle w:val="Heading2"/>
      </w:pPr>
      <w:r>
        <w:t>Passo 4 — Embedding da Query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NativeGeminiEmbeddings.embedQuery</w:t>
      </w:r>
      <w:r>
        <w:t xml:space="preserve">, primeira linha de </w:t>
      </w:r>
      <w:r>
        <w:rPr>
          <w:rFonts w:ascii="Consolas" w:hAnsi="Consolas"/>
          <w:color w:val="8B1A5A"/>
          <w:sz w:val="19"/>
        </w:rPr>
        <w:t>retrieveParentContexts</w:t>
      </w:r>
      <w:r>
        <w:t xml:space="preserve"> (</w:t>
      </w:r>
      <w:r>
        <w:rPr>
          <w:rFonts w:ascii="Consolas" w:hAnsi="Consolas"/>
          <w:color w:val="8B1A5A"/>
          <w:sz w:val="19"/>
        </w:rPr>
        <w:t>src/rag/rag.service.ts:1063</w:t>
      </w:r>
      <w:r>
        <w:t>).</w:t>
      </w:r>
    </w:p>
    <w:p>
      <w:pPr>
        <w:spacing w:after="60"/>
      </w:pPr>
      <w:r>
        <w:rPr>
          <w:b/>
        </w:rPr>
        <w:t>Como acontece:</w:t>
      </w:r>
      <w:r>
        <w:t xml:space="preserve"> A pergunta em texto vai para a API do Gemini e volta como vetor. É uma chamada de rede, e é a primeira das </w:t>
      </w:r>
      <w:r>
        <w:rPr>
          <w:b/>
        </w:rPr>
        <w:t>duas</w:t>
      </w:r>
      <w:r>
        <w:t xml:space="preserve"> chamadas externas de toda a consulta (a outra é a geração da resposta, no passo 8). Nenhuma outra etapa usa IA: tudo entre o passo 5 e o passo 7 é SQL e código determinístico.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>Esse vetor precisa ter vindo do mesmo modelo usado na indexação. É por isso que trocar o modelo de embedding é uma decisão cara: obriga a reprocessar o acervo inteiro.</w:t>
            </w:r>
          </w:p>
        </w:tc>
      </w:tr>
    </w:tbl>
    <w:p>
      <w:pPr>
        <w:spacing w:after="40"/>
      </w:pPr>
    </w:p>
    <w:p>
      <w:pPr>
        <w:pStyle w:val="Heading2"/>
      </w:pPr>
      <w:r>
        <w:t>Passo 5 — Consulta Vetores (busca semântica no pgvector)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this.vectorStore.similaritySearchVectorWithScore</w:t>
      </w:r>
      <w:r>
        <w:t xml:space="preserve"> (</w:t>
      </w:r>
      <w:r>
        <w:rPr>
          <w:rFonts w:ascii="Consolas" w:hAnsi="Consolas"/>
          <w:color w:val="8B1A5A"/>
          <w:sz w:val="19"/>
        </w:rPr>
        <w:t>src/rag/rag.service.ts:1086</w:t>
      </w:r>
      <w:r>
        <w:t>).</w:t>
      </w:r>
    </w:p>
    <w:p>
      <w:pPr>
        <w:spacing w:after="60"/>
      </w:pPr>
      <w:r>
        <w:rPr>
          <w:b/>
        </w:rPr>
        <w:t>Como acontece:</w:t>
      </w:r>
      <w:r>
        <w:t xml:space="preserve"> O vetor da pergunta é comparado com os vetores dos filhos e o banco devolve os </w:t>
      </w:r>
      <w:r>
        <w:rPr>
          <w:b/>
        </w:rPr>
        <w:t>12 mais próximos</w:t>
      </w:r>
      <w:r>
        <w:t xml:space="preserve"> (</w:t>
      </w:r>
      <w:r>
        <w:rPr>
          <w:rFonts w:ascii="Consolas" w:hAnsi="Consolas"/>
          <w:color w:val="8B1A5A"/>
          <w:sz w:val="19"/>
        </w:rPr>
        <w:t>RETRIEVAL_FETCH_K</w:t>
      </w:r>
      <w:r>
        <w:t xml:space="preserve">), cada um com a sua distância. Se a pergunta citar explicitamente um anexo — a expressão regular procura algo como "Anexo VIII-B" — a busca é feita com um filtro de metadado </w:t>
      </w:r>
      <w:r>
        <w:rPr>
          <w:rFonts w:ascii="Consolas" w:hAnsi="Consolas"/>
          <w:color w:val="8B1A5A"/>
          <w:sz w:val="19"/>
        </w:rPr>
        <w:t>n1_header</w:t>
      </w:r>
      <w:r>
        <w:t>, para não trazer dispositivo de outro anexo.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 xml:space="preserve">O filtro de anexo usa igualdade exata: "ANEXO VIII" não casa com "ANEXO VIII-B". Se a busca filtrada voltar vazia, o código </w:t>
            </w:r>
            <w:r>
              <w:rPr>
                <w:b/>
                <w:sz w:val="20"/>
              </w:rPr>
              <w:t>refaz a busca sem filtro</w:t>
            </w:r>
            <w:r>
              <w:rPr>
                <w:sz w:val="20"/>
              </w:rPr>
              <w:t xml:space="preserve"> em vez de responder "informação insuficiente" por causa de uma diferença de grafia.</w:t>
            </w:r>
          </w:p>
        </w:tc>
      </w:tr>
    </w:tbl>
    <w:p>
      <w:pPr>
        <w:spacing w:after="40"/>
      </w:pPr>
    </w:p>
    <w:p>
      <w:pPr>
        <w:pStyle w:val="Heading2"/>
      </w:pPr>
      <w:r>
        <w:t>Passo 6 — Trechos Recuperados (do filho para o pai)</w:t>
      </w:r>
    </w:p>
    <w:p>
      <w:pPr>
        <w:spacing w:after="60"/>
      </w:pPr>
      <w:r>
        <w:rPr>
          <w:b/>
        </w:rPr>
        <w:t>Onde acontece:</w:t>
      </w:r>
      <w:r>
        <w:t xml:space="preserve"> ainda em </w:t>
      </w:r>
      <w:r>
        <w:rPr>
          <w:rFonts w:ascii="Consolas" w:hAnsi="Consolas"/>
          <w:color w:val="8B1A5A"/>
          <w:sz w:val="19"/>
        </w:rPr>
        <w:t>retrieveParentContexts</w:t>
      </w:r>
      <w:r>
        <w:t>, logo após a busca.</w:t>
      </w:r>
    </w:p>
    <w:p>
      <w:pPr>
        <w:spacing w:after="60"/>
      </w:pPr>
      <w:r>
        <w:rPr>
          <w:b/>
        </w:rPr>
        <w:t>Como acontece:</w:t>
      </w:r>
      <w:r>
        <w:t xml:space="preserve"> Para cada filho retornado, lê-se o </w:t>
      </w:r>
      <w:r>
        <w:rPr>
          <w:rFonts w:ascii="Consolas" w:hAnsi="Consolas"/>
          <w:color w:val="8B1A5A"/>
          <w:sz w:val="19"/>
        </w:rPr>
        <w:t>parentId</w:t>
      </w:r>
      <w:r>
        <w:t xml:space="preserve">. Pais repetidos são eliminados, mas a </w:t>
      </w:r>
      <w:r>
        <w:rPr>
          <w:b/>
        </w:rPr>
        <w:t>ordem de chegada</w:t>
      </w:r>
      <w:r>
        <w:t xml:space="preserve"> é preservada — ela reflete a relevância. Cada pai guarda o </w:t>
      </w:r>
      <w:r>
        <w:rPr>
          <w:b/>
        </w:rPr>
        <w:t>melhor</w:t>
      </w:r>
      <w:r>
        <w:t xml:space="preserve"> score entre os seus filhos (</w:t>
      </w:r>
      <w:r>
        <w:rPr>
          <w:rFonts w:ascii="Consolas" w:hAnsi="Consolas"/>
          <w:color w:val="8B1A5A"/>
          <w:sz w:val="19"/>
        </w:rPr>
        <w:t>Math.min</w:t>
      </w:r>
      <w:r>
        <w:t xml:space="preserve"> da distância), e os pais são lidos de </w:t>
      </w:r>
      <w:r>
        <w:rPr>
          <w:rFonts w:ascii="Consolas" w:hAnsi="Consolas"/>
          <w:color w:val="8B1A5A"/>
          <w:sz w:val="19"/>
        </w:rPr>
        <w:t>parent_chunks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 xml:space="preserve">Guardar o melhor score, e não o último, já foi um bug real: quando cada filho sobrescrevia o anterior, o pai terminava com a nota do </w:t>
            </w:r>
            <w:r>
              <w:rPr>
                <w:b/>
                <w:sz w:val="20"/>
              </w:rPr>
              <w:t>pior</w:t>
            </w:r>
            <w:r>
              <w:rPr>
                <w:sz w:val="20"/>
              </w:rPr>
              <w:t xml:space="preserve"> filho recuperado, invertendo a prioridade nas etapas seguintes.</w:t>
            </w:r>
          </w:p>
        </w:tc>
      </w:tr>
    </w:tbl>
    <w:p>
      <w:pPr>
        <w:spacing w:after="40"/>
      </w:pPr>
    </w:p>
    <w:p>
      <w:pPr>
        <w:pStyle w:val="Heading2"/>
      </w:pPr>
      <w:r>
        <w:t>Passo 7 — Recuperação de Contexto (expansão hierárquica)</w:t>
      </w:r>
    </w:p>
    <w:p>
      <w:pPr>
        <w:spacing w:after="60"/>
      </w:pPr>
      <w:r>
        <w:rPr>
          <w:b/>
        </w:rPr>
        <w:t>Onde acontece:</w:t>
      </w:r>
      <w:r>
        <w:t xml:space="preserve"> a parte mais longa de </w:t>
      </w:r>
      <w:r>
        <w:rPr>
          <w:rFonts w:ascii="Consolas" w:hAnsi="Consolas"/>
          <w:color w:val="8B1A5A"/>
          <w:sz w:val="19"/>
        </w:rPr>
        <w:t>retrieveParentContexts</w:t>
      </w:r>
      <w:r>
        <w:t xml:space="preserve"> (</w:t>
      </w:r>
      <w:r>
        <w:rPr>
          <w:rFonts w:ascii="Consolas" w:hAnsi="Consolas"/>
          <w:color w:val="8B1A5A"/>
          <w:sz w:val="19"/>
        </w:rPr>
        <w:t>src/rag/rag.service.ts:1059-1620</w:t>
      </w:r>
      <w:r>
        <w:t xml:space="preserve">), apoiada por </w:t>
      </w:r>
      <w:r>
        <w:rPr>
          <w:rFonts w:ascii="Consolas" w:hAnsi="Consolas"/>
          <w:color w:val="8B1A5A"/>
          <w:sz w:val="19"/>
        </w:rPr>
        <w:t>src/rag/hierarchical-context.ts</w:t>
      </w:r>
      <w:r>
        <w:t>.</w:t>
      </w:r>
    </w:p>
    <w:p>
      <w:pPr>
        <w:spacing w:after="200"/>
      </w:pPr>
      <w:r>
        <w:rPr>
          <w:b/>
        </w:rPr>
        <w:t>Como acontece:</w:t>
      </w:r>
      <w:r>
        <w:t xml:space="preserve"> Aqui o sistema deixa de "buscar" e passa a </w:t>
      </w:r>
      <w:r>
        <w:rPr>
          <w:b/>
        </w:rPr>
        <w:t>montar</w:t>
      </w:r>
      <w:r>
        <w:t xml:space="preserve"> o contexto. A busca vetorial acha o item 10.2; mas quem lê a norma sabe que a resposta completa costuma estar em 10.1 e 10.3 também, ou nos subitens 10.2.1 e 10.2.2. Essa etapa reconstrói a vizinhança normativa, por regras determinísticas — sem nenhuma chamada de IA. Ela está detalhada na próxima seção.</w:t>
      </w:r>
    </w:p>
    <w:p>
      <w:pPr>
        <w:pStyle w:val="Heading2"/>
      </w:pPr>
      <w:r>
        <w:t>Passo 8 — Prompt + Contexto + Query (chamada ao LLM)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buildRagPrompt</w:t>
      </w:r>
      <w:r>
        <w:t xml:space="preserve"> (</w:t>
      </w:r>
      <w:r>
        <w:rPr>
          <w:rFonts w:ascii="Consolas" w:hAnsi="Consolas"/>
          <w:color w:val="8B1A5A"/>
          <w:sz w:val="19"/>
        </w:rPr>
        <w:t>src/rag/rag.service.ts:448</w:t>
      </w:r>
      <w:r>
        <w:t xml:space="preserve">) monta o texto; </w:t>
      </w:r>
      <w:r>
        <w:rPr>
          <w:rFonts w:ascii="Consolas" w:hAnsi="Consolas"/>
          <w:color w:val="8B1A5A"/>
          <w:sz w:val="19"/>
        </w:rPr>
        <w:t>this.llm.invoke(prompt)</w:t>
      </w:r>
      <w:r>
        <w:t xml:space="preserve"> faz a chamada.</w:t>
      </w:r>
    </w:p>
    <w:p>
      <w:pPr>
        <w:spacing w:after="60"/>
      </w:pPr>
      <w:r>
        <w:rPr>
          <w:b/>
        </w:rPr>
        <w:t>Como acontece:</w:t>
      </w:r>
      <w:r>
        <w:t xml:space="preserve"> O prompt final tem quatro partes: as regras fixas (estrutura da resposta, fidelidade, formato de citação, conferência final), as contribuições da personalidade escolhida, o bloco de trechos anotados e, por último, a pergunta. Os trechos vão separados em dois grupos: os </w:t>
      </w:r>
      <w:r>
        <w:rPr>
          <w:b/>
        </w:rPr>
        <w:t>centrais</w:t>
      </w:r>
      <w:r>
        <w:t xml:space="preserve"> (vieram da busca ou são seus descendentes) e o </w:t>
      </w:r>
      <w:r>
        <w:rPr>
          <w:b/>
        </w:rPr>
        <w:t>material de apoio</w:t>
      </w:r>
      <w:r>
        <w:t xml:space="preserve"> (irmãos trazidos pela expansão), rotulado para não virar tópico próprio na resposta. O modelo é o </w:t>
      </w:r>
      <w:r>
        <w:rPr>
          <w:rFonts w:ascii="Consolas" w:hAnsi="Consolas"/>
          <w:color w:val="8B1A5A"/>
          <w:sz w:val="19"/>
        </w:rPr>
        <w:t>gemini-3.6-flash</w:t>
      </w:r>
      <w:r>
        <w:t xml:space="preserve">, com </w:t>
      </w:r>
      <w:r>
        <w:rPr>
          <w:rFonts w:ascii="Consolas" w:hAnsi="Consolas"/>
          <w:color w:val="8B1A5A"/>
          <w:sz w:val="19"/>
        </w:rPr>
        <w:t>temperature: 0.3</w:t>
      </w:r>
      <w:r>
        <w:t xml:space="preserve">, </w:t>
      </w:r>
      <w:r>
        <w:rPr>
          <w:rFonts w:ascii="Consolas" w:hAnsi="Consolas"/>
          <w:color w:val="8B1A5A"/>
          <w:sz w:val="19"/>
        </w:rPr>
        <w:t>maxOutputTokens: 8192</w:t>
      </w:r>
      <w:r>
        <w:t xml:space="preserve"> e um teto de "pensamento" de 2.048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 xml:space="preserve">A temperatura era 0.1 e foi aumentada de propósito. Com o texto da norma dentro do contexto, decodificação quase-gulosa torna </w:t>
            </w:r>
            <w:r>
              <w:rPr>
                <w:b/>
                <w:sz w:val="20"/>
              </w:rPr>
              <w:t>copiar o trecho</w:t>
            </w:r>
            <w:r>
              <w:rPr>
                <w:sz w:val="20"/>
              </w:rPr>
              <w:t xml:space="preserve"> a continuação mais provável — ou seja, o próprio parâmetro empurrava para o problema das respostas literais. A fidelidade é garantida pelo grounding e pela conferência final do prompt, não pela temperatura.</w:t>
            </w:r>
          </w:p>
        </w:tc>
      </w:tr>
    </w:tbl>
    <w:p>
      <w:pPr>
        <w:spacing w:after="40"/>
      </w:pPr>
    </w:p>
    <w:p>
      <w:pPr>
        <w:pStyle w:val="Heading2"/>
      </w:pPr>
      <w:r>
        <w:t>Passo 9 — Resposta Formatada (LLM → Backend)</w:t>
      </w:r>
    </w:p>
    <w:p>
      <w:pPr>
        <w:spacing w:after="60"/>
      </w:pPr>
      <w:r>
        <w:rPr>
          <w:b/>
        </w:rPr>
        <w:t>Onde acontece:</w:t>
      </w:r>
      <w:r>
        <w:t xml:space="preserve"> de volta em </w:t>
      </w:r>
      <w:r>
        <w:rPr>
          <w:rFonts w:ascii="Consolas" w:hAnsi="Consolas"/>
          <w:color w:val="8B1A5A"/>
          <w:sz w:val="19"/>
        </w:rPr>
        <w:t>RagService.query</w:t>
      </w:r>
      <w:r>
        <w:t>.</w:t>
      </w:r>
    </w:p>
    <w:p>
      <w:pPr>
        <w:spacing w:after="60"/>
      </w:pPr>
      <w:r>
        <w:rPr>
          <w:b/>
        </w:rPr>
        <w:t>Como acontece:</w:t>
      </w:r>
      <w:r>
        <w:t xml:space="preserve"> O texto é extraído da resposta (que pode vir como string ou como lista de partes) e o </w:t>
      </w:r>
      <w:r>
        <w:rPr>
          <w:rFonts w:ascii="Consolas" w:hAnsi="Consolas"/>
          <w:color w:val="8B1A5A"/>
          <w:sz w:val="19"/>
        </w:rPr>
        <w:t>finishReason</w:t>
      </w:r>
      <w:r>
        <w:t xml:space="preserve"> é inspecionado. Três situações são tratadas de forma diferente, de propósito: </w:t>
      </w:r>
      <w:r>
        <w:rPr>
          <w:b/>
        </w:rPr>
        <w:t>falha técnica</w:t>
      </w:r>
      <w:r>
        <w:t xml:space="preserve"> na chamada gera uma mensagem de erro transitório; </w:t>
      </w:r>
      <w:r>
        <w:rPr>
          <w:b/>
        </w:rPr>
        <w:t>resposta vazia</w:t>
      </w:r>
      <w:r>
        <w:t xml:space="preserve"> gera a mensagem de informação insuficiente; </w:t>
      </w:r>
      <w:r>
        <w:rPr>
          <w:b/>
        </w:rPr>
        <w:t>corte por limite de tokens</w:t>
      </w:r>
      <w:r>
        <w:t xml:space="preserve"> (</w:t>
      </w:r>
      <w:r>
        <w:rPr>
          <w:rFonts w:ascii="Consolas" w:hAnsi="Consolas"/>
          <w:color w:val="8B1A5A"/>
          <w:sz w:val="19"/>
        </w:rPr>
        <w:t>MAX_TOKENS</w:t>
      </w:r>
      <w:r>
        <w:t>) devolve o texto com um aviso de que pode estar incompleto.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>Confundir falha de infraestrutura com ausência de informação na norma seria grave: o fiscal concluiria que a norma é silenciosa sobre o assunto quando, na verdade, a API caiu.</w:t>
            </w:r>
          </w:p>
        </w:tc>
      </w:tr>
    </w:tbl>
    <w:p>
      <w:pPr>
        <w:spacing w:after="40"/>
      </w:pPr>
    </w:p>
    <w:p>
      <w:pPr>
        <w:pStyle w:val="Heading2"/>
      </w:pPr>
      <w:r>
        <w:t>Passo 10 — Retorno da API (Backend → Frontend)</w:t>
      </w:r>
    </w:p>
    <w:p>
      <w:pPr>
        <w:spacing w:after="60"/>
      </w:pPr>
      <w:r>
        <w:rPr>
          <w:b/>
        </w:rPr>
        <w:t>Onde acontece:</w:t>
      </w:r>
      <w:r>
        <w:t xml:space="preserve"> </w:t>
      </w:r>
      <w:r>
        <w:rPr>
          <w:rFonts w:ascii="Consolas" w:hAnsi="Consolas"/>
          <w:color w:val="8B1A5A"/>
          <w:sz w:val="19"/>
        </w:rPr>
        <w:t>RagService.query</w:t>
      </w:r>
      <w:r>
        <w:t xml:space="preserve"> monta as fontes e persiste; o controller devolve o JSON.</w:t>
      </w:r>
    </w:p>
    <w:p>
      <w:pPr>
        <w:spacing w:after="60"/>
      </w:pPr>
      <w:r>
        <w:rPr>
          <w:b/>
        </w:rPr>
        <w:t>Como acontece:</w:t>
      </w:r>
      <w:r>
        <w:t xml:space="preserve"> Antes de responder, </w:t>
      </w:r>
      <w:r>
        <w:rPr>
          <w:rFonts w:ascii="Consolas" w:hAnsi="Consolas"/>
          <w:color w:val="8B1A5A"/>
          <w:sz w:val="19"/>
        </w:rPr>
        <w:t>buildResponseSources</w:t>
      </w:r>
      <w:r>
        <w:t xml:space="preserve"> transforma os trechos usados em um registro por </w:t>
      </w:r>
      <w:r>
        <w:rPr>
          <w:b/>
        </w:rPr>
        <w:t>documento</w:t>
      </w:r>
      <w:r>
        <w:t xml:space="preserve">, cada um com os seus trechos, a citação formatada (por exemplo "Item 10.2 – ANEXO VIII-B – IN 05/2017"), a localização (intervalo de páginas e de caracteres, quando os dados sustentam) e três links: visualizar, baixar e ler o conteúdo em texto. Tudo isso é gravado junto com a interação, em </w:t>
      </w:r>
      <w:r>
        <w:rPr>
          <w:rFonts w:ascii="Consolas" w:hAnsi="Consolas"/>
          <w:color w:val="8B1A5A"/>
          <w:sz w:val="19"/>
        </w:rPr>
        <w:t>response_source_excerpts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 xml:space="preserve">A persistência é o que garante que </w:t>
            </w:r>
            <w:r>
              <w:rPr>
                <w:b/>
                <w:sz w:val="20"/>
              </w:rPr>
              <w:t>reabrir a conversa amanhã mostre exatamente as mesmas fontes</w:t>
            </w:r>
            <w:r>
              <w:rPr>
                <w:sz w:val="20"/>
              </w:rPr>
              <w:t xml:space="preserve"> — nada é recuperado de novo, e uma mudança futura no acervo não reescreve o passado.</w:t>
            </w:r>
          </w:p>
        </w:tc>
      </w:tr>
    </w:tbl>
    <w:p>
      <w:pPr>
        <w:spacing w:after="40"/>
      </w:pPr>
    </w:p>
    <w:p>
      <w:pPr>
        <w:pStyle w:val="Heading2"/>
      </w:pPr>
      <w:r>
        <w:t>Passo 11 — Resposta Ancorada (Frontend → Usuário)</w:t>
      </w:r>
    </w:p>
    <w:p>
      <w:pPr>
        <w:spacing w:after="60"/>
      </w:pPr>
      <w:r>
        <w:rPr>
          <w:b/>
        </w:rPr>
        <w:t>Onde acontece:</w:t>
      </w:r>
      <w:r>
        <w:t xml:space="preserve"> no navegador.</w:t>
      </w:r>
    </w:p>
    <w:p>
      <w:pPr>
        <w:spacing w:after="60"/>
      </w:pPr>
      <w:r>
        <w:rPr>
          <w:b/>
        </w:rPr>
        <w:t>Como acontece:</w:t>
      </w:r>
      <w:r>
        <w:t xml:space="preserve"> A interface renderiza o texto e a lista de fontes. Clicar em uma fonte abre o documento; como o visualizador embutido não manda cabeçalho de autorização, o frontend pede antes um token de escopo restrito (</w:t>
      </w:r>
      <w:r>
        <w:rPr>
          <w:rFonts w:ascii="Consolas" w:hAnsi="Consolas"/>
          <w:color w:val="8B1A5A"/>
          <w:sz w:val="19"/>
        </w:rPr>
        <w:t>POST /api/documents/:id/access-token</w:t>
      </w:r>
      <w:r>
        <w:t>), válido por 10 minutos e apenas para aquele documento. A página de abertura vem da localização do trecho.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Detalhe que costuma confundir</w:t>
            </w:r>
          </w:p>
          <w:p>
            <w:pPr>
              <w:spacing w:after="40"/>
            </w:pPr>
            <w:r>
              <w:rPr>
                <w:sz w:val="20"/>
              </w:rPr>
              <w:t xml:space="preserve">A cadeia completa é: </w:t>
            </w:r>
            <w:r>
              <w:rPr>
                <w:b/>
                <w:sz w:val="20"/>
              </w:rPr>
              <w:t>resposta → fonte → documento → trecho → posição</w:t>
            </w:r>
            <w:r>
              <w:rPr>
                <w:sz w:val="20"/>
              </w:rPr>
              <w:t>. Quando a posição não pode ser sustentada pelos dados (documento indexado antes da localização, ou trecho que não foi localizado com segurança), a fonte aparece do mesmo jeito, só que sem página. O sistema nunca "chuta" uma página.</w:t>
            </w:r>
          </w:p>
        </w:tc>
      </w:tr>
    </w:tbl>
    <w:p>
      <w:pPr>
        <w:spacing w:after="40"/>
      </w:pPr>
    </w:p>
    <w:p>
      <w:pPr>
        <w:pStyle w:val="Heading1"/>
      </w:pPr>
      <w:r>
        <w:t>Zoom no passo 7: o que a expansão de contexto faz, em ordem</w:t>
      </w:r>
    </w:p>
    <w:p>
      <w:r>
        <w:t>Esta é a etapa que mais diferencia o GeFi de um RAG genérico, e a que mais compensa entender bem. Tudo aqui é determinístico: consultas SQL e regras sobre a numeração dos itens.</w:t>
      </w:r>
    </w:p>
    <w:p>
      <w:pPr>
        <w:pStyle w:val="ListNumber"/>
        <w:spacing w:after="80"/>
        <w:ind w:left="397"/>
      </w:pPr>
      <w:r>
        <w:rPr>
          <w:b/>
        </w:rPr>
        <w:t>Expansão de irmãos.</w:t>
      </w:r>
      <w:r>
        <w:t xml:space="preserve"> Se o item 10.2 foi recuperado, busca-se 10.1, 10.3 etc. — no mesmo documento e no mesmo anexo, no mesmo nível de numeração. Entram no máximo 3 por grupo (</w:t>
      </w:r>
      <w:r>
        <w:rPr>
          <w:rFonts w:ascii="Consolas" w:hAnsi="Consolas"/>
          <w:color w:val="8B1A5A"/>
          <w:sz w:val="19"/>
        </w:rPr>
        <w:t>MAX_SIBLINGS_PER_GROUP</w:t>
      </w:r>
      <w:r>
        <w:t xml:space="preserve">), escolhidos pela </w:t>
      </w:r>
      <w:r>
        <w:rPr>
          <w:b/>
        </w:rPr>
        <w:t>proximidade numérica</w:t>
      </w:r>
      <w:r>
        <w:t xml:space="preserve"> dos itens que a busca achou: 10.1 e 10.3 antes de 10.9.</w:t>
      </w:r>
    </w:p>
    <w:p>
      <w:pPr>
        <w:pStyle w:val="ListNumber"/>
        <w:spacing w:after="80"/>
        <w:ind w:left="397"/>
      </w:pPr>
      <w:r>
        <w:rPr>
          <w:b/>
        </w:rPr>
        <w:t>Expansão descendente.</w:t>
      </w:r>
      <w:r>
        <w:t xml:space="preserve"> Se o item recuperado tem subitens (10.2.1, 10.2.2...), eles são trazidos — até 12 por item (</w:t>
      </w:r>
      <w:r>
        <w:rPr>
          <w:rFonts w:ascii="Consolas" w:hAnsi="Consolas"/>
          <w:color w:val="8B1A5A"/>
          <w:sz w:val="19"/>
        </w:rPr>
        <w:t>MAX_DESCENDANTS_PER_ITEM</w:t>
      </w:r>
      <w:r>
        <w:t>). Um item "pai" costuma enunciar a regra e os subitens costumam ter as condições, que é justamente o que o fiscal precisa.</w:t>
      </w:r>
    </w:p>
    <w:p>
      <w:pPr>
        <w:pStyle w:val="ListNumber"/>
        <w:spacing w:after="80"/>
        <w:ind w:left="397"/>
      </w:pPr>
      <w:r>
        <w:rPr>
          <w:b/>
        </w:rPr>
        <w:t>Poda de contaminação.</w:t>
      </w:r>
      <w:r>
        <w:t xml:space="preserve"> Trechos de anexos diferentes do que a pergunta trata são removidos, para a resposta não misturar regimes.</w:t>
      </w:r>
    </w:p>
    <w:p>
      <w:pPr>
        <w:pStyle w:val="ListNumber"/>
        <w:spacing w:after="80"/>
        <w:ind w:left="397"/>
      </w:pPr>
      <w:r>
        <w:rPr>
          <w:b/>
        </w:rPr>
        <w:t>Classificação por proveniência.</w:t>
      </w:r>
      <w:r>
        <w:t xml:space="preserve"> Cada trecho recebe um rótulo: </w:t>
      </w:r>
      <w:r>
        <w:rPr>
          <w:rFonts w:ascii="Consolas" w:hAnsi="Consolas"/>
          <w:color w:val="8B1A5A"/>
          <w:sz w:val="19"/>
        </w:rPr>
        <w:t>HIT</w:t>
      </w:r>
      <w:r>
        <w:t xml:space="preserve"> (veio direto da busca), </w:t>
      </w:r>
      <w:r>
        <w:rPr>
          <w:rFonts w:ascii="Consolas" w:hAnsi="Consolas"/>
          <w:color w:val="8B1A5A"/>
          <w:sz w:val="19"/>
        </w:rPr>
        <w:t>DESCENDANT</w:t>
      </w:r>
      <w:r>
        <w:t xml:space="preserve"> (subitem de um hit) ou </w:t>
      </w:r>
      <w:r>
        <w:rPr>
          <w:rFonts w:ascii="Consolas" w:hAnsi="Consolas"/>
          <w:color w:val="8B1A5A"/>
          <w:sz w:val="19"/>
        </w:rPr>
        <w:t>SIBLING</w:t>
      </w:r>
      <w:r>
        <w:t xml:space="preserve"> (irmão trazido pela expansão). Os dois primeiros viram </w:t>
      </w:r>
      <w:r>
        <w:rPr>
          <w:rFonts w:ascii="Consolas" w:hAnsi="Consolas"/>
          <w:color w:val="8B1A5A"/>
          <w:sz w:val="19"/>
        </w:rPr>
        <w:t>PRINCIPAL</w:t>
      </w:r>
      <w:r>
        <w:t xml:space="preserve">; o irmão vira </w:t>
      </w:r>
      <w:r>
        <w:rPr>
          <w:rFonts w:ascii="Consolas" w:hAnsi="Consolas"/>
          <w:color w:val="8B1A5A"/>
          <w:sz w:val="19"/>
        </w:rPr>
        <w:t>COMPLEMENTAR</w:t>
      </w:r>
      <w:r>
        <w:t>.</w:t>
      </w:r>
    </w:p>
    <w:p>
      <w:pPr>
        <w:pStyle w:val="ListNumber"/>
        <w:spacing w:after="80"/>
        <w:ind w:left="397"/>
      </w:pPr>
      <w:r>
        <w:rPr>
          <w:b/>
        </w:rPr>
        <w:t>Ordenação.</w:t>
      </w:r>
      <w:r>
        <w:t xml:space="preserve"> Os trechos são ordenados de forma que o material central venha primeiro e os itens apareçam na ordem da norma, não na ordem aleatória em que o banco devolveu.</w:t>
      </w:r>
    </w:p>
    <w:p>
      <w:pPr>
        <w:pStyle w:val="ListNumber"/>
        <w:spacing w:after="80"/>
        <w:ind w:left="397"/>
      </w:pPr>
      <w:r>
        <w:rPr>
          <w:b/>
        </w:rPr>
        <w:t>Orçamento.</w:t>
      </w:r>
      <w:r>
        <w:t xml:space="preserve"> Aplica-se o teto de 20 pais e 40.000 caracteres. O que não couber fica de fora, começando pelo que tem pior score.</w:t>
      </w:r>
    </w:p>
    <w:p>
      <w:pPr>
        <w:pStyle w:val="ListNumber"/>
        <w:spacing w:after="80"/>
        <w:ind w:left="397"/>
      </w:pPr>
      <w:r>
        <w:rPr>
          <w:b/>
        </w:rPr>
        <w:t>Janela deslizante.</w:t>
      </w:r>
      <w:r>
        <w:t xml:space="preserve"> Pais acima de 3.500 caracteres são recortados em volta do ponto que casou com a pergunta (cerca de 1.200 caracteres antes e 2.400 depois), ajustando o corte para a fronteira de frase mais próxima e marcando com </w:t>
      </w:r>
      <w:r>
        <w:rPr>
          <w:rFonts w:ascii="Consolas" w:hAnsi="Consolas"/>
          <w:color w:val="8B1A5A"/>
          <w:sz w:val="19"/>
        </w:rPr>
        <w:t>[...]</w:t>
      </w:r>
      <w:r>
        <w:t xml:space="preserve">. Pais menores entram </w:t>
      </w:r>
      <w:r>
        <w:rPr>
          <w:b/>
        </w:rPr>
        <w:t>inteiros</w:t>
      </w:r>
      <w:r>
        <w:t xml:space="preserve"> — truncar justamente o trecho mais relevante era uma causa conhecida de resposta incompleta.</w:t>
      </w:r>
    </w:p>
    <w:p>
      <w:pPr>
        <w:pStyle w:val="ListNumber"/>
        <w:spacing w:after="80"/>
        <w:ind w:left="397"/>
      </w:pPr>
      <w:r>
        <w:rPr>
          <w:b/>
        </w:rPr>
        <w:t>Anotação.</w:t>
      </w:r>
      <w:r>
        <w:t xml:space="preserve"> Cada trecho recebe o rótulo estrutural que vai aparecer no prompt e, depois, virar a citação da fonte.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EFF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 ideia por trás de tudo isso</w:t>
            </w:r>
          </w:p>
          <w:p>
            <w:pPr>
              <w:spacing w:after="40"/>
            </w:pPr>
            <w:r>
              <w:rPr>
                <w:sz w:val="20"/>
              </w:rPr>
              <w:t xml:space="preserve">A busca vetorial é boa em achar </w:t>
            </w:r>
            <w:r>
              <w:rPr>
                <w:b/>
                <w:sz w:val="20"/>
              </w:rPr>
              <w:t>um</w:t>
            </w:r>
            <w:r>
              <w:rPr>
                <w:sz w:val="20"/>
              </w:rPr>
              <w:t xml:space="preserve"> ponto de entrada e ruim em garantir </w:t>
            </w:r>
            <w:r>
              <w:rPr>
                <w:b/>
                <w:sz w:val="20"/>
              </w:rPr>
              <w:t>cobertura</w:t>
            </w:r>
            <w:r>
              <w:rPr>
                <w:sz w:val="20"/>
              </w:rPr>
              <w:t>. A expansão hierárquica compensa essa fraqueza usando o que a busca vetorial não sabe: que uma norma tem estrutura, e que itens vizinhos se completam. E faz isso sem nenhuma chamada extra de IA — o que significa custo zero de API e resultado reproduzível.</w:t>
            </w:r>
          </w:p>
        </w:tc>
      </w:tr>
    </w:tbl>
    <w:p>
      <w:pPr>
        <w:spacing w:after="40"/>
      </w:pPr>
    </w:p>
    <w:p>
      <w:pPr>
        <w:pStyle w:val="Heading1"/>
      </w:pPr>
      <w:r>
        <w:t>As personalidades, e o que elas não mudam</w:t>
      </w:r>
    </w:p>
    <w:p>
      <w:r>
        <w:t xml:space="preserve">Existem duas personalidades: </w:t>
      </w:r>
      <w:r>
        <w:rPr>
          <w:rFonts w:ascii="Consolas" w:hAnsi="Consolas"/>
          <w:color w:val="8B1A5A"/>
          <w:sz w:val="19"/>
        </w:rPr>
        <w:t>INSTITUCIONAL</w:t>
      </w:r>
      <w:r>
        <w:t xml:space="preserve"> (padrão, tom impessoal e formal) e </w:t>
      </w:r>
      <w:r>
        <w:rPr>
          <w:rFonts w:ascii="Consolas" w:hAnsi="Consolas"/>
          <w:color w:val="8B1A5A"/>
          <w:sz w:val="19"/>
        </w:rPr>
        <w:t>CORDIAL</w:t>
      </w:r>
      <w:r>
        <w:t xml:space="preserve"> (mais próximo, ainda formal). A escolha pode vir da requisição, da conversa ou da preferência do usuário, nessa ordem de precedência.</w:t>
      </w:r>
    </w:p>
    <w:p>
      <w:r>
        <w:t xml:space="preserve">O ponto importante para estudo: a personalidade contribui com </w:t>
      </w:r>
      <w:r>
        <w:rPr>
          <w:b/>
        </w:rPr>
        <w:t>quatro</w:t>
      </w:r>
      <w:r>
        <w:t xml:space="preserve"> blocos do prompt — registro de linguagem, linha de abertura, condução do modo procedimental e a linha de registro da conferência final. Ela </w:t>
      </w:r>
      <w:r>
        <w:rPr>
          <w:b/>
        </w:rPr>
        <w:t>não</w:t>
      </w:r>
      <w:r>
        <w:t xml:space="preserve"> altera a estrutura da resposta, a seleção dos trechos, a exigência de cobertura, a fidelidade ao texto nem o formato da citação. Trocar de personalidade muda como a resposta soa, nunca o que ela afirma.</w:t>
      </w:r>
    </w:p>
    <w:p>
      <w:pPr>
        <w:pStyle w:val="Heading1"/>
      </w:pPr>
      <w:r>
        <w:t>Parâmetros que dá para mexer (e o efeito de mexer)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1474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2"/>
            <w:shd w:val="clear" w:fill="4A4A8A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 que acontece se aumentar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RETRIEVAL_FETCH_K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mais filhos candidatos: melhora o recall, aumenta o risco de trazer assunto vizinho irrelevante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CHILD_CHUNK_SIZE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8B1A5A"/>
                <w:sz w:val="19"/>
              </w:rPr>
              <w:t>OVERLAP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600 / 80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filhos maiores: vetor menos preciso, menos chamadas de embedding na ingestão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MIN_PARENT_CONTENT_LENGTH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80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descarta mais fragmentos curtos: menos ruído, risco de perder item legítimo curto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MAX_SIBLINGS_PER_GROUP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mais vizinhos no contexto: melhor cobertura, consome orçamento de trechos centrais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MAX_DESCENDANTS_PER_ITEM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mais subitens: bom para enumerações longas, pior para o orçamento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MAX_EXPANDED_PARENTS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8B1A5A"/>
                <w:sz w:val="19"/>
              </w:rPr>
              <w:t>CHARS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20 / 40.000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prompt maior: mais contexto, mais custo e mais diluição da atenção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SLIDING_WINDOW_MIN_PARENT_LENGTH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3.500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mais pais entram inteiros: menos corte, prompt maior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temperature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0.3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redação mais livre e menos literal; passando muito disso, aumenta o risco de imprecisão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8B1A5A"/>
                <w:sz w:val="19"/>
              </w:rPr>
              <w:t>EMBEDDING_BATCH_SIZE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8B1A5A"/>
                <w:sz w:val="19"/>
              </w:rPr>
              <w:t>DELAY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15 / 10s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ingestão mais rápida, mais risco de estourar a cota da API (429)</w:t>
            </w:r>
          </w:p>
        </w:tc>
      </w:tr>
    </w:tbl>
    <w:p>
      <w:pPr>
        <w:spacing w:after="40"/>
      </w:pPr>
    </w:p>
    <w:p>
      <w:pPr>
        <w:pStyle w:val="Heading1"/>
      </w:pPr>
      <w:r>
        <w:t>Cinco armadilhas ao ler o código</w:t>
      </w:r>
    </w:p>
    <w:p>
      <w:pPr>
        <w:pStyle w:val="ListBullet"/>
        <w:spacing w:after="80"/>
        <w:ind w:left="397"/>
      </w:pPr>
      <w:r>
        <w:rPr>
          <w:b/>
        </w:rPr>
        <w:t>O score é distância.</w:t>
      </w:r>
      <w:r>
        <w:t xml:space="preserve"> Menor é melhor. Procure </w:t>
      </w:r>
      <w:r>
        <w:rPr>
          <w:rFonts w:ascii="Consolas" w:hAnsi="Consolas"/>
          <w:color w:val="8B1A5A"/>
          <w:sz w:val="19"/>
        </w:rPr>
        <w:t>Math.min</w:t>
      </w:r>
      <w:r>
        <w:t xml:space="preserve"> quando quiser achar "o melhor".</w:t>
      </w:r>
    </w:p>
    <w:p>
      <w:pPr>
        <w:pStyle w:val="ListBullet"/>
        <w:spacing w:after="80"/>
        <w:ind w:left="397"/>
      </w:pPr>
      <w:r>
        <w:rPr>
          <w:b/>
        </w:rPr>
        <w:t>O texto vetorizado não é o texto guardado.</w:t>
      </w:r>
      <w:r>
        <w:t xml:space="preserve"> </w:t>
      </w:r>
      <w:r>
        <w:rPr>
          <w:rFonts w:ascii="Consolas" w:hAnsi="Consolas"/>
          <w:color w:val="8B1A5A"/>
          <w:sz w:val="19"/>
        </w:rPr>
        <w:t>buildChunkEmbedText</w:t>
      </w:r>
      <w:r>
        <w:t xml:space="preserve"> acrescenta um prefixo só para o vetor; o </w:t>
      </w:r>
      <w:r>
        <w:rPr>
          <w:rFonts w:ascii="Consolas" w:hAnsi="Consolas"/>
          <w:color w:val="8B1A5A"/>
          <w:sz w:val="19"/>
        </w:rPr>
        <w:t>pageContent</w:t>
      </w:r>
      <w:r>
        <w:t xml:space="preserve"> continua cru.</w:t>
      </w:r>
    </w:p>
    <w:p>
      <w:pPr>
        <w:pStyle w:val="ListBullet"/>
        <w:spacing w:after="80"/>
        <w:ind w:left="397"/>
      </w:pPr>
      <w:r>
        <w:rPr>
          <w:b/>
        </w:rPr>
        <w:t>A expansão não é uma segunda busca.</w:t>
      </w:r>
      <w:r>
        <w:t xml:space="preserve"> Ela não chama o modelo nem o pgvector: são consultas por </w:t>
      </w:r>
      <w:r>
        <w:rPr>
          <w:rFonts w:ascii="Consolas" w:hAnsi="Consolas"/>
          <w:color w:val="8B1A5A"/>
          <w:sz w:val="19"/>
        </w:rPr>
        <w:t>document_id</w:t>
      </w:r>
      <w:r>
        <w:t xml:space="preserve">, </w:t>
      </w:r>
      <w:r>
        <w:rPr>
          <w:rFonts w:ascii="Consolas" w:hAnsi="Consolas"/>
          <w:color w:val="8B1A5A"/>
          <w:sz w:val="19"/>
        </w:rPr>
        <w:t>n1_header</w:t>
      </w:r>
      <w:r>
        <w:t xml:space="preserve"> e prefixo de numeração.</w:t>
      </w:r>
    </w:p>
    <w:p>
      <w:pPr>
        <w:pStyle w:val="ListBullet"/>
        <w:spacing w:after="80"/>
        <w:ind w:left="397"/>
      </w:pPr>
      <w:r>
        <w:rPr>
          <w:b/>
        </w:rPr>
        <w:t>A indexação é assíncrona.</w:t>
      </w:r>
      <w:r>
        <w:t xml:space="preserve"> O upload responde antes de o documento estar pesquisável; perguntar logo depois pode não encontrar nada ainda.</w:t>
      </w:r>
    </w:p>
    <w:p>
      <w:pPr>
        <w:pStyle w:val="ListBullet"/>
        <w:spacing w:after="80"/>
        <w:ind w:left="397"/>
      </w:pPr>
      <w:r>
        <w:rPr>
          <w:b/>
        </w:rPr>
        <w:t>Só existem duas chamadas de IA por pergunta:</w:t>
      </w:r>
      <w:r>
        <w:t xml:space="preserve"> o embedding da pergunta e a geração da resposta. Qualquer proposta de "usar o modelo para localizar o trecho" adiciona uma terceira — e foi deliberadamente evitada.</w:t>
      </w:r>
    </w:p>
    <w:p>
      <w:pPr>
        <w:pStyle w:val="Heading1"/>
      </w:pPr>
      <w:r>
        <w:t>Para testar se você entendeu</w:t>
      </w:r>
    </w:p>
    <w:p>
      <w:pPr>
        <w:pStyle w:val="ListNumber"/>
        <w:spacing w:after="80"/>
        <w:ind w:left="397"/>
      </w:pPr>
      <w:r>
        <w:t>Por que o sistema vetoriza pedaços de 600 caracteres mas manda itens inteiros para o modelo?</w:t>
      </w:r>
    </w:p>
    <w:p>
      <w:pPr>
        <w:pStyle w:val="ListNumber"/>
        <w:spacing w:after="80"/>
        <w:ind w:left="397"/>
      </w:pPr>
      <w:r>
        <w:t>A pergunta cita "Anexo VIII" e a norma só tem "ANEXO VIII-B". O que acontece, e por quê?</w:t>
      </w:r>
    </w:p>
    <w:p>
      <w:pPr>
        <w:pStyle w:val="ListNumber"/>
        <w:spacing w:after="80"/>
        <w:ind w:left="397"/>
      </w:pPr>
      <w:r>
        <w:t>Um pai teve três filhos recuperados, com distâncias 0,41, 0,22 e 0,33. Qual score o pai recebe?</w:t>
      </w:r>
    </w:p>
    <w:p>
      <w:pPr>
        <w:pStyle w:val="ListNumber"/>
        <w:spacing w:after="80"/>
        <w:ind w:left="397"/>
      </w:pPr>
      <w:r>
        <w:t>Por que a resposta distingue "falha técnica" de "informação insuficiente"?</w:t>
      </w:r>
    </w:p>
    <w:p>
      <w:pPr>
        <w:pStyle w:val="ListNumber"/>
        <w:spacing w:after="80"/>
        <w:ind w:left="397"/>
      </w:pPr>
      <w:r>
        <w:t>Um documento antigo aparece como fonte, mas sem número de página. Isso é um bug? O que fazer?</w:t>
      </w:r>
    </w:p>
    <w:p>
      <w:pPr>
        <w:pStyle w:val="ListNumber"/>
        <w:spacing w:after="80"/>
        <w:ind w:left="397"/>
      </w:pPr>
      <w:r>
        <w:t>Trocar a personalidade de INSTITUCIONAL para CORDIAL pode mudar o conteúdo de uma resposta? Por quê?</w:t>
      </w:r>
    </w:p>
    <w:p/>
    <w:p>
      <w:r>
        <w:rPr>
          <w:i/>
        </w:rPr>
        <w:t>Respostas curtas:</w:t>
      </w:r>
      <w:r>
        <w:t xml:space="preserve"> (1) tamanho pequeno dá precisão na busca, tamanho grande dá contexto para responder — PDR pega os dois; (2) o filtro exato falha, a busca volta vazia e o código refaz sem filtro; (3) 0,22, o menor, porque score é distância; (4) para o fiscal não concluir que a norma é silenciosa quando a API caiu; (5) não é bug — o documento foi indexado antes da localização existir; roda-se o backfill; (6) não, a personalidade só altera registro e abertura, nunca a seleção de trechos nem a fidelidade.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8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2B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B2B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