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Microsoft YaHei" w:hAnsi="Microsoft YaHei"/>
          <w:b/>
          <w:color w:val="1F4E79"/>
          <w:sz w:val="48"/>
        </w:rPr>
        <w:t>毕数飞行平台系统设计方案</w:t>
      </w:r>
    </w:p>
    <w:p>
      <w:pPr>
        <w:spacing w:before="0" w:after="320"/>
        <w:jc w:val="center"/>
      </w:pPr>
      <w:r>
        <w:rPr>
          <w:rFonts w:ascii="Microsoft YaHei" w:hAnsi="Microsoft YaHei"/>
          <w:color w:val="555555"/>
          <w:sz w:val="26"/>
        </w:rPr>
        <w:t>无人机全生命周期服务生态平台（培训 · 考证 · 撮合 · 交易）</w:t>
      </w:r>
    </w:p>
    <w:p>
      <w:pPr>
        <w:spacing w:after="480"/>
        <w:jc w:val="center"/>
      </w:pPr>
      <w:r>
        <w:rPr>
          <w:rFonts w:ascii="Microsoft YaHei" w:hAnsi="Microsoft YaHei"/>
          <w:color w:val="888888"/>
          <w:sz w:val="20"/>
        </w:rPr>
        <w:t>编制日期：2026年8月  |  版本号：V2.0  |  密级：内部方案</w:t>
      </w: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Borders>
              <w:top w:val="none"/>
              <w:left w:val="single" w:sz="24" w:space="0" w:color="2E75B6"/>
              <w:bottom w:val="none"/>
              <w:right w:val="none"/>
            </w:tcBorders>
          </w:tcPr>
          <w:p>
            <w:pPr>
              <w:spacing w:after="40"/>
            </w:pPr>
            <w:r>
              <w:rPr>
                <w:rFonts w:ascii="Microsoft YaHei" w:hAnsi="Microsoft YaHei"/>
                <w:b/>
                <w:color w:val="1F4E79"/>
                <w:sz w:val="21"/>
              </w:rPr>
              <w:t>【目  录】</w:t>
              <w:br/>
            </w:r>
            <w:r>
              <w:rPr>
                <w:rFonts w:ascii="Microsoft YaHei" w:hAnsi="Microsoft YaHei"/>
                <w:color w:val="444444"/>
                <w:sz w:val="20"/>
              </w:rPr>
              <w:t>一、项目概述（背景、目标、用户角色）</w:t>
              <w:br/>
              <w:t>二、系统总体架构设计（业务架构、微服务系统架构、权限矩阵）</w:t>
              <w:br/>
              <w:t>三、功能模块详细设计</w:t>
              <w:br/>
              <w:t xml:space="preserve">    3.1 技能培训模块（人社补贴证明体系、五位一体证据链与审核准则）</w:t>
              <w:br/>
              <w:t xml:space="preserve">    3.2 CAAC考证模块（双报名入口、证书回传监管结算、机组与企业绑定）</w:t>
              <w:br/>
              <w:t xml:space="preserve">    3.3 订单供需模块（需求发布、接单履约保险双轨制、UOM“一登二查三申请”合规边界）</w:t>
              <w:br/>
              <w:t xml:space="preserve">    3.4 防跳单风控与交易闭环机制（五维一体防跳单控制）</w:t>
              <w:br/>
              <w:t xml:space="preserve">    3.5 电商交易模块（企业/个人双端后台、二手防赃机SN与过户闭环）</w:t>
              <w:br/>
              <w:t xml:space="preserve">    3.6 平台客户服务体系（微信小程序原生客服直连闭环）</w:t>
              <w:br/>
              <w:t>四、全链路商业盈利模式设计（5大板块16+盈利点与LTV协同模型）</w:t>
              <w:br/>
              <w:t>五、技术架构与安全合规设计（技术选型、等保三级、资金监管）</w:t>
              <w:br/>
              <w:t>六、实施计划与推进里程碑（一期MVP、二期规模化、三期生态）</w:t>
            </w:r>
          </w:p>
        </w:tc>
      </w:tr>
    </w:tbl>
    <w:p>
      <w:pPr>
        <w:spacing w:before="0" w:after="80"/>
      </w:pPr>
    </w:p>
    <w:p>
      <w:pPr>
        <w:keepNext/>
        <w:spacing w:before="360" w:after="160"/>
      </w:pPr>
      <w:r>
        <w:rPr>
          <w:rFonts w:ascii="Microsoft YaHei" w:hAnsi="Microsoft YaHei"/>
          <w:b/>
          <w:color w:val="1F4E79"/>
          <w:sz w:val="32"/>
        </w:rPr>
        <w:t>一、项目概述</w:t>
      </w:r>
    </w:p>
    <w:p>
      <w:pPr>
        <w:spacing w:after="120" w:line="300" w:lineRule="auto"/>
      </w:pPr>
      <w:r>
        <w:rPr>
          <w:rFonts w:ascii="Microsoft YaHei" w:hAnsi="Microsoft YaHei"/>
          <w:b/>
          <w:color w:val="1F4E79"/>
          <w:sz w:val="21"/>
        </w:rPr>
        <w:t>【平台总定位】</w:t>
      </w:r>
      <w:r>
        <w:rPr>
          <w:rFonts w:ascii="Microsoft YaHei" w:hAnsi="Microsoft YaHei"/>
          <w:color w:val="333333"/>
          <w:sz w:val="21"/>
        </w:rPr>
        <w:t>本项目旨在建设一个面向低空经济与无人机应用领域的综合性数字化基础设施与供需服务平台——“毕数飞行平台”。平台紧密围绕国家低空经济战略部署与民用无人驾驶航空器最新法规政策，创新融合“公益普惠技能培训、商业化CAAC执照考证、高精度任务供需撮合、合规化设备及二手电商”四大核心板块，构建“零门槛培训 → CAAC持证 → 平台接单与机组挂靠 → 装备流通与后市场服务”的全生命周期商业闭环。通过数字化手段大幅降低供需匹配交易成本，强化行业规范化合规水平，实现平台、飞手、培训机构、用机企业与政府监管部门的多方共赢。</w:t>
      </w:r>
    </w:p>
    <w:p>
      <w:pPr>
        <w:keepNext/>
        <w:spacing w:before="280" w:after="120"/>
      </w:pPr>
      <w:r>
        <w:rPr>
          <w:rFonts w:ascii="Microsoft YaHei" w:hAnsi="Microsoft YaHei"/>
          <w:b/>
          <w:color w:val="2E75B6"/>
          <w:sz w:val="26"/>
        </w:rPr>
        <w:t>1.1 建设背景与行业痛点</w:t>
      </w:r>
    </w:p>
    <w:p>
      <w:pPr>
        <w:spacing w:after="120" w:line="300" w:lineRule="auto"/>
      </w:pPr>
      <w:r>
        <w:rPr>
          <w:rFonts w:ascii="Microsoft YaHei" w:hAnsi="Microsoft YaHei"/>
          <w:color w:val="333333"/>
          <w:sz w:val="21"/>
        </w:rPr>
        <w:t>1. 政策利好与法规落地：2024年起《无人驾驶航空器飞行管理暂行条例》正式施行，低空空域资源分类管理与UOM国家综合管理平台的全面推行，标志着无人机行业迈入规范化、法治化发展新阶段。</w:t>
      </w:r>
    </w:p>
    <w:p>
      <w:pPr>
        <w:spacing w:after="120" w:line="300" w:lineRule="auto"/>
      </w:pPr>
      <w:r>
        <w:rPr>
          <w:rFonts w:ascii="Microsoft YaHei" w:hAnsi="Microsoft YaHei"/>
          <w:color w:val="333333"/>
          <w:sz w:val="21"/>
        </w:rPr>
        <w:t>2. 飞手供给与资质断层：行业对植保、航拍、电力巡检、测绘等专业技能飞手需求旺盛，但大量初学者受限于高昂考证费用；同时社会上缺乏从技能普及到民航CAAC执照考取的平滑衔接通道。</w:t>
      </w:r>
    </w:p>
    <w:p>
      <w:pPr>
        <w:spacing w:after="120" w:line="300" w:lineRule="auto"/>
      </w:pPr>
      <w:r>
        <w:rPr>
          <w:rFonts w:ascii="Microsoft YaHei" w:hAnsi="Microsoft YaHei"/>
          <w:color w:val="333333"/>
          <w:sz w:val="21"/>
        </w:rPr>
        <w:t>3. 订单匹配与合规痛点：传统供需对接主要依赖熟人关系，撮合效率低；用机方与飞手对空域申报合规流程不熟悉，容易产生“黑飞”隐患；平台型产品普遍面临私下交易与“跳单”难题。</w:t>
      </w:r>
    </w:p>
    <w:p>
      <w:pPr>
        <w:spacing w:after="120" w:line="300" w:lineRule="auto"/>
      </w:pPr>
      <w:r>
        <w:rPr>
          <w:rFonts w:ascii="Microsoft YaHei" w:hAnsi="Microsoft YaHei"/>
          <w:color w:val="333333"/>
          <w:sz w:val="21"/>
        </w:rPr>
        <w:t>4. 闲置设备流通受阻：无人机设备迭代迅速，二手设备流通缺乏官方验机、防盗抢核验（赃机）及合法过户渠道，买卖双方信任成本极高。</w:t>
      </w:r>
    </w:p>
    <w:p>
      <w:pPr>
        <w:keepNext/>
        <w:spacing w:before="280" w:after="120"/>
      </w:pPr>
      <w:r>
        <w:rPr>
          <w:rFonts w:ascii="Microsoft YaHei" w:hAnsi="Microsoft YaHei"/>
          <w:b/>
          <w:color w:val="2E75B6"/>
          <w:sz w:val="26"/>
        </w:rPr>
        <w:t>1.2 建设目标</w:t>
      </w:r>
    </w:p>
    <w:p>
      <w:pPr>
        <w:spacing w:after="120" w:line="300" w:lineRule="auto"/>
      </w:pPr>
      <w:r>
        <w:rPr>
          <w:rFonts w:ascii="Microsoft YaHei" w:hAnsi="Microsoft YaHei"/>
          <w:color w:val="333333"/>
          <w:sz w:val="21"/>
        </w:rPr>
        <w:t>1. 打造区域低空服务第一入口：实现培训、考证、接单、交易全链路一站式数字化服务。</w:t>
      </w:r>
    </w:p>
    <w:p>
      <w:pPr>
        <w:spacing w:after="120" w:line="300" w:lineRule="auto"/>
      </w:pPr>
      <w:r>
        <w:rPr>
          <w:rFonts w:ascii="Microsoft YaHei" w:hAnsi="Microsoft YaHei"/>
          <w:color w:val="333333"/>
          <w:sz w:val="21"/>
        </w:rPr>
        <w:t>2. 建立规范化人社培训与补贴申报体系：依托平台全过程电子存证能力，对接人社部门补贴政策，实现学员“零费用”学技能与机构补贴精准核发。</w:t>
      </w:r>
    </w:p>
    <w:p>
      <w:pPr>
        <w:spacing w:after="120" w:line="300" w:lineRule="auto"/>
      </w:pPr>
      <w:r>
        <w:rPr>
          <w:rFonts w:ascii="Microsoft YaHei" w:hAnsi="Microsoft YaHei"/>
          <w:color w:val="333333"/>
          <w:sz w:val="21"/>
        </w:rPr>
        <w:t>3. 构建CAAC考证及商业资质赋能体系：打通民航局执照培训通道，实现“证书回传—资金结算—解锁接单权限—关联机组企业”的闭环赋能。</w:t>
      </w:r>
    </w:p>
    <w:p>
      <w:pPr>
        <w:spacing w:after="120" w:line="300" w:lineRule="auto"/>
      </w:pPr>
      <w:r>
        <w:rPr>
          <w:rFonts w:ascii="Microsoft YaHei" w:hAnsi="Microsoft YaHei"/>
          <w:color w:val="333333"/>
          <w:sz w:val="21"/>
        </w:rPr>
        <w:t>4. 筑牢UOM“一登二查三申请”合规防线：明确平台信息撮合定位，不越权审批空域，通过产品化指引使用户合规履行实名登记、适飞/管制空域查询与飞行审批义务。</w:t>
      </w:r>
    </w:p>
    <w:p>
      <w:pPr>
        <w:spacing w:after="120" w:line="300" w:lineRule="auto"/>
      </w:pPr>
      <w:r>
        <w:rPr>
          <w:rFonts w:ascii="Microsoft YaHei" w:hAnsi="Microsoft YaHei"/>
          <w:color w:val="333333"/>
          <w:sz w:val="21"/>
        </w:rPr>
        <w:t>5. 建立作业保险双轨保障与安全底线：接单环节提供“平台一键投保”与“自备外部有效保单上传核验”灵活机制，确保所有商用作业100%有险护航。</w:t>
      </w:r>
    </w:p>
    <w:p>
      <w:pPr>
        <w:spacing w:after="120" w:line="300" w:lineRule="auto"/>
      </w:pPr>
      <w:r>
        <w:rPr>
          <w:rFonts w:ascii="Microsoft YaHei" w:hAnsi="Microsoft YaHei"/>
          <w:color w:val="333333"/>
          <w:sz w:val="21"/>
        </w:rPr>
        <w:t>6. 建设双端电商与二手安全交易市场：支持企业店铺与个人闲置后台，引入设备SN码核验与官方验机机制，盘活闲置设备资产。</w:t>
      </w:r>
    </w:p>
    <w:p>
      <w:pPr>
        <w:spacing w:after="120" w:line="300" w:lineRule="auto"/>
      </w:pPr>
      <w:r>
        <w:rPr>
          <w:rFonts w:ascii="Microsoft YaHei" w:hAnsi="Microsoft YaHei"/>
          <w:color w:val="333333"/>
          <w:sz w:val="21"/>
        </w:rPr>
        <w:t>7. 集成微信原生客服与高效防跳单体系：采用微信小程序原生客服能力大幅降低系统复杂度与运营成本，配合虚拟隐私号与全流程线上化锁定交易闭环，形成多达16+维度的多元造血盈利矩阵。</w:t>
      </w:r>
    </w:p>
    <w:p>
      <w:pPr>
        <w:keepNext/>
        <w:spacing w:before="280" w:after="120"/>
      </w:pPr>
      <w:r>
        <w:rPr>
          <w:rFonts w:ascii="Microsoft YaHei" w:hAnsi="Microsoft YaHei"/>
          <w:b/>
          <w:color w:val="2E75B6"/>
          <w:sz w:val="26"/>
        </w:rPr>
        <w:t>1.3 目标用户与角色定位</w:t>
      </w:r>
    </w:p>
    <w:tbl>
      <w:tblPr>
        <w:tblW w:type="auto" w:w="0"/>
        <w:jc w:val="center"/>
        <w:tblLook w:firstColumn="1" w:firstRow="1" w:lastColumn="0" w:lastRow="0" w:noHBand="0" w:noVBand="1" w:val="04A0"/>
        <w:tblBorders>
          <w:top w:val="single" w:sz="4" w:space="0" w:color="D3D3D3"/>
          <w:bottom w:val="single" w:sz="6" w:space="0" w:color="1F4E79"/>
          <w:left w:val="none"/>
          <w:right w:val="none"/>
          <w:insideH w:val="single" w:sz="4" w:space="0" w:color="D3D3D3"/>
          <w:insideV w:val="none"/>
        </w:tblBorders>
      </w:tblPr>
      <w:tblGrid>
        <w:gridCol w:w="2340"/>
        <w:gridCol w:w="2340"/>
        <w:gridCol w:w="2340"/>
        <w:gridCol w:w="2340"/>
      </w:tblGrid>
      <w:tr>
        <w:tc>
          <w:tcPr>
            <w:tcW w:type="dxa" w:w="1872"/>
            <w:shd w:fill="1F4E79"/>
            <w:tcMar>
              <w:top w:w="140" w:type="dxa"/>
              <w:bottom w:w="140" w:type="dxa"/>
              <w:left w:w="160" w:type="dxa"/>
              <w:right w:w="160" w:type="dxa"/>
            </w:tcMar>
          </w:tcPr>
          <w:p>
            <w:pPr>
              <w:jc w:val="center"/>
            </w:pPr>
            <w:r>
              <w:rPr>
                <w:rFonts w:ascii="Microsoft YaHei" w:hAnsi="Microsoft YaHei"/>
                <w:b/>
                <w:color w:val="FFFFFF"/>
                <w:sz w:val="20"/>
              </w:rPr>
              <w:t>用户群体</w:t>
            </w:r>
          </w:p>
        </w:tc>
        <w:tc>
          <w:tcPr>
            <w:tcW w:type="dxa" w:w="2304"/>
            <w:shd w:fill="1F4E79"/>
            <w:tcMar>
              <w:top w:w="140" w:type="dxa"/>
              <w:bottom w:w="140" w:type="dxa"/>
              <w:left w:w="160" w:type="dxa"/>
              <w:right w:w="160" w:type="dxa"/>
            </w:tcMar>
          </w:tcPr>
          <w:p>
            <w:pPr>
              <w:jc w:val="center"/>
            </w:pPr>
            <w:r>
              <w:rPr>
                <w:rFonts w:ascii="Microsoft YaHei" w:hAnsi="Microsoft YaHei"/>
                <w:b/>
                <w:color w:val="FFFFFF"/>
                <w:sz w:val="20"/>
              </w:rPr>
              <w:t>具体画像</w:t>
            </w:r>
          </w:p>
        </w:tc>
        <w:tc>
          <w:tcPr>
            <w:tcW w:type="dxa" w:w="2880"/>
            <w:shd w:fill="1F4E79"/>
            <w:tcMar>
              <w:top w:w="140" w:type="dxa"/>
              <w:bottom w:w="140" w:type="dxa"/>
              <w:left w:w="160" w:type="dxa"/>
              <w:right w:w="160" w:type="dxa"/>
            </w:tcMar>
          </w:tcPr>
          <w:p>
            <w:pPr>
              <w:jc w:val="center"/>
            </w:pPr>
            <w:r>
              <w:rPr>
                <w:rFonts w:ascii="Microsoft YaHei" w:hAnsi="Microsoft YaHei"/>
                <w:b/>
                <w:color w:val="FFFFFF"/>
                <w:sz w:val="20"/>
              </w:rPr>
              <w:t>平台核心诉求</w:t>
            </w:r>
          </w:p>
        </w:tc>
        <w:tc>
          <w:tcPr>
            <w:tcW w:type="dxa" w:w="2304"/>
            <w:shd w:fill="1F4E79"/>
            <w:tcMar>
              <w:top w:w="140" w:type="dxa"/>
              <w:bottom w:w="140" w:type="dxa"/>
              <w:left w:w="160" w:type="dxa"/>
              <w:right w:w="160" w:type="dxa"/>
            </w:tcMar>
          </w:tcPr>
          <w:p>
            <w:pPr>
              <w:jc w:val="center"/>
            </w:pPr>
            <w:r>
              <w:rPr>
                <w:rFonts w:ascii="Microsoft YaHei" w:hAnsi="Microsoft YaHei"/>
                <w:b/>
                <w:color w:val="FFFFFF"/>
                <w:sz w:val="20"/>
              </w:rPr>
              <w:t>核心价值收益</w:t>
            </w:r>
          </w:p>
        </w:tc>
      </w:tr>
      <w:tr>
        <w:tc>
          <w:tcPr>
            <w:tcW w:type="dxa" w:w="1872"/>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需求方（B/G端）</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测绘院、电网巡检、农业合作社、影视航拍、应急消防部门</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发布专业飞行需求、发票保障、持证飞手匹配、资金安全托管、强制保险保障</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高效匹配合规运力、降低用工风险、全流程商业责任险覆盖</w:t>
            </w:r>
          </w:p>
        </w:tc>
      </w:tr>
      <w:tr>
        <w:tc>
          <w:tcPr>
            <w:tcW w:type="dxa" w:w="1872"/>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个人飞手（C端）</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无人机爱好者、农业植保手、职业持证飞手、转行就业人员</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免费学技能、优惠考CAAC执照、合规抢单赚钱、随单投保/外部保单核销、转卖闲置设备</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零成本技能提升、持证即接单变现、加入品牌机组团队</w:t>
            </w:r>
          </w:p>
        </w:tc>
      </w:tr>
      <w:tr>
        <w:tc>
          <w:tcPr>
            <w:tcW w:type="dxa" w:w="1872"/>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培训机构（B端）</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民航CAAC授权培训基地、人社定点职业培训学校</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招生引流、学员考勤管理、人社补贴一键申报、考证费安全结算</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获取稳定生源、提升人社补贴通过率、平台品牌背书</w:t>
            </w:r>
          </w:p>
        </w:tc>
      </w:tr>
      <w:tr>
        <w:tc>
          <w:tcPr>
            <w:tcW w:type="dxa" w:w="1872"/>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服务企业/机组</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专业无人机航测公司、植保服务队、设备租赁商</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组织管理旗下机组与飞手、企业集中接派单、设备集采与分销、企业级年险绑定</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规模化接单运营、降低飞手管理成本、企业对公结算</w:t>
            </w:r>
          </w:p>
        </w:tc>
      </w:tr>
      <w:tr>
        <w:tc>
          <w:tcPr>
            <w:tcW w:type="dxa" w:w="1872"/>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设备商家/个人</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大疆/极飞授权经销商、配件耗材供应商、二手闲置卖家</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商品销售、二手设备安全变现、售后维权</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触达高精准飞手客群、官方验机背书加速二手流通</w:t>
            </w:r>
          </w:p>
        </w:tc>
      </w:tr>
      <w:tr>
        <w:tc>
          <w:tcPr>
            <w:tcW w:type="dxa" w:w="1872"/>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监管部门（G端）</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地方人社局职业培训科、公安空管部门</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培训真实性核查、防范骗补挂靠、飞手合规资质与保险追溯</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全流程穿透式电子存证、数据直报免证核查</w:t>
            </w:r>
          </w:p>
        </w:tc>
      </w:tr>
    </w:tbl>
    <w:p>
      <w:pPr>
        <w:spacing w:after="120"/>
      </w:pPr>
    </w:p>
    <w:p>
      <w:pPr>
        <w:keepNext/>
        <w:spacing w:before="360" w:after="160"/>
      </w:pPr>
      <w:r>
        <w:rPr>
          <w:rFonts w:ascii="Microsoft YaHei" w:hAnsi="Microsoft YaHei"/>
          <w:b/>
          <w:color w:val="1F4E79"/>
          <w:sz w:val="32"/>
        </w:rPr>
        <w:t>二、系统总体架构设计</w:t>
      </w:r>
    </w:p>
    <w:p>
      <w:pPr>
        <w:keepNext/>
        <w:spacing w:before="280" w:after="120"/>
      </w:pPr>
      <w:r>
        <w:rPr>
          <w:rFonts w:ascii="Microsoft YaHei" w:hAnsi="Microsoft YaHei"/>
          <w:b/>
          <w:color w:val="2E75B6"/>
          <w:sz w:val="26"/>
        </w:rPr>
        <w:t>2.1 业务架构（四层两纵）</w:t>
      </w:r>
    </w:p>
    <w:p>
      <w:pPr>
        <w:spacing w:after="120" w:line="300" w:lineRule="auto"/>
      </w:pPr>
      <w:r>
        <w:rPr>
          <w:rFonts w:ascii="Microsoft YaHei" w:hAnsi="Microsoft YaHei"/>
          <w:color w:val="333333"/>
          <w:sz w:val="21"/>
        </w:rPr>
        <w:t>平台构建“四层接入、两纵保障”的业务架构体系：</w:t>
      </w:r>
    </w:p>
    <w:p>
      <w:pPr>
        <w:spacing w:after="120" w:line="300" w:lineRule="auto"/>
      </w:pPr>
      <w:r>
        <w:rPr>
          <w:rFonts w:ascii="Microsoft YaHei" w:hAnsi="Microsoft YaHei"/>
          <w:color w:val="333333"/>
          <w:sz w:val="21"/>
        </w:rPr>
        <w:t>1. 用户接入层：微信小程序端（集成微信原生客服组件，面向C端飞手/普通消费者/学员）、B端企业管理后台（用机企业/机组团队）、培训机构管理后台、商家店铺后台（企业/个人）、平台综合运营管理后台。</w:t>
      </w:r>
    </w:p>
    <w:p>
      <w:pPr>
        <w:spacing w:after="120" w:line="300" w:lineRule="auto"/>
      </w:pPr>
      <w:r>
        <w:rPr>
          <w:rFonts w:ascii="Microsoft YaHei" w:hAnsi="Microsoft YaHei"/>
          <w:color w:val="333333"/>
          <w:sz w:val="21"/>
        </w:rPr>
        <w:t>2. 核心业务层：技能培训服务引擎、CAAC考证服务引擎、订单供需撮合引擎（含保险购买与外部保单核验中枢）、电商交易引擎、资金结算与分账服务、消息触达与电子合同服务、微信原生客服工作流。</w:t>
      </w:r>
    </w:p>
    <w:p>
      <w:pPr>
        <w:spacing w:after="120" w:line="300" w:lineRule="auto"/>
      </w:pPr>
      <w:r>
        <w:rPr>
          <w:rFonts w:ascii="Microsoft YaHei" w:hAnsi="Microsoft YaHei"/>
          <w:color w:val="333333"/>
          <w:sz w:val="21"/>
        </w:rPr>
        <w:t>3. 平台支撑层：用户认证中心（SSO多角色）、培训档案中心、订单调度中心、商品物料中心、风控与防跳单引擎、财务对账中心、数据分析看板。</w:t>
      </w:r>
    </w:p>
    <w:p>
      <w:pPr>
        <w:spacing w:after="120" w:line="300" w:lineRule="auto"/>
      </w:pPr>
      <w:r>
        <w:rPr>
          <w:rFonts w:ascii="Microsoft YaHei" w:hAnsi="Microsoft YaHei"/>
          <w:color w:val="333333"/>
          <w:sz w:val="21"/>
        </w:rPr>
        <w:t>4. 外部对接层：微信小程序客服/企业微信客服能力、国家UOM民用无人驾驶航空器综合管理平台（跳转指引与SN校验）、地方人社技能培训监管系统接口、民航局CAAC执照核验系统、第三方商业保险API通道（众安/平安/人保等）、第三方银行及持牌支付资金监管通道、第三方电子签约（e签宝/法大大）。</w:t>
      </w:r>
    </w:p>
    <w:p>
      <w:pPr>
        <w:spacing w:after="120" w:line="300" w:lineRule="auto"/>
      </w:pPr>
      <w:r>
        <w:rPr>
          <w:rFonts w:ascii="Microsoft YaHei" w:hAnsi="Microsoft YaHei"/>
          <w:color w:val="333333"/>
          <w:sz w:val="21"/>
        </w:rPr>
        <w:t>5. 两纵保障体系：合规与风控安全保障体系、运维监控与高可用容灾体系。</w:t>
      </w:r>
    </w:p>
    <w:p>
      <w:pPr>
        <w:keepNext/>
        <w:spacing w:before="280" w:after="120"/>
      </w:pPr>
      <w:r>
        <w:rPr>
          <w:rFonts w:ascii="Microsoft YaHei" w:hAnsi="Microsoft YaHei"/>
          <w:b/>
          <w:color w:val="2E75B6"/>
          <w:sz w:val="26"/>
        </w:rPr>
        <w:t>2.2 系统微服务架构设计</w:t>
      </w:r>
    </w:p>
    <w:p>
      <w:pPr>
        <w:spacing w:after="120" w:line="300" w:lineRule="auto"/>
      </w:pPr>
      <w:r>
        <w:rPr>
          <w:rFonts w:ascii="Microsoft YaHei" w:hAnsi="Microsoft YaHei"/>
          <w:color w:val="333333"/>
          <w:sz w:val="21"/>
        </w:rPr>
        <w:t>系统基于主流前后端分离微服务架构，核心解耦子系统包括：</w:t>
      </w:r>
    </w:p>
    <w:p>
      <w:pPr>
        <w:spacing w:after="120" w:line="300" w:lineRule="auto"/>
      </w:pPr>
      <w:r>
        <w:rPr>
          <w:rFonts w:ascii="Microsoft YaHei" w:hAnsi="Microsoft YaHei"/>
          <w:color w:val="333333"/>
          <w:sz w:val="21"/>
        </w:rPr>
        <w:t>• 用户与权限服务（Auth-Service）：基于 RBAC 模型的多租户权限控制，支持个人、企业、机构、飞手等一键切换身份。</w:t>
      </w:r>
    </w:p>
    <w:p>
      <w:pPr>
        <w:spacing w:after="120" w:line="300" w:lineRule="auto"/>
      </w:pPr>
      <w:r>
        <w:rPr>
          <w:rFonts w:ascii="Microsoft YaHei" w:hAnsi="Microsoft YaHei"/>
          <w:color w:val="333333"/>
          <w:sz w:val="21"/>
        </w:rPr>
        <w:t>• 培训与教务服务（Training-Service）：课程排班、线上视频防作弊学时统计、人脸打卡考勤、成绩录入、补贴证据链生成。</w:t>
      </w:r>
    </w:p>
    <w:p>
      <w:pPr>
        <w:spacing w:after="120" w:line="300" w:lineRule="auto"/>
      </w:pPr>
      <w:r>
        <w:rPr>
          <w:rFonts w:ascii="Microsoft YaHei" w:hAnsi="Microsoft YaHei"/>
          <w:color w:val="333333"/>
          <w:sz w:val="21"/>
        </w:rPr>
        <w:t>• CAAC考证与资质服务（License-Service）：考证报名分发、机构排考、CAAC执照回传核验、飞手接单资质授权。</w:t>
      </w:r>
    </w:p>
    <w:p>
      <w:pPr>
        <w:spacing w:after="120" w:line="300" w:lineRule="auto"/>
      </w:pPr>
      <w:r>
        <w:rPr>
          <w:rFonts w:ascii="Microsoft YaHei" w:hAnsi="Microsoft YaHei"/>
          <w:color w:val="333333"/>
          <w:sz w:val="21"/>
        </w:rPr>
        <w:t>• 订单撮合与调度服务（Order-Service）：订单发布、地理围栏匹配、抢单/派单、电子合同签署、保险状态校验、里程碑验收、纠纷仲裁。</w:t>
      </w:r>
    </w:p>
    <w:p>
      <w:pPr>
        <w:spacing w:after="120" w:line="300" w:lineRule="auto"/>
      </w:pPr>
      <w:r>
        <w:rPr>
          <w:rFonts w:ascii="Microsoft YaHei" w:hAnsi="Microsoft YaHei"/>
          <w:color w:val="333333"/>
          <w:sz w:val="21"/>
        </w:rPr>
        <w:t>• 保险与风险保障服务（Insurance-Service）：提供随单保险一键下单核保、第三方外部保单信息录入与OCR智能审核、保单有效期校验。</w:t>
      </w:r>
    </w:p>
    <w:p>
      <w:pPr>
        <w:spacing w:after="120" w:line="300" w:lineRule="auto"/>
      </w:pPr>
      <w:r>
        <w:rPr>
          <w:rFonts w:ascii="Microsoft YaHei" w:hAnsi="Microsoft YaHei"/>
          <w:color w:val="333333"/>
          <w:sz w:val="21"/>
        </w:rPr>
        <w:t>• UOM合规指引中间件（UOM-Guide-Service）：内置无人机分类与空域规则库，提供“一登二查三申请”交互组件与批文存证。</w:t>
      </w:r>
    </w:p>
    <w:p>
      <w:pPr>
        <w:spacing w:after="120" w:line="300" w:lineRule="auto"/>
      </w:pPr>
      <w:r>
        <w:rPr>
          <w:rFonts w:ascii="Microsoft YaHei" w:hAnsi="Microsoft YaHei"/>
          <w:color w:val="333333"/>
          <w:sz w:val="21"/>
        </w:rPr>
        <w:t>• 防跳单风控中枢（Anti-Bypass-Service）：虚拟隐私号中转管理、GPS水印轨迹校验、异常订单行为分析。</w:t>
      </w:r>
    </w:p>
    <w:p>
      <w:pPr>
        <w:spacing w:after="120" w:line="300" w:lineRule="auto"/>
      </w:pPr>
      <w:r>
        <w:rPr>
          <w:rFonts w:ascii="Microsoft YaHei" w:hAnsi="Microsoft YaHei"/>
          <w:color w:val="333333"/>
          <w:sz w:val="21"/>
        </w:rPr>
        <w:t>• 微信客服集成模块（WeChat-Service）：打通微信小程序原生客服通道，支持会话路由、自动回复与企业微信客服坐席接待。</w:t>
      </w:r>
    </w:p>
    <w:p>
      <w:pPr>
        <w:spacing w:after="120" w:line="300" w:lineRule="auto"/>
      </w:pPr>
      <w:r>
        <w:rPr>
          <w:rFonts w:ascii="Microsoft YaHei" w:hAnsi="Microsoft YaHei"/>
          <w:color w:val="333333"/>
          <w:sz w:val="21"/>
        </w:rPr>
        <w:t>• 电商交易与二手服务（Mall-Service）：多商家店铺、商品SPU/SKU管理、二手SN码校验、官方验机工单、物流跟踪。</w:t>
      </w:r>
    </w:p>
    <w:p>
      <w:pPr>
        <w:spacing w:after="120" w:line="300" w:lineRule="auto"/>
      </w:pPr>
      <w:r>
        <w:rPr>
          <w:rFonts w:ascii="Microsoft YaHei" w:hAnsi="Microsoft YaHei"/>
          <w:color w:val="333333"/>
          <w:sz w:val="21"/>
        </w:rPr>
        <w:t>• 支付与清结算中枢（Settlement-Service）：监管账户托管、多方分账、自动扣除佣金、提现打款、发票管理。</w:t>
      </w:r>
    </w:p>
    <w:p>
      <w:pPr>
        <w:keepNext/>
        <w:spacing w:before="360" w:after="160"/>
      </w:pPr>
      <w:r>
        <w:rPr>
          <w:rFonts w:ascii="Microsoft YaHei" w:hAnsi="Microsoft YaHei"/>
          <w:b/>
          <w:color w:val="1F4E79"/>
          <w:sz w:val="32"/>
        </w:rPr>
        <w:t>三、功能模块详细设计</w:t>
      </w:r>
    </w:p>
    <w:p>
      <w:pPr>
        <w:keepNext/>
        <w:spacing w:before="280" w:after="120"/>
      </w:pPr>
      <w:r>
        <w:rPr>
          <w:rFonts w:ascii="Microsoft YaHei" w:hAnsi="Microsoft YaHei"/>
          <w:b/>
          <w:color w:val="2E75B6"/>
          <w:sz w:val="26"/>
        </w:rPr>
        <w:t>3.1 技能培训模块（人社补贴证明与全过程存证闭环）</w:t>
      </w:r>
    </w:p>
    <w:p>
      <w:pPr>
        <w:keepNext/>
        <w:spacing w:before="200" w:after="80"/>
      </w:pPr>
      <w:r>
        <w:rPr>
          <w:rFonts w:ascii="Microsoft YaHei" w:hAnsi="Microsoft YaHei"/>
          <w:b/>
          <w:color w:val="333333"/>
          <w:sz w:val="22"/>
        </w:rPr>
        <w:t>3.1.1 模块定位与业务概述</w:t>
      </w:r>
    </w:p>
    <w:p>
      <w:pPr>
        <w:spacing w:after="120" w:line="300" w:lineRule="auto"/>
      </w:pPr>
      <w:r>
        <w:rPr>
          <w:rFonts w:ascii="Microsoft YaHei" w:hAnsi="Microsoft YaHei"/>
          <w:color w:val="333333"/>
          <w:sz w:val="21"/>
        </w:rPr>
        <w:t>技能培训模块定位于无人机人才供给的“蓄水池”与“引流入口”。平台整合人社定点职业技能培训机构，面向社会提供涵盖无人机组装调试、植保飞防、航拍剪辑、电力巡检、航测数据采集等普惠性职业技能培训。学员在培训期间享受“零费用”入读，培训机构垫付教学成本，结业并通过考核后，依托平台出具的“五位一体”全过程合规证据链，向当地人社部门申请技能培训财政补贴。</w:t>
      </w:r>
    </w:p>
    <w:p>
      <w:pPr>
        <w:keepNext/>
        <w:spacing w:before="200" w:after="80"/>
      </w:pPr>
      <w:r>
        <w:rPr>
          <w:rFonts w:ascii="Microsoft YaHei" w:hAnsi="Microsoft YaHei"/>
          <w:b/>
          <w:color w:val="333333"/>
          <w:sz w:val="22"/>
        </w:rPr>
        <w:t>3.1.2 零门槛培训业务全流程</w:t>
      </w:r>
    </w:p>
    <w:p>
      <w:pPr>
        <w:spacing w:after="120" w:line="300" w:lineRule="auto"/>
      </w:pPr>
      <w:r>
        <w:rPr>
          <w:rFonts w:ascii="Microsoft YaHei" w:hAnsi="Microsoft YaHei"/>
          <w:color w:val="333333"/>
          <w:sz w:val="21"/>
        </w:rPr>
        <w:t>1. 课程发布与备案：机构在后台录入人社备案课程（课时、大纲、开班时间、考评标准），平台审核并上架展示。</w:t>
      </w:r>
    </w:p>
    <w:p>
      <w:pPr>
        <w:spacing w:after="120" w:line="300" w:lineRule="auto"/>
      </w:pPr>
      <w:r>
        <w:rPr>
          <w:rFonts w:ascii="Microsoft YaHei" w:hAnsi="Microsoft YaHei"/>
          <w:color w:val="333333"/>
          <w:sz w:val="21"/>
        </w:rPr>
        <w:t>2. 学员在线报名：学员选择对应工种课程，提交身份信息（身份证+人脸核验+就业状态），平台自动校验其是否符合地方人社补贴政策受惠对象资格。</w:t>
      </w:r>
    </w:p>
    <w:p>
      <w:pPr>
        <w:spacing w:after="120" w:line="300" w:lineRule="auto"/>
      </w:pPr>
      <w:r>
        <w:rPr>
          <w:rFonts w:ascii="Microsoft YaHei" w:hAnsi="Microsoft YaHei"/>
          <w:color w:val="333333"/>
          <w:sz w:val="21"/>
        </w:rPr>
        <w:t>3. 混合式教学实施：线上开展理论安全法规与基础原理学习（人脸防作弊打卡计时），线下在机构实训场地进行模拟器飞行与真机实操演练。</w:t>
      </w:r>
    </w:p>
    <w:p>
      <w:pPr>
        <w:spacing w:after="120" w:line="300" w:lineRule="auto"/>
      </w:pPr>
      <w:r>
        <w:rPr>
          <w:rFonts w:ascii="Microsoft YaHei" w:hAnsi="Microsoft YaHei"/>
          <w:color w:val="333333"/>
          <w:sz w:val="21"/>
        </w:rPr>
        <w:t>4. 结业综合考核：培训期满组织理论考核与实操飞行科目考核，考评员现场打分并录入系统。</w:t>
      </w:r>
    </w:p>
    <w:p>
      <w:pPr>
        <w:spacing w:after="120" w:line="300" w:lineRule="auto"/>
      </w:pPr>
      <w:r>
        <w:rPr>
          <w:rFonts w:ascii="Microsoft YaHei" w:hAnsi="Microsoft YaHei"/>
          <w:color w:val="333333"/>
          <w:sz w:val="21"/>
        </w:rPr>
        <w:t>5. 证书出具与归档：考核合格学员自动生成《职业技能培训合格证书》及完整电子档案，同步归集至人社补贴申报批次。</w:t>
      </w:r>
    </w:p>
    <w:p>
      <w:pPr>
        <w:keepNext/>
        <w:spacing w:before="200" w:after="80"/>
      </w:pPr>
      <w:r>
        <w:rPr>
          <w:rFonts w:ascii="Microsoft YaHei" w:hAnsi="Microsoft YaHei"/>
          <w:b/>
          <w:color w:val="333333"/>
          <w:sz w:val="22"/>
        </w:rPr>
        <w:t>3.1.3 “五位一体”培训合格证明与证据链体系</w:t>
      </w:r>
    </w:p>
    <w:p>
      <w:pPr>
        <w:spacing w:after="120" w:line="300" w:lineRule="auto"/>
      </w:pPr>
      <w:r>
        <w:rPr>
          <w:rFonts w:ascii="Microsoft YaHei" w:hAnsi="Microsoft YaHei"/>
          <w:color w:val="333333"/>
          <w:sz w:val="21"/>
        </w:rPr>
        <w:t>为彻底解决人社局防范“虚假培训、空饷挂靠、代打卡”的核心关切，平台建立标准化的“五位一体”证明材料包体系：</w:t>
      </w:r>
    </w:p>
    <w:tbl>
      <w:tblPr>
        <w:tblW w:type="auto" w:w="0"/>
        <w:jc w:val="center"/>
        <w:tblLook w:firstColumn="1" w:firstRow="1" w:lastColumn="0" w:lastRow="0" w:noHBand="0" w:noVBand="1" w:val="04A0"/>
        <w:tblBorders>
          <w:top w:val="single" w:sz="4" w:space="0" w:color="D3D3D3"/>
          <w:bottom w:val="single" w:sz="6" w:space="0" w:color="1F4E79"/>
          <w:left w:val="none"/>
          <w:right w:val="none"/>
          <w:insideH w:val="single" w:sz="4" w:space="0" w:color="D3D3D3"/>
          <w:insideV w:val="none"/>
        </w:tblBorders>
      </w:tblPr>
      <w:tblGrid>
        <w:gridCol w:w="2340"/>
        <w:gridCol w:w="2340"/>
        <w:gridCol w:w="2340"/>
        <w:gridCol w:w="2340"/>
      </w:tblGrid>
      <w:tr>
        <w:tc>
          <w:tcPr>
            <w:tcW w:type="dxa" w:w="1728"/>
            <w:shd w:fill="1F4E79"/>
            <w:tcMar>
              <w:top w:w="140" w:type="dxa"/>
              <w:bottom w:w="140" w:type="dxa"/>
              <w:left w:w="160" w:type="dxa"/>
              <w:right w:w="160" w:type="dxa"/>
            </w:tcMar>
          </w:tcPr>
          <w:p>
            <w:pPr>
              <w:jc w:val="center"/>
            </w:pPr>
            <w:r>
              <w:rPr>
                <w:rFonts w:ascii="Microsoft YaHei" w:hAnsi="Microsoft YaHei"/>
                <w:b/>
                <w:color w:val="FFFFFF"/>
                <w:sz w:val="20"/>
              </w:rPr>
              <w:t>材料类别</w:t>
            </w:r>
          </w:p>
        </w:tc>
        <w:tc>
          <w:tcPr>
            <w:tcW w:type="dxa" w:w="2304"/>
            <w:shd w:fill="1F4E79"/>
            <w:tcMar>
              <w:top w:w="140" w:type="dxa"/>
              <w:bottom w:w="140" w:type="dxa"/>
              <w:left w:w="160" w:type="dxa"/>
              <w:right w:w="160" w:type="dxa"/>
            </w:tcMar>
          </w:tcPr>
          <w:p>
            <w:pPr>
              <w:jc w:val="center"/>
            </w:pPr>
            <w:r>
              <w:rPr>
                <w:rFonts w:ascii="Microsoft YaHei" w:hAnsi="Microsoft YaHei"/>
                <w:b/>
                <w:color w:val="FFFFFF"/>
                <w:sz w:val="20"/>
              </w:rPr>
              <w:t>具体凭证内容</w:t>
            </w:r>
          </w:p>
        </w:tc>
        <w:tc>
          <w:tcPr>
            <w:tcW w:type="dxa" w:w="2880"/>
            <w:shd w:fill="1F4E79"/>
            <w:tcMar>
              <w:top w:w="140" w:type="dxa"/>
              <w:bottom w:w="140" w:type="dxa"/>
              <w:left w:w="160" w:type="dxa"/>
              <w:right w:w="160" w:type="dxa"/>
            </w:tcMar>
          </w:tcPr>
          <w:p>
            <w:pPr>
              <w:jc w:val="center"/>
            </w:pPr>
            <w:r>
              <w:rPr>
                <w:rFonts w:ascii="Microsoft YaHei" w:hAnsi="Microsoft YaHei"/>
                <w:b/>
                <w:color w:val="FFFFFF"/>
                <w:sz w:val="20"/>
              </w:rPr>
              <w:t>核心数据字段与技术要求</w:t>
            </w:r>
          </w:p>
        </w:tc>
        <w:tc>
          <w:tcPr>
            <w:tcW w:type="dxa" w:w="2448"/>
            <w:shd w:fill="1F4E79"/>
            <w:tcMar>
              <w:top w:w="140" w:type="dxa"/>
              <w:bottom w:w="140" w:type="dxa"/>
              <w:left w:w="160" w:type="dxa"/>
              <w:right w:w="160" w:type="dxa"/>
            </w:tcMar>
          </w:tcPr>
          <w:p>
            <w:pPr>
              <w:jc w:val="center"/>
            </w:pPr>
            <w:r>
              <w:rPr>
                <w:rFonts w:ascii="Microsoft YaHei" w:hAnsi="Microsoft YaHei"/>
                <w:b/>
                <w:color w:val="FFFFFF"/>
                <w:sz w:val="20"/>
              </w:rPr>
              <w:t>证明效力与人社核验价值</w:t>
            </w:r>
          </w:p>
        </w:tc>
      </w:tr>
      <w:tr>
        <w:tc>
          <w:tcPr>
            <w:tcW w:type="dxa" w:w="1728"/>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1. 结业合格证书</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《无人机职业技能培训合格证书》（电子+纸质防伪）</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统一防伪编码（PT+年份+地区+机构+流水号）、学员照片、工种方向、总学时/实操学时、成绩、机构电子公章、平台存证验真二维码</w:t>
            </w:r>
          </w:p>
        </w:tc>
        <w:tc>
          <w:tcPr>
            <w:tcW w:type="dxa" w:w="2448"/>
            <w:shd w:fill="FFFFFF"/>
            <w:tcMar>
              <w:top w:w="100" w:type="dxa"/>
              <w:bottom w:w="100" w:type="dxa"/>
              <w:left w:w="140" w:type="dxa"/>
              <w:right w:w="140" w:type="dxa"/>
            </w:tcMar>
          </w:tcPr>
          <w:p>
            <w:pPr>
              <w:spacing w:line="276" w:lineRule="auto" w:after="0"/>
            </w:pPr>
            <w:r>
              <w:rPr>
                <w:rFonts w:ascii="Microsoft YaHei" w:hAnsi="Microsoft YaHei"/>
                <w:color w:val="333333"/>
                <w:sz w:val="19"/>
              </w:rPr>
              <w:t>核心结果证明，人社部门扫码直接穿透调取平台全套原始档案</w:t>
            </w:r>
          </w:p>
        </w:tc>
      </w:tr>
      <w:tr>
        <w:tc>
          <w:tcPr>
            <w:tcW w:type="dxa" w:w="1728"/>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2. 学员身份备案</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学员开班花名册与补贴资格证明材料</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身份证正反面、人脸比对活体检测报告、困难群体/失业/农村劳动力等身份认定凭证</w:t>
            </w:r>
          </w:p>
        </w:tc>
        <w:tc>
          <w:tcPr>
            <w:tcW w:type="dxa" w:w="2448"/>
            <w:shd w:fill="F9FAFB"/>
            <w:tcMar>
              <w:top w:w="100" w:type="dxa"/>
              <w:bottom w:w="100" w:type="dxa"/>
              <w:left w:w="140" w:type="dxa"/>
              <w:right w:w="140" w:type="dxa"/>
            </w:tcMar>
          </w:tcPr>
          <w:p>
            <w:pPr>
              <w:spacing w:line="276" w:lineRule="auto" w:after="0"/>
            </w:pPr>
            <w:r>
              <w:rPr>
                <w:rFonts w:ascii="Microsoft YaHei" w:hAnsi="Microsoft YaHei"/>
                <w:color w:val="333333"/>
                <w:sz w:val="19"/>
              </w:rPr>
              <w:t>证实受训人员符合人社职业培训补贴法定政策受惠条件，排除无效人头</w:t>
            </w:r>
          </w:p>
        </w:tc>
      </w:tr>
      <w:tr>
        <w:tc>
          <w:tcPr>
            <w:tcW w:type="dxa" w:w="1728"/>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3. 全程学时考勤</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“线上+线下”双重考勤打卡日志流水</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线上微表情防挂机学时记录、线下每日指纹/人脸识别签到表、实操飞行训练计时打卡记录</w:t>
            </w:r>
          </w:p>
        </w:tc>
        <w:tc>
          <w:tcPr>
            <w:tcW w:type="dxa" w:w="2448"/>
            <w:shd w:fill="FFFFFF"/>
            <w:tcMar>
              <w:top w:w="100" w:type="dxa"/>
              <w:bottom w:w="100" w:type="dxa"/>
              <w:left w:w="140" w:type="dxa"/>
              <w:right w:w="140" w:type="dxa"/>
            </w:tcMar>
          </w:tcPr>
          <w:p>
            <w:pPr>
              <w:spacing w:line="276" w:lineRule="auto" w:after="0"/>
            </w:pPr>
            <w:r>
              <w:rPr>
                <w:rFonts w:ascii="Microsoft YaHei" w:hAnsi="Microsoft YaHei"/>
                <w:color w:val="333333"/>
                <w:sz w:val="19"/>
              </w:rPr>
              <w:t>证实培训过程真实完整，学时达标率达到人社法定要求（通常要求 ≥ 80%）</w:t>
            </w:r>
          </w:p>
        </w:tc>
      </w:tr>
      <w:tr>
        <w:tc>
          <w:tcPr>
            <w:tcW w:type="dxa" w:w="1728"/>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4. 考核成绩单</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理论试卷机考记录 + 实操科目考评表</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理论机考答卷与得分、实操飞行科目（如8字航线/悬停/应急处置）分项得分、考评员与督导员电子签名</w:t>
            </w:r>
          </w:p>
        </w:tc>
        <w:tc>
          <w:tcPr>
            <w:tcW w:type="dxa" w:w="2448"/>
            <w:shd w:fill="F9FAFB"/>
            <w:tcMar>
              <w:top w:w="100" w:type="dxa"/>
              <w:bottom w:w="100" w:type="dxa"/>
              <w:left w:w="140" w:type="dxa"/>
              <w:right w:w="140" w:type="dxa"/>
            </w:tcMar>
          </w:tcPr>
          <w:p>
            <w:pPr>
              <w:spacing w:line="276" w:lineRule="auto" w:after="0"/>
            </w:pPr>
            <w:r>
              <w:rPr>
                <w:rFonts w:ascii="Microsoft YaHei" w:hAnsi="Microsoft YaHei"/>
                <w:color w:val="333333"/>
                <w:sz w:val="19"/>
              </w:rPr>
              <w:t>证实学员真正掌握对应工种无人机操作技能，具备结业达标水平</w:t>
            </w:r>
          </w:p>
        </w:tc>
      </w:tr>
      <w:tr>
        <w:tc>
          <w:tcPr>
            <w:tcW w:type="dxa" w:w="1728"/>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5. 现场影像佐证</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带时空水印的教学、实操与结业合影</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包含北京时间戳、不可篡改GPS经纬度水印的实操飞行现场照片、教学全景视频片段、结业合影</w:t>
            </w:r>
          </w:p>
        </w:tc>
        <w:tc>
          <w:tcPr>
            <w:tcW w:type="dxa" w:w="2448"/>
            <w:shd w:fill="FFFFFF"/>
            <w:tcMar>
              <w:top w:w="100" w:type="dxa"/>
              <w:bottom w:w="100" w:type="dxa"/>
              <w:left w:w="140" w:type="dxa"/>
              <w:right w:w="140" w:type="dxa"/>
            </w:tcMar>
          </w:tcPr>
          <w:p>
            <w:pPr>
              <w:spacing w:line="276" w:lineRule="auto" w:after="0"/>
            </w:pPr>
            <w:r>
              <w:rPr>
                <w:rFonts w:ascii="Microsoft YaHei" w:hAnsi="Microsoft YaHei"/>
                <w:color w:val="333333"/>
                <w:sz w:val="19"/>
              </w:rPr>
              <w:t>提供不可伪造的视觉场景存证，杜绝“空壳开班、伪造名册”</w:t>
            </w:r>
          </w:p>
        </w:tc>
      </w:tr>
    </w:tbl>
    <w:p>
      <w:pPr>
        <w:spacing w:after="120"/>
      </w:pPr>
    </w:p>
    <w:p>
      <w:pPr>
        <w:keepNext/>
        <w:spacing w:before="200" w:after="80"/>
      </w:pPr>
      <w:r>
        <w:rPr>
          <w:rFonts w:ascii="Microsoft YaHei" w:hAnsi="Microsoft YaHei"/>
          <w:b/>
          <w:color w:val="333333"/>
          <w:sz w:val="22"/>
        </w:rPr>
        <w:t>3.1.4 人社部门补贴核发 5 大审核判定准则</w:t>
      </w:r>
    </w:p>
    <w:p>
      <w:pPr>
        <w:spacing w:after="120" w:line="300" w:lineRule="auto"/>
      </w:pPr>
      <w:r>
        <w:rPr>
          <w:rFonts w:ascii="Microsoft YaHei" w:hAnsi="Microsoft YaHei"/>
          <w:color w:val="333333"/>
          <w:sz w:val="21"/>
        </w:rPr>
        <w:t>平台与人社部门系统对接时，人社审批人员依循以下5项核心准则进行补贴核批：</w:t>
      </w:r>
    </w:p>
    <w:p>
      <w:pPr>
        <w:spacing w:after="120" w:line="300" w:lineRule="auto"/>
      </w:pPr>
      <w:r>
        <w:rPr>
          <w:rFonts w:ascii="Microsoft YaHei" w:hAnsi="Microsoft YaHei"/>
          <w:color w:val="333333"/>
          <w:sz w:val="21"/>
        </w:rPr>
        <w:t>1. 办学主体合规性：核验申请机构是否具备民办办学许可，是否处于当地人社培训定点目录有效期内，申报工种是否在资质核准范围。</w:t>
      </w:r>
    </w:p>
    <w:p>
      <w:pPr>
        <w:spacing w:after="120" w:line="300" w:lineRule="auto"/>
      </w:pPr>
      <w:r>
        <w:rPr>
          <w:rFonts w:ascii="Microsoft YaHei" w:hAnsi="Microsoft YaHei"/>
          <w:color w:val="333333"/>
          <w:sz w:val="21"/>
        </w:rPr>
        <w:t>2. 学员资格排重性：通过身份证号与全省/全国社保及技能培训数据库联网比对，核验学员是否处于就业失业合规状态，且当年内未重复享受政府同类技能培训补贴。</w:t>
      </w:r>
    </w:p>
    <w:p>
      <w:pPr>
        <w:spacing w:after="120" w:line="300" w:lineRule="auto"/>
      </w:pPr>
      <w:r>
        <w:rPr>
          <w:rFonts w:ascii="Microsoft YaHei" w:hAnsi="Microsoft YaHei"/>
          <w:color w:val="333333"/>
          <w:sz w:val="21"/>
        </w:rPr>
        <w:t>3. 过程打卡达标率：核查学员线上与线下有效考勤学时是否达到教学大纲规定总学时的80%以上，人脸抓拍比对一致率达到98%以上。</w:t>
      </w:r>
    </w:p>
    <w:p>
      <w:pPr>
        <w:spacing w:after="120" w:line="300" w:lineRule="auto"/>
      </w:pPr>
      <w:r>
        <w:rPr>
          <w:rFonts w:ascii="Microsoft YaHei" w:hAnsi="Microsoft YaHei"/>
          <w:color w:val="333333"/>
          <w:sz w:val="21"/>
        </w:rPr>
        <w:t>4. 结业考核及格率：核查理论与实操双科目考核成绩是否均达到及格线（≥ 60分），考评记录签名是否完整合规。</w:t>
      </w:r>
    </w:p>
    <w:p>
      <w:pPr>
        <w:spacing w:after="120" w:line="300" w:lineRule="auto"/>
      </w:pPr>
      <w:r>
        <w:rPr>
          <w:rFonts w:ascii="Microsoft YaHei" w:hAnsi="Microsoft YaHei"/>
          <w:color w:val="333333"/>
          <w:sz w:val="21"/>
        </w:rPr>
        <w:t>5. 电子数据穿透一致性：比对机构申报材料与平台数据库原始留存数据是否100%吻合，支持人社监管专员一键调阅现场音视频抽检。</w:t>
      </w:r>
    </w:p>
    <w:p>
      <w:pPr>
        <w:keepNext/>
        <w:spacing w:before="200" w:after="80"/>
      </w:pPr>
      <w:r>
        <w:rPr>
          <w:rFonts w:ascii="Microsoft YaHei" w:hAnsi="Microsoft YaHei"/>
          <w:b/>
          <w:color w:val="333333"/>
          <w:sz w:val="22"/>
        </w:rPr>
        <w:t>3.1.5 人社专窗对接与申报流转流程</w:t>
      </w:r>
    </w:p>
    <w:p>
      <w:pPr>
        <w:spacing w:after="120" w:line="300" w:lineRule="auto"/>
      </w:pPr>
      <w:r>
        <w:rPr>
          <w:rFonts w:ascii="Microsoft YaHei" w:hAnsi="Microsoft YaHei"/>
          <w:color w:val="333333"/>
          <w:sz w:val="21"/>
        </w:rPr>
        <w:t>• 机构批量发起：培训班考核结束后，机构在管理后台勾选合格学员，系统自动打包生成人社标准归档报表（含五位一体材料）。</w:t>
      </w:r>
    </w:p>
    <w:p>
      <w:pPr>
        <w:spacing w:after="120" w:line="300" w:lineRule="auto"/>
      </w:pPr>
      <w:r>
        <w:rPr>
          <w:rFonts w:ascii="Microsoft YaHei" w:hAnsi="Microsoft YaHei"/>
          <w:color w:val="333333"/>
          <w:sz w:val="21"/>
        </w:rPr>
        <w:t>• 人社专窗/接口核验：平台为人社部门开设专属审核专窗（或API数据直报），人社专员在线批量核查数据与抽检视频。</w:t>
      </w:r>
    </w:p>
    <w:p>
      <w:pPr>
        <w:spacing w:after="120" w:line="300" w:lineRule="auto"/>
      </w:pPr>
      <w:r>
        <w:rPr>
          <w:rFonts w:ascii="Microsoft YaHei" w:hAnsi="Microsoft YaHei"/>
          <w:color w:val="333333"/>
          <w:sz w:val="21"/>
        </w:rPr>
        <w:t>• 财政资金直拨：人社审核公示无异议后，将技能培训补贴资金直接划拨至培训机构对公账户；平台同步更新批次结算状态。</w:t>
      </w:r>
    </w:p>
    <w:p>
      <w:pPr>
        <w:keepNext/>
        <w:spacing w:before="280" w:after="120"/>
      </w:pPr>
      <w:r>
        <w:rPr>
          <w:rFonts w:ascii="Microsoft YaHei" w:hAnsi="Microsoft YaHei"/>
          <w:b/>
          <w:color w:val="2E75B6"/>
          <w:sz w:val="26"/>
        </w:rPr>
        <w:t>3.2 CAAC考证模块（双入口·证书回传·机组企业生态）</w:t>
      </w:r>
    </w:p>
    <w:p>
      <w:pPr>
        <w:keepNext/>
        <w:spacing w:before="200" w:after="80"/>
      </w:pPr>
      <w:r>
        <w:rPr>
          <w:rFonts w:ascii="Microsoft YaHei" w:hAnsi="Microsoft YaHei"/>
          <w:b/>
          <w:color w:val="333333"/>
          <w:sz w:val="22"/>
        </w:rPr>
        <w:t>3.2.1 模块定位与商业闭环</w:t>
      </w:r>
    </w:p>
    <w:p>
      <w:pPr>
        <w:spacing w:after="120" w:line="300" w:lineRule="auto"/>
      </w:pPr>
      <w:r>
        <w:rPr>
          <w:rFonts w:ascii="Microsoft YaHei" w:hAnsi="Microsoft YaHei"/>
          <w:color w:val="333333"/>
          <w:sz w:val="21"/>
        </w:rPr>
        <w:t>按照国家民航规章，从事商用无人机飞行作业人员必须取得中国民航局（CAAC）颁发的《民用无人驾驶航空器操控员执照》。CAAC考证模块是飞手从“技能初学者”向“商业合规接单人”跨越的关键桥梁。平台对接具备民航局培训资质的优质航校，构建“在线报名缴费 → 基地集训考证 → 执照回传核验 → 资金扣点结算 → 解锁平台商用接单/挂靠企业机组”的完整闭环。</w:t>
      </w:r>
    </w:p>
    <w:p>
      <w:pPr>
        <w:keepNext/>
        <w:spacing w:before="200" w:after="80"/>
      </w:pPr>
      <w:r>
        <w:rPr>
          <w:rFonts w:ascii="Microsoft YaHei" w:hAnsi="Microsoft YaHei"/>
          <w:b/>
          <w:color w:val="333333"/>
          <w:sz w:val="22"/>
        </w:rPr>
        <w:t>3.2.2 双报名入口设计与阶梯转化漏斗</w:t>
      </w:r>
    </w:p>
    <w:p>
      <w:pPr>
        <w:spacing w:after="120" w:line="300" w:lineRule="auto"/>
      </w:pPr>
      <w:r>
        <w:rPr>
          <w:rFonts w:ascii="Microsoft YaHei" w:hAnsi="Microsoft YaHei"/>
          <w:color w:val="333333"/>
          <w:sz w:val="21"/>
        </w:rPr>
        <w:t>1. 独立报名专区（面向社会直接考证用户）：在小程序与官网首页设置“CAAC考证中心”，用户可按执照等级（视距内驾驶员 VLOS / 超视距驾驶员 EVLOS / 教员 Instructor）、机型类别（多旋翼 / 垂直起降固定翼 / 直升机）、就近省市机构进行筛选、试听与在线全额缴费。</w:t>
      </w:r>
    </w:p>
    <w:p>
      <w:pPr>
        <w:spacing w:after="120" w:line="300" w:lineRule="auto"/>
      </w:pPr>
      <w:r>
        <w:rPr>
          <w:rFonts w:ascii="Microsoft YaHei" w:hAnsi="Microsoft YaHei"/>
          <w:color w:val="333333"/>
          <w:sz w:val="21"/>
        </w:rPr>
        <w:t>2. 技能培训结业无缝转化入口（高意向精准转化）：学员完成平台技能培训并取得合格证明后，系统自动触发“成长赋能弹窗”：提示“您已具备基础实操技能，继续考取民航CAAC执照，即可解锁平台商业接单赚钱权限”，并为该学员自动发放“技能学员专属500~1000元考证抵用券”，智能推荐最匹配的CAAC升阶班型，实现从免费培训到付费考证的高转化。</w:t>
      </w:r>
    </w:p>
    <w:p>
      <w:pPr>
        <w:keepNext/>
        <w:spacing w:before="200" w:after="80"/>
      </w:pPr>
      <w:r>
        <w:rPr>
          <w:rFonts w:ascii="Microsoft YaHei" w:hAnsi="Microsoft YaHei"/>
          <w:b/>
          <w:color w:val="333333"/>
          <w:sz w:val="22"/>
        </w:rPr>
        <w:t>3.2.3 培训机构管理端核心功能</w:t>
      </w:r>
    </w:p>
    <w:p>
      <w:pPr>
        <w:spacing w:after="120" w:line="300" w:lineRule="auto"/>
      </w:pPr>
      <w:r>
        <w:rPr>
          <w:rFonts w:ascii="Microsoft YaHei" w:hAnsi="Microsoft YaHei"/>
          <w:color w:val="333333"/>
          <w:sz w:val="21"/>
        </w:rPr>
        <w:t>• 生源流转管理：实时查看平台推送的报名学员档案、缴费状态、意向机型与历史技能培训成绩。</w:t>
      </w:r>
    </w:p>
    <w:p>
      <w:pPr>
        <w:spacing w:after="120" w:line="300" w:lineRule="auto"/>
      </w:pPr>
      <w:r>
        <w:rPr>
          <w:rFonts w:ascii="Microsoft YaHei" w:hAnsi="Microsoft YaHei"/>
          <w:color w:val="333333"/>
          <w:sz w:val="21"/>
        </w:rPr>
        <w:t>• 教务与排考中心：进行学员分班排课，记录民航理论模拟刷题进度、飞行模拟器训练时长及真机带飞记录，标记并推送具备送考条件的学员名单。</w:t>
      </w:r>
    </w:p>
    <w:p>
      <w:pPr>
        <w:spacing w:after="120" w:line="300" w:lineRule="auto"/>
      </w:pPr>
      <w:r>
        <w:rPr>
          <w:rFonts w:ascii="Microsoft YaHei" w:hAnsi="Microsoft YaHei"/>
          <w:color w:val="333333"/>
          <w:sz w:val="21"/>
        </w:rPr>
        <w:t>• 证书回传中心：学员参加民航局统考通过并出证后，机构教务在后台上传学员CAAC执照信息（执照编号、执照等级、签发日期、电子执照高清截图），提交平台发起结业与结算审核。</w:t>
      </w:r>
    </w:p>
    <w:p>
      <w:pPr>
        <w:keepNext/>
        <w:spacing w:before="200" w:after="80"/>
      </w:pPr>
      <w:r>
        <w:rPr>
          <w:rFonts w:ascii="Microsoft YaHei" w:hAnsi="Microsoft YaHei"/>
          <w:b/>
          <w:color w:val="333333"/>
          <w:sz w:val="22"/>
        </w:rPr>
        <w:t>3.2.4 CAAC证书回传与监管资金结算机制</w:t>
      </w:r>
    </w:p>
    <w:p>
      <w:pPr>
        <w:spacing w:after="120" w:line="300" w:lineRule="auto"/>
      </w:pPr>
      <w:r>
        <w:rPr>
          <w:rFonts w:ascii="Microsoft YaHei" w:hAnsi="Microsoft YaHei"/>
          <w:color w:val="333333"/>
          <w:sz w:val="21"/>
        </w:rPr>
        <w:t>• 资金全额监管：学员报名缴费时，款项全额进入平台在持牌银行开立的资金监管专用账户，机构不可提前支取。</w:t>
      </w:r>
    </w:p>
    <w:p>
      <w:pPr>
        <w:spacing w:after="120" w:line="300" w:lineRule="auto"/>
      </w:pPr>
      <w:r>
        <w:rPr>
          <w:rFonts w:ascii="Microsoft YaHei" w:hAnsi="Microsoft YaHei"/>
          <w:color w:val="333333"/>
          <w:sz w:val="21"/>
        </w:rPr>
        <w:t>• 证书核验触发分账：机构在后台回传CAAC执照后，平台运营专员结合中国民航局UOM平台数据进行执照信息真伪交叉核验。</w:t>
      </w:r>
    </w:p>
    <w:p>
      <w:pPr>
        <w:spacing w:after="120" w:line="300" w:lineRule="auto"/>
      </w:pPr>
      <w:r>
        <w:rPr>
          <w:rFonts w:ascii="Microsoft YaHei" w:hAnsi="Microsoft YaHei"/>
          <w:color w:val="333333"/>
          <w:sz w:val="21"/>
        </w:rPr>
        <w:t>• 自动结算清算：核验通过后，系统自动触发分账指令，扣除平台提成佣金（15% ~ 25%），将剩余培训费用结算至培训机构对公账户。</w:t>
      </w:r>
    </w:p>
    <w:p>
      <w:pPr>
        <w:spacing w:after="120" w:line="300" w:lineRule="auto"/>
      </w:pPr>
      <w:r>
        <w:rPr>
          <w:rFonts w:ascii="Microsoft YaHei" w:hAnsi="Microsoft YaHei"/>
          <w:color w:val="333333"/>
          <w:sz w:val="21"/>
        </w:rPr>
        <w:t>• 补考与退款兜底：如学员未通过民航统考，支持触发“首考不通过重培保障机制”，或依培训协议扣除已消耗课时后退还余额，保障学员权益。</w:t>
      </w:r>
    </w:p>
    <w:p>
      <w:pPr>
        <w:keepNext/>
        <w:spacing w:before="200" w:after="80"/>
      </w:pPr>
      <w:r>
        <w:rPr>
          <w:rFonts w:ascii="Microsoft YaHei" w:hAnsi="Microsoft YaHei"/>
          <w:b/>
          <w:color w:val="333333"/>
          <w:sz w:val="22"/>
        </w:rPr>
        <w:t>3.2.5 持证人员生态赋能（接单权限·机组协同·企业绑定）</w:t>
      </w:r>
    </w:p>
    <w:p>
      <w:pPr>
        <w:spacing w:after="120" w:line="300" w:lineRule="auto"/>
      </w:pPr>
      <w:r>
        <w:rPr>
          <w:rFonts w:ascii="Microsoft YaHei" w:hAnsi="Microsoft YaHei"/>
          <w:color w:val="333333"/>
          <w:sz w:val="21"/>
        </w:rPr>
        <w:t>学员取得CAAC执照并在平台通过资质认证后，获得全方位商业赋能：</w:t>
      </w:r>
    </w:p>
    <w:p>
      <w:pPr>
        <w:spacing w:after="120" w:line="300" w:lineRule="auto"/>
      </w:pPr>
      <w:r>
        <w:rPr>
          <w:rFonts w:ascii="Microsoft YaHei" w:hAnsi="Microsoft YaHei"/>
          <w:color w:val="333333"/>
          <w:sz w:val="21"/>
        </w:rPr>
        <w:t>1. 商业接单权限解锁：系统根据其执照等级（如多旋翼超视距），自动点亮个人主页“民航认证飞手”金标，解锁对应机型与空域要求的商业订单抢单权限。</w:t>
      </w:r>
    </w:p>
    <w:p>
      <w:pPr>
        <w:spacing w:after="120" w:line="300" w:lineRule="auto"/>
      </w:pPr>
      <w:r>
        <w:rPr>
          <w:rFonts w:ascii="Microsoft YaHei" w:hAnsi="Microsoft YaHei"/>
          <w:color w:val="333333"/>
          <w:sz w:val="21"/>
        </w:rPr>
        <w:t>2. 自由飞手关联机组：平台支持由多名持证飞手联合组建“专业机组团队”（如3人电力巡检组、5人农林飞防队），由机长统一在平台抢接大型项目单，队员协同执行。</w:t>
      </w:r>
    </w:p>
    <w:p>
      <w:pPr>
        <w:spacing w:after="120" w:line="300" w:lineRule="auto"/>
      </w:pPr>
      <w:r>
        <w:rPr>
          <w:rFonts w:ascii="Microsoft YaHei" w:hAnsi="Microsoft YaHei"/>
          <w:color w:val="333333"/>
          <w:sz w:val="21"/>
        </w:rPr>
        <w:t>3. 企业账号绑定与挂靠：无人机用机企业/航测服务商可向持证飞手发起企业绑定邀请。绑定后，企业端可统一管理旗下飞手排班、调度飞行任务，订单款项可结算至企业账户并由企业按绩效向飞手分润，满足规模化企业用工需求。</w:t>
      </w:r>
    </w:p>
    <w:p>
      <w:pPr>
        <w:keepNext/>
        <w:spacing w:before="280" w:after="120"/>
      </w:pPr>
      <w:r>
        <w:rPr>
          <w:rFonts w:ascii="Microsoft YaHei" w:hAnsi="Microsoft YaHei"/>
          <w:b/>
          <w:color w:val="2E75B6"/>
          <w:sz w:val="26"/>
        </w:rPr>
        <w:t>3.3 订单供需模块（任务撮合·“一登二查三申请”空域合规）</w:t>
      </w:r>
    </w:p>
    <w:p>
      <w:pPr>
        <w:keepNext/>
        <w:spacing w:before="200" w:after="80"/>
      </w:pPr>
      <w:r>
        <w:rPr>
          <w:rFonts w:ascii="Microsoft YaHei" w:hAnsi="Microsoft YaHei"/>
          <w:b/>
          <w:color w:val="333333"/>
          <w:sz w:val="22"/>
        </w:rPr>
        <w:t>3.3.1 平台法律定位与合规服务边界（不越权审批声明）</w:t>
      </w: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Borders>
              <w:top w:val="none"/>
              <w:left w:val="single" w:sz="24" w:space="0" w:color="2E75B6"/>
              <w:bottom w:val="none"/>
              <w:right w:val="none"/>
            </w:tcBorders>
          </w:tcPr>
          <w:p>
            <w:pPr>
              <w:spacing w:after="40"/>
            </w:pPr>
            <w:r>
              <w:rPr>
                <w:rFonts w:ascii="Microsoft YaHei" w:hAnsi="Microsoft YaHei"/>
                <w:b/>
                <w:color w:val="1F4E79"/>
                <w:sz w:val="21"/>
              </w:rPr>
              <w:t>【平台合规红线与法律声明】</w:t>
              <w:br/>
            </w:r>
            <w:r>
              <w:rPr>
                <w:rFonts w:ascii="Microsoft YaHei" w:hAnsi="Microsoft YaHei"/>
                <w:color w:val="444444"/>
                <w:sz w:val="20"/>
              </w:rPr>
              <w:t>【重要法律边界与免责声明】</w:t>
              <w:br/>
              <w:t>1. 平台法律定位：毕数飞行平台定位为“民用无人机行业供需信息撮合与履约监管服务商”，绝对不具备、不越权行使任何空域审批与飞行许可法定职能。</w:t>
              <w:br/>
              <w:t>2. 法定责任归属：依据《无人驾驶航空器飞行管理暂行条例》，空域管理与飞行申请的法定审批主体为国家空管部门与民航局UOM系统。无人机拥有者与操控人员必须依法在UOM平台履行实名登记、空域查询及管制空域审批申请。</w:t>
              <w:br/>
              <w:t>3. 平台合规职责：平台通过在订单全生命周期中深度嵌入“一登二查三申请”引导组件、强制阅读承诺书、上传审批凭证核验、作业保险强制核验及风控拦截，协助用户合规履约，规避黑飞与安全风险。</w:t>
            </w:r>
          </w:p>
        </w:tc>
      </w:tr>
    </w:tbl>
    <w:p>
      <w:pPr>
        <w:spacing w:before="0" w:after="80"/>
      </w:pPr>
    </w:p>
    <w:p>
      <w:pPr>
        <w:keepNext/>
        <w:spacing w:before="200" w:after="80"/>
      </w:pPr>
      <w:r>
        <w:rPr>
          <w:rFonts w:ascii="Microsoft YaHei" w:hAnsi="Microsoft YaHei"/>
          <w:b/>
          <w:color w:val="333333"/>
          <w:sz w:val="22"/>
        </w:rPr>
        <w:t>3.3.2 需求发布与智能风险评估</w:t>
      </w:r>
    </w:p>
    <w:p>
      <w:pPr>
        <w:spacing w:after="120" w:line="300" w:lineRule="auto"/>
      </w:pPr>
      <w:r>
        <w:rPr>
          <w:rFonts w:ascii="Microsoft YaHei" w:hAnsi="Microsoft YaHei"/>
          <w:color w:val="333333"/>
          <w:sz w:val="21"/>
        </w:rPr>
        <w:t>需求方在小程序或企业端发布任务需求：</w:t>
      </w:r>
    </w:p>
    <w:p>
      <w:pPr>
        <w:spacing w:after="120" w:line="300" w:lineRule="auto"/>
      </w:pPr>
      <w:r>
        <w:rPr>
          <w:rFonts w:ascii="Microsoft YaHei" w:hAnsi="Microsoft YaHei"/>
          <w:color w:val="333333"/>
          <w:sz w:val="21"/>
        </w:rPr>
        <w:t>• 任务要素录入：选择作业类型（航拍测绘、电力巡检、农业植保、建筑吊运、应急救援等）、作业地理位置（高精度GPS打点）、作业时间段、预算金额、所需机型及飞手执照等级要求。</w:t>
      </w:r>
    </w:p>
    <w:p>
      <w:pPr>
        <w:spacing w:after="120" w:line="300" w:lineRule="auto"/>
      </w:pPr>
      <w:r>
        <w:rPr>
          <w:rFonts w:ascii="Microsoft YaHei" w:hAnsi="Microsoft YaHei"/>
          <w:color w:val="333333"/>
          <w:sz w:val="21"/>
        </w:rPr>
        <w:t>• 智能空域预警提示：系统调用地图GIS数据库与开源空域参考库，对任务地点进行初步风险标注（如周边是否存在机场净空区、军事管制区等敏感点），在任务详情页醒目标注风险提示，告知该区域可能属于管制空域。</w:t>
      </w:r>
    </w:p>
    <w:p>
      <w:pPr>
        <w:keepNext/>
        <w:spacing w:before="200" w:after="80"/>
      </w:pPr>
      <w:r>
        <w:rPr>
          <w:rFonts w:ascii="Microsoft YaHei" w:hAnsi="Microsoft YaHei"/>
          <w:b/>
          <w:color w:val="333333"/>
          <w:sz w:val="22"/>
        </w:rPr>
        <w:t>3.3.3 飞手接单与履约流程（含保险双轨制设计）</w:t>
      </w:r>
    </w:p>
    <w:p>
      <w:pPr>
        <w:spacing w:after="120" w:line="300" w:lineRule="auto"/>
      </w:pPr>
      <w:r>
        <w:rPr>
          <w:rFonts w:ascii="Microsoft YaHei" w:hAnsi="Microsoft YaHei"/>
          <w:color w:val="333333"/>
          <w:sz w:val="21"/>
        </w:rPr>
        <w:t>飞手/企业机组接单及执行的标准全流程如下：</w:t>
      </w:r>
    </w:p>
    <w:p>
      <w:pPr>
        <w:spacing w:after="120" w:line="300" w:lineRule="auto"/>
      </w:pPr>
      <w:r>
        <w:rPr>
          <w:rFonts w:ascii="Microsoft YaHei" w:hAnsi="Microsoft YaHei"/>
          <w:color w:val="333333"/>
          <w:sz w:val="21"/>
        </w:rPr>
        <w:t>1. 订单广场筛选：持证飞手或企业机组根据作业类型、报酬、地点进行筛选。</w:t>
      </w:r>
    </w:p>
    <w:p>
      <w:pPr>
        <w:spacing w:after="120" w:line="300" w:lineRule="auto"/>
      </w:pPr>
      <w:r>
        <w:rPr>
          <w:rFonts w:ascii="Microsoft YaHei" w:hAnsi="Microsoft YaHei"/>
          <w:color w:val="333333"/>
          <w:sz w:val="21"/>
        </w:rPr>
        <w:t>2. 资质硬性匹配拦截：飞手点击“我要抢单”时，系统强行校验其CAAC执照类型、机型匹配度、信用分及保证金缴纳情况；资质不符者直接拦截并提示原因。</w:t>
      </w:r>
    </w:p>
    <w:p>
      <w:pPr>
        <w:spacing w:after="120" w:line="300" w:lineRule="auto"/>
      </w:pPr>
      <w:r>
        <w:rPr>
          <w:rFonts w:ascii="Microsoft YaHei" w:hAnsi="Microsoft YaHei"/>
          <w:color w:val="333333"/>
          <w:sz w:val="21"/>
        </w:rPr>
        <w:t>3. 线上电子合同与资金托管：接单成功后，双方在线签署具备法律效力的《无人机技术服务电子合同》（内置防跳单与安全免责条款），需求方全额支付订单款项至平台监管账户。</w:t>
      </w:r>
    </w:p>
    <w:p>
      <w:pPr>
        <w:spacing w:after="120" w:line="300" w:lineRule="auto"/>
      </w:pPr>
      <w:r>
        <w:rPr>
          <w:rFonts w:ascii="Microsoft YaHei" w:hAnsi="Microsoft YaHei"/>
          <w:color w:val="333333"/>
          <w:sz w:val="21"/>
        </w:rPr>
        <w:t>4. 作业保险保障确认（灵活双轨制：平台选购 OR 外部保单上传）：</w:t>
      </w:r>
    </w:p>
    <w:p>
      <w:pPr>
        <w:spacing w:after="120" w:line="300" w:lineRule="auto"/>
      </w:pPr>
      <w:r>
        <w:rPr>
          <w:rFonts w:ascii="Microsoft YaHei" w:hAnsi="Microsoft YaHei"/>
          <w:color w:val="333333"/>
          <w:sz w:val="21"/>
        </w:rPr>
        <w:t xml:space="preserve">   • 平台商业保险是控制飞行作业事故风险（坠机伤人、财产损失）的核心保障。平台推行“必须具备有效保险覆盖，但投保渠道自主选择”的灵活双轨机制：</w:t>
      </w:r>
    </w:p>
    <w:p>
      <w:pPr>
        <w:spacing w:after="120" w:line="300" w:lineRule="auto"/>
      </w:pPr>
      <w:r>
        <w:rPr>
          <w:rFonts w:ascii="Microsoft YaHei" w:hAnsi="Microsoft YaHei"/>
          <w:color w:val="333333"/>
          <w:sz w:val="21"/>
        </w:rPr>
        <w:t xml:space="preserve">   • 【方案A：平台一键随单投保（可选/推荐）】：飞手在确认接单时，可直接勾选购买平台合作保险公司（如众安/人保/平安）提供的单次商用飞行险（包含第三者责任险与机身险，保费约15~50元/单）。系统自动对接保司生成电子保单并与订单实时绑定，出险由保司绿色通道快速理赔。</w:t>
      </w:r>
    </w:p>
    <w:p>
      <w:pPr>
        <w:spacing w:after="120" w:line="300" w:lineRule="auto"/>
      </w:pPr>
      <w:r>
        <w:rPr>
          <w:rFonts w:ascii="Microsoft YaHei" w:hAnsi="Microsoft YaHei"/>
          <w:color w:val="333333"/>
          <w:sz w:val="21"/>
        </w:rPr>
        <w:t xml:space="preserve">   • 【方案B：自备外部保单上传核验（可选）】：若飞手或其所属企业已在外部保险公司购买了常年期商业保险（如年度三者险/机身险），可选择不购买平台单次保险。飞手必须在订单详情中点击“上传外部保单”，提交保单信息（保单号、承保机构、被保险人姓名、承保无人机SN码、保额、有效期截图/PDF）。系统通过OCR自动识别与人工复核，核验通过后予以放行。</w:t>
      </w:r>
    </w:p>
    <w:p>
      <w:pPr>
        <w:spacing w:after="120" w:line="300" w:lineRule="auto"/>
      </w:pPr>
      <w:r>
        <w:rPr>
          <w:rFonts w:ascii="Microsoft YaHei" w:hAnsi="Microsoft YaHei"/>
          <w:color w:val="333333"/>
          <w:sz w:val="21"/>
        </w:rPr>
        <w:t xml:space="preserve">   • 【未持有效保单拦截】：若飞手既未购买平台单次保险，也未上传或上传的外部保单已过期/机型不符，系统在后续“现场作业打卡”环节将予以硬性阻断，禁止开工飞行。</w:t>
      </w:r>
    </w:p>
    <w:p>
      <w:pPr>
        <w:spacing w:after="120" w:line="300" w:lineRule="auto"/>
      </w:pPr>
      <w:r>
        <w:rPr>
          <w:rFonts w:ascii="Microsoft YaHei" w:hAnsi="Microsoft YaHei"/>
          <w:color w:val="333333"/>
          <w:sz w:val="21"/>
        </w:rPr>
        <w:t>5. 履约对接与电话保护：双方需要确认具体细节时，通过平台分配的虚拟隐私号码进行电话沟通，保障信息安全并避免直接泄露真实号码。</w:t>
      </w:r>
    </w:p>
    <w:p>
      <w:pPr>
        <w:spacing w:after="120" w:line="300" w:lineRule="auto"/>
      </w:pPr>
      <w:r>
        <w:rPr>
          <w:rFonts w:ascii="Microsoft YaHei" w:hAnsi="Microsoft YaHei"/>
          <w:color w:val="333333"/>
          <w:sz w:val="21"/>
        </w:rPr>
        <w:t>6. 现场作业打卡与成果验收：飞手到达现场开启小程序GPS定位打卡，完成飞行任务后上传作业成果文件/水印截图；需求方在线验收合格后点击确认。</w:t>
      </w:r>
    </w:p>
    <w:p>
      <w:pPr>
        <w:spacing w:after="120" w:line="300" w:lineRule="auto"/>
      </w:pPr>
      <w:r>
        <w:rPr>
          <w:rFonts w:ascii="Microsoft YaHei" w:hAnsi="Microsoft YaHei"/>
          <w:color w:val="333333"/>
          <w:sz w:val="21"/>
        </w:rPr>
        <w:t>7. 佣金扣除与资金清算：平台扣除10%~20%平台佣金（及代扣平台投保费用，如有）后，将尾款自动打款至飞手个人钱包或企业对公账户。</w:t>
      </w:r>
    </w:p>
    <w:p>
      <w:pPr>
        <w:keepNext/>
        <w:spacing w:before="200" w:after="80"/>
      </w:pPr>
      <w:r>
        <w:rPr>
          <w:rFonts w:ascii="Microsoft YaHei" w:hAnsi="Microsoft YaHei"/>
          <w:b/>
          <w:color w:val="333333"/>
          <w:sz w:val="22"/>
        </w:rPr>
        <w:t>3.3.4 “一登二查三申请”UOM嵌入式合规交互体系</w:t>
      </w:r>
    </w:p>
    <w:p>
      <w:pPr>
        <w:spacing w:after="120" w:line="300" w:lineRule="auto"/>
      </w:pPr>
      <w:r>
        <w:rPr>
          <w:rFonts w:ascii="Microsoft YaHei" w:hAnsi="Microsoft YaHei"/>
          <w:color w:val="333333"/>
          <w:sz w:val="21"/>
        </w:rPr>
        <w:t>平台在飞手接单后至起飞作业前，强制执行“一登二查三申请”及保险核验合规交互流转：</w:t>
      </w:r>
    </w:p>
    <w:tbl>
      <w:tblPr>
        <w:tblW w:type="auto" w:w="0"/>
        <w:jc w:val="center"/>
        <w:tblLook w:firstColumn="1" w:firstRow="1" w:lastColumn="0" w:lastRow="0" w:noHBand="0" w:noVBand="1" w:val="04A0"/>
        <w:tblBorders>
          <w:top w:val="single" w:sz="4" w:space="0" w:color="D3D3D3"/>
          <w:bottom w:val="single" w:sz="6" w:space="0" w:color="1F4E79"/>
          <w:left w:val="none"/>
          <w:right w:val="none"/>
          <w:insideH w:val="single" w:sz="4" w:space="0" w:color="D3D3D3"/>
          <w:insideV w:val="none"/>
        </w:tblBorders>
      </w:tblPr>
      <w:tblGrid>
        <w:gridCol w:w="2340"/>
        <w:gridCol w:w="2340"/>
        <w:gridCol w:w="2340"/>
        <w:gridCol w:w="2340"/>
      </w:tblGrid>
      <w:tr>
        <w:tc>
          <w:tcPr>
            <w:tcW w:type="dxa" w:w="1728"/>
            <w:shd w:fill="1F4E79"/>
            <w:tcMar>
              <w:top w:w="140" w:type="dxa"/>
              <w:bottom w:w="140" w:type="dxa"/>
              <w:left w:w="160" w:type="dxa"/>
              <w:right w:w="160" w:type="dxa"/>
            </w:tcMar>
          </w:tcPr>
          <w:p>
            <w:pPr>
              <w:jc w:val="center"/>
            </w:pPr>
            <w:r>
              <w:rPr>
                <w:rFonts w:ascii="Microsoft YaHei" w:hAnsi="Microsoft YaHei"/>
                <w:b/>
                <w:color w:val="FFFFFF"/>
                <w:sz w:val="20"/>
              </w:rPr>
              <w:t>合规步骤</w:t>
            </w:r>
          </w:p>
        </w:tc>
        <w:tc>
          <w:tcPr>
            <w:tcW w:type="dxa" w:w="2448"/>
            <w:shd w:fill="1F4E79"/>
            <w:tcMar>
              <w:top w:w="140" w:type="dxa"/>
              <w:bottom w:w="140" w:type="dxa"/>
              <w:left w:w="160" w:type="dxa"/>
              <w:right w:w="160" w:type="dxa"/>
            </w:tcMar>
          </w:tcPr>
          <w:p>
            <w:pPr>
              <w:jc w:val="center"/>
            </w:pPr>
            <w:r>
              <w:rPr>
                <w:rFonts w:ascii="Microsoft YaHei" w:hAnsi="Microsoft YaHei"/>
                <w:b/>
                <w:color w:val="FFFFFF"/>
                <w:sz w:val="20"/>
              </w:rPr>
              <w:t>法定法规标准要求</w:t>
            </w:r>
          </w:p>
        </w:tc>
        <w:tc>
          <w:tcPr>
            <w:tcW w:type="dxa" w:w="3024"/>
            <w:shd w:fill="1F4E79"/>
            <w:tcMar>
              <w:top w:w="140" w:type="dxa"/>
              <w:bottom w:w="140" w:type="dxa"/>
              <w:left w:w="160" w:type="dxa"/>
              <w:right w:w="160" w:type="dxa"/>
            </w:tcMar>
          </w:tcPr>
          <w:p>
            <w:pPr>
              <w:jc w:val="center"/>
            </w:pPr>
            <w:r>
              <w:rPr>
                <w:rFonts w:ascii="Microsoft YaHei" w:hAnsi="Microsoft YaHei"/>
                <w:b/>
                <w:color w:val="FFFFFF"/>
                <w:sz w:val="20"/>
              </w:rPr>
              <w:t>平台系统动作与产品交互指引</w:t>
            </w:r>
          </w:p>
        </w:tc>
        <w:tc>
          <w:tcPr>
            <w:tcW w:type="dxa" w:w="2160"/>
            <w:shd w:fill="1F4E79"/>
            <w:tcMar>
              <w:top w:w="140" w:type="dxa"/>
              <w:bottom w:w="140" w:type="dxa"/>
              <w:left w:w="160" w:type="dxa"/>
              <w:right w:w="160" w:type="dxa"/>
            </w:tcMar>
          </w:tcPr>
          <w:p>
            <w:pPr>
              <w:jc w:val="center"/>
            </w:pPr>
            <w:r>
              <w:rPr>
                <w:rFonts w:ascii="Microsoft YaHei" w:hAnsi="Microsoft YaHei"/>
                <w:b/>
                <w:color w:val="FFFFFF"/>
                <w:sz w:val="20"/>
              </w:rPr>
              <w:t>未合规处置措施</w:t>
            </w:r>
          </w:p>
        </w:tc>
      </w:tr>
      <w:tr>
        <w:tc>
          <w:tcPr>
            <w:tcW w:type="dxa" w:w="1728"/>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一登（实名登记）</w:t>
            </w:r>
          </w:p>
        </w:tc>
        <w:tc>
          <w:tcPr>
            <w:tcW w:type="dxa" w:w="2448"/>
            <w:shd w:fill="FFFFFF"/>
            <w:tcMar>
              <w:top w:w="100" w:type="dxa"/>
              <w:bottom w:w="100" w:type="dxa"/>
              <w:left w:w="140" w:type="dxa"/>
              <w:right w:w="140" w:type="dxa"/>
            </w:tcMar>
          </w:tcPr>
          <w:p>
            <w:pPr>
              <w:spacing w:line="276" w:lineRule="auto" w:after="0"/>
            </w:pPr>
            <w:r>
              <w:rPr>
                <w:rFonts w:ascii="Microsoft YaHei" w:hAnsi="Microsoft YaHei"/>
                <w:color w:val="333333"/>
                <w:sz w:val="19"/>
              </w:rPr>
              <w:t>民用无人机所有者必须在民航局UOM平台完成实名登记，并将登记二维码粘贴于机身醒目位置。</w:t>
            </w:r>
          </w:p>
        </w:tc>
        <w:tc>
          <w:tcPr>
            <w:tcW w:type="dxa" w:w="3024"/>
            <w:shd w:fill="FFFFFF"/>
            <w:tcMar>
              <w:top w:w="100" w:type="dxa"/>
              <w:bottom w:w="100" w:type="dxa"/>
              <w:left w:w="140" w:type="dxa"/>
              <w:right w:w="140" w:type="dxa"/>
            </w:tcMar>
          </w:tcPr>
          <w:p>
            <w:pPr>
              <w:spacing w:line="276" w:lineRule="auto" w:after="0"/>
            </w:pPr>
            <w:r>
              <w:rPr>
                <w:rFonts w:ascii="Microsoft YaHei" w:hAnsi="Microsoft YaHei"/>
                <w:color w:val="333333"/>
                <w:sz w:val="19"/>
              </w:rPr>
              <w:t>飞手接单前，系统弹出“无人机实名核验”窗口，引导飞手填报并在小程序上传UOM无人机登记标志截图与SN码；平台进行格式与有效性校验。</w:t>
            </w:r>
          </w:p>
        </w:tc>
        <w:tc>
          <w:tcPr>
            <w:tcW w:type="dxa" w:w="2160"/>
            <w:shd w:fill="FFFFFF"/>
            <w:tcMar>
              <w:top w:w="100" w:type="dxa"/>
              <w:bottom w:w="100" w:type="dxa"/>
              <w:left w:w="140" w:type="dxa"/>
              <w:right w:w="140" w:type="dxa"/>
            </w:tcMar>
          </w:tcPr>
          <w:p>
            <w:pPr>
              <w:spacing w:line="276" w:lineRule="auto" w:after="0"/>
            </w:pPr>
            <w:r>
              <w:rPr>
                <w:rFonts w:ascii="Microsoft YaHei" w:hAnsi="Microsoft YaHei"/>
                <w:color w:val="333333"/>
                <w:sz w:val="19"/>
              </w:rPr>
              <w:t>未完成UOM登记或未填报有效登记码的飞手，系统禁止接单。</w:t>
            </w:r>
          </w:p>
        </w:tc>
      </w:tr>
      <w:tr>
        <w:tc>
          <w:tcPr>
            <w:tcW w:type="dxa" w:w="1728"/>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二查（查询空域）</w:t>
            </w:r>
          </w:p>
        </w:tc>
        <w:tc>
          <w:tcPr>
            <w:tcW w:type="dxa" w:w="2448"/>
            <w:shd w:fill="F9FAFB"/>
            <w:tcMar>
              <w:top w:w="100" w:type="dxa"/>
              <w:bottom w:w="100" w:type="dxa"/>
              <w:left w:w="140" w:type="dxa"/>
              <w:right w:w="140" w:type="dxa"/>
            </w:tcMar>
          </w:tcPr>
          <w:p>
            <w:pPr>
              <w:spacing w:line="276" w:lineRule="auto" w:after="0"/>
            </w:pPr>
            <w:r>
              <w:rPr>
                <w:rFonts w:ascii="Microsoft YaHei" w:hAnsi="Microsoft YaHei"/>
                <w:color w:val="333333"/>
                <w:sz w:val="19"/>
              </w:rPr>
              <w:t>依据《暂行条例》：</w:t>
              <w:br/>
              <w:t>① 微型无人机在真高50米以下、轻型/小型无人机在真高120米以下的适飞空域飞行，无需向空管申请飞行审批。</w:t>
              <w:br/>
              <w:t>② 在管制空域飞行必须提前申请。</w:t>
            </w:r>
          </w:p>
        </w:tc>
        <w:tc>
          <w:tcPr>
            <w:tcW w:type="dxa" w:w="3024"/>
            <w:shd w:fill="F9FAFB"/>
            <w:tcMar>
              <w:top w:w="100" w:type="dxa"/>
              <w:bottom w:w="100" w:type="dxa"/>
              <w:left w:w="140" w:type="dxa"/>
              <w:right w:w="140" w:type="dxa"/>
            </w:tcMar>
          </w:tcPr>
          <w:p>
            <w:pPr>
              <w:spacing w:line="276" w:lineRule="auto" w:after="0"/>
            </w:pPr>
            <w:r>
              <w:rPr>
                <w:rFonts w:ascii="Microsoft YaHei" w:hAnsi="Microsoft YaHei"/>
                <w:color w:val="333333"/>
                <w:sz w:val="19"/>
              </w:rPr>
              <w:t>平台订单详情页提供“UOM空域查询指引工具”，根据订单任务高度与地点展示适飞空域判断规则，提供直达UOM空域查询入口链接与操作指南。</w:t>
            </w:r>
          </w:p>
        </w:tc>
        <w:tc>
          <w:tcPr>
            <w:tcW w:type="dxa" w:w="2160"/>
            <w:shd w:fill="F9FAFB"/>
            <w:tcMar>
              <w:top w:w="100" w:type="dxa"/>
              <w:bottom w:w="100" w:type="dxa"/>
              <w:left w:w="140" w:type="dxa"/>
              <w:right w:w="140" w:type="dxa"/>
            </w:tcMar>
          </w:tcPr>
          <w:p>
            <w:pPr>
              <w:spacing w:line="276" w:lineRule="auto" w:after="0"/>
            </w:pPr>
            <w:r>
              <w:rPr>
                <w:rFonts w:ascii="Microsoft YaHei" w:hAnsi="Microsoft YaHei"/>
                <w:color w:val="333333"/>
                <w:sz w:val="19"/>
              </w:rPr>
              <w:t>弹出《适飞空域操作须知》，飞手必须勾选“已确认空域属性并遵守真高限制”方可进入下一步。</w:t>
            </w:r>
          </w:p>
        </w:tc>
      </w:tr>
      <w:tr>
        <w:tc>
          <w:tcPr>
            <w:tcW w:type="dxa" w:w="1728"/>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三申请（审批报备）</w:t>
            </w:r>
          </w:p>
        </w:tc>
        <w:tc>
          <w:tcPr>
            <w:tcW w:type="dxa" w:w="2448"/>
            <w:shd w:fill="FFFFFF"/>
            <w:tcMar>
              <w:top w:w="100" w:type="dxa"/>
              <w:bottom w:w="100" w:type="dxa"/>
              <w:left w:w="140" w:type="dxa"/>
              <w:right w:w="140" w:type="dxa"/>
            </w:tcMar>
          </w:tcPr>
          <w:p>
            <w:pPr>
              <w:spacing w:line="276" w:lineRule="auto" w:after="0"/>
            </w:pPr>
            <w:r>
              <w:rPr>
                <w:rFonts w:ascii="Microsoft YaHei" w:hAnsi="Microsoft YaHei"/>
                <w:color w:val="333333"/>
                <w:sz w:val="19"/>
              </w:rPr>
              <w:t>在管制空域内飞行，或超出适飞空域高度作业的，操控员必须通过UOM平台向空管部门提交飞行活动申请，获批后方可起飞。</w:t>
            </w:r>
          </w:p>
        </w:tc>
        <w:tc>
          <w:tcPr>
            <w:tcW w:type="dxa" w:w="3024"/>
            <w:shd w:fill="FFFFFF"/>
            <w:tcMar>
              <w:top w:w="100" w:type="dxa"/>
              <w:bottom w:w="100" w:type="dxa"/>
              <w:left w:w="140" w:type="dxa"/>
              <w:right w:w="140" w:type="dxa"/>
            </w:tcMar>
          </w:tcPr>
          <w:p>
            <w:pPr>
              <w:spacing w:line="276" w:lineRule="auto" w:after="0"/>
            </w:pPr>
            <w:r>
              <w:rPr>
                <w:rFonts w:ascii="Microsoft YaHei" w:hAnsi="Microsoft YaHei"/>
                <w:color w:val="333333"/>
                <w:sz w:val="19"/>
              </w:rPr>
              <w:t>若任务属于管制空域，系统强制激活“UOM审批凭证上传”入口，引导飞手在起飞前2小时将UOM批准截图或批文编号上传至订单附件中心。</w:t>
            </w:r>
          </w:p>
        </w:tc>
        <w:tc>
          <w:tcPr>
            <w:tcW w:type="dxa" w:w="2160"/>
            <w:shd w:fill="FFFFFF"/>
            <w:tcMar>
              <w:top w:w="100" w:type="dxa"/>
              <w:bottom w:w="100" w:type="dxa"/>
              <w:left w:w="140" w:type="dxa"/>
              <w:right w:w="140" w:type="dxa"/>
            </w:tcMar>
          </w:tcPr>
          <w:p>
            <w:pPr>
              <w:spacing w:line="276" w:lineRule="auto" w:after="0"/>
            </w:pPr>
            <w:r>
              <w:rPr>
                <w:rFonts w:ascii="Microsoft YaHei" w:hAnsi="Microsoft YaHei"/>
                <w:color w:val="333333"/>
                <w:sz w:val="19"/>
              </w:rPr>
              <w:t>未回传UOM飞行审批凭证的管制空域订单，系统锁定“开始作业打卡”功能，并标记为高风险预警。</w:t>
            </w:r>
          </w:p>
        </w:tc>
      </w:tr>
      <w:tr>
        <w:tc>
          <w:tcPr>
            <w:tcW w:type="dxa" w:w="1728"/>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保险合规校验</w:t>
            </w:r>
          </w:p>
        </w:tc>
        <w:tc>
          <w:tcPr>
            <w:tcW w:type="dxa" w:w="2448"/>
            <w:shd w:fill="F9FAFB"/>
            <w:tcMar>
              <w:top w:w="100" w:type="dxa"/>
              <w:bottom w:w="100" w:type="dxa"/>
              <w:left w:w="140" w:type="dxa"/>
              <w:right w:w="140" w:type="dxa"/>
            </w:tcMar>
          </w:tcPr>
          <w:p>
            <w:pPr>
              <w:spacing w:line="276" w:lineRule="auto" w:after="0"/>
            </w:pPr>
            <w:r>
              <w:rPr>
                <w:rFonts w:ascii="Microsoft YaHei" w:hAnsi="Microsoft YaHei"/>
                <w:color w:val="333333"/>
                <w:sz w:val="19"/>
              </w:rPr>
              <w:t>从事商用飞行作业应投保无人机第三者责任险，防范地面人身财产损害风险。</w:t>
            </w:r>
          </w:p>
        </w:tc>
        <w:tc>
          <w:tcPr>
            <w:tcW w:type="dxa" w:w="3024"/>
            <w:shd w:fill="F9FAFB"/>
            <w:tcMar>
              <w:top w:w="100" w:type="dxa"/>
              <w:bottom w:w="100" w:type="dxa"/>
              <w:left w:w="140" w:type="dxa"/>
              <w:right w:w="140" w:type="dxa"/>
            </w:tcMar>
          </w:tcPr>
          <w:p>
            <w:pPr>
              <w:spacing w:line="276" w:lineRule="auto" w:after="0"/>
            </w:pPr>
            <w:r>
              <w:rPr>
                <w:rFonts w:ascii="Microsoft YaHei" w:hAnsi="Microsoft YaHei"/>
                <w:color w:val="333333"/>
                <w:sz w:val="19"/>
              </w:rPr>
              <w:t>接单环节提供“平台一键随单投保”与“外部有效保单信息及截图上传”双选项；系统核验保单真实性、被保险人与机身SN码一致性。</w:t>
            </w:r>
          </w:p>
        </w:tc>
        <w:tc>
          <w:tcPr>
            <w:tcW w:type="dxa" w:w="2160"/>
            <w:shd w:fill="F9FAFB"/>
            <w:tcMar>
              <w:top w:w="100" w:type="dxa"/>
              <w:bottom w:w="100" w:type="dxa"/>
              <w:left w:w="140" w:type="dxa"/>
              <w:right w:w="140" w:type="dxa"/>
            </w:tcMar>
          </w:tcPr>
          <w:p>
            <w:pPr>
              <w:spacing w:line="276" w:lineRule="auto" w:after="0"/>
            </w:pPr>
            <w:r>
              <w:rPr>
                <w:rFonts w:ascii="Microsoft YaHei" w:hAnsi="Microsoft YaHei"/>
                <w:color w:val="333333"/>
                <w:sz w:val="19"/>
              </w:rPr>
              <w:t>未购买平台保险且未上传外部有效保单者，系统在现场打卡环节强制阻断起飞。</w:t>
            </w:r>
          </w:p>
        </w:tc>
      </w:tr>
    </w:tbl>
    <w:p>
      <w:pPr>
        <w:spacing w:after="120"/>
      </w:pPr>
    </w:p>
    <w:p>
      <w:pPr>
        <w:keepNext/>
        <w:spacing w:before="280" w:after="120"/>
      </w:pPr>
      <w:r>
        <w:rPr>
          <w:rFonts w:ascii="Microsoft YaHei" w:hAnsi="Microsoft YaHei"/>
          <w:b/>
          <w:color w:val="2E75B6"/>
          <w:sz w:val="26"/>
        </w:rPr>
        <w:t>3.4 防跳单风控与交易闭环机制</w:t>
      </w:r>
    </w:p>
    <w:p>
      <w:pPr>
        <w:spacing w:after="120" w:line="300" w:lineRule="auto"/>
      </w:pPr>
      <w:r>
        <w:rPr>
          <w:rFonts w:ascii="Microsoft YaHei" w:hAnsi="Microsoft YaHei"/>
          <w:color w:val="333333"/>
          <w:sz w:val="21"/>
        </w:rPr>
        <w:t>防跳单是撮合交易平台的生命线。平台摒弃维护成本高昂的自研IM过滤方案，构建“技术隔离+经济激励+信用约束+服务保障+法律震慑”五维一体的防跳单防御体系：</w:t>
      </w:r>
    </w:p>
    <w:p>
      <w:pPr>
        <w:keepNext/>
        <w:spacing w:before="200" w:after="80"/>
      </w:pPr>
      <w:r>
        <w:rPr>
          <w:rFonts w:ascii="Microsoft YaHei" w:hAnsi="Microsoft YaHei"/>
          <w:b/>
          <w:color w:val="333333"/>
          <w:sz w:val="22"/>
        </w:rPr>
        <w:t>3.4.1 五维一体防跳单控制矩阵</w:t>
      </w:r>
    </w:p>
    <w:p>
      <w:pPr>
        <w:spacing w:after="120" w:line="300" w:lineRule="auto"/>
      </w:pPr>
      <w:r>
        <w:rPr>
          <w:rFonts w:ascii="Microsoft YaHei" w:hAnsi="Microsoft YaHei"/>
          <w:color w:val="333333"/>
          <w:sz w:val="21"/>
        </w:rPr>
        <w:t>1. 技术隔离层：</w:t>
      </w:r>
    </w:p>
    <w:p>
      <w:pPr>
        <w:spacing w:after="120" w:line="300" w:lineRule="auto"/>
      </w:pPr>
      <w:r>
        <w:rPr>
          <w:rFonts w:ascii="Microsoft YaHei" w:hAnsi="Microsoft YaHei"/>
          <w:color w:val="333333"/>
          <w:sz w:val="21"/>
        </w:rPr>
        <w:t xml:space="preserve">   • 通信脱敏与虚拟中间号：交易确认前双方手机号全脱敏；交易达成后分配第三方虚拟隐私号（有效期限定于订单完成后7天内），通话全程录音存证。</w:t>
      </w:r>
    </w:p>
    <w:p>
      <w:pPr>
        <w:spacing w:after="120" w:line="300" w:lineRule="auto"/>
      </w:pPr>
      <w:r>
        <w:rPr>
          <w:rFonts w:ascii="Microsoft YaHei" w:hAnsi="Microsoft YaHei"/>
          <w:color w:val="333333"/>
          <w:sz w:val="21"/>
        </w:rPr>
        <w:t xml:space="preserve">   • 订单全流程强制线上化：合同签署、定金支付、保险确认/保单核验、任务执行打卡、成果验收、尾款支付全部在小程序端闭环完成，平台不提供线下履约标记。</w:t>
      </w:r>
    </w:p>
    <w:p>
      <w:pPr>
        <w:spacing w:after="120" w:line="300" w:lineRule="auto"/>
      </w:pPr>
      <w:r>
        <w:rPr>
          <w:rFonts w:ascii="Microsoft YaHei" w:hAnsi="Microsoft YaHei"/>
          <w:color w:val="333333"/>
          <w:sz w:val="21"/>
        </w:rPr>
        <w:t xml:space="preserve">   • 水印存证与GPS定位打卡：作业现场要求飞手通过小程序上传带有经纬度与时间戳的水印照片，杜绝线下脱离平台履约。</w:t>
      </w:r>
    </w:p>
    <w:p>
      <w:pPr>
        <w:spacing w:after="120" w:line="300" w:lineRule="auto"/>
      </w:pPr>
      <w:r>
        <w:rPr>
          <w:rFonts w:ascii="Microsoft YaHei" w:hAnsi="Microsoft YaHei"/>
          <w:color w:val="333333"/>
          <w:sz w:val="21"/>
        </w:rPr>
        <w:t>2. 经济激励层：</w:t>
      </w:r>
    </w:p>
    <w:p>
      <w:pPr>
        <w:spacing w:after="120" w:line="300" w:lineRule="auto"/>
      </w:pPr>
      <w:r>
        <w:rPr>
          <w:rFonts w:ascii="Microsoft YaHei" w:hAnsi="Microsoft YaHei"/>
          <w:color w:val="333333"/>
          <w:sz w:val="21"/>
        </w:rPr>
        <w:t xml:space="preserve">   • 阶梯佣金激励：平台采用“累计接单越多、佣金比例越低”的阶梯递减机制（如0-50单抽20%，51-200单抽15%，200单以上抽10%），让飞手留在平台的边际成本远低于跳单风险。</w:t>
      </w:r>
    </w:p>
    <w:p>
      <w:pPr>
        <w:spacing w:after="120" w:line="300" w:lineRule="auto"/>
      </w:pPr>
      <w:r>
        <w:rPr>
          <w:rFonts w:ascii="Microsoft YaHei" w:hAnsi="Microsoft YaHei"/>
          <w:color w:val="333333"/>
          <w:sz w:val="21"/>
        </w:rPr>
        <w:t xml:space="preserve">   • 积分与成长权益：每笔线上订单积累成长值与商城积分，可全额兑换CAAC增驾折扣券、二手验机服务及配件优惠券。</w:t>
      </w:r>
    </w:p>
    <w:p>
      <w:pPr>
        <w:spacing w:after="120" w:line="300" w:lineRule="auto"/>
      </w:pPr>
      <w:r>
        <w:rPr>
          <w:rFonts w:ascii="Microsoft YaHei" w:hAnsi="Microsoft YaHei"/>
          <w:color w:val="333333"/>
          <w:sz w:val="21"/>
        </w:rPr>
        <w:t>3. 信用约束层：</w:t>
      </w:r>
    </w:p>
    <w:p>
      <w:pPr>
        <w:spacing w:after="120" w:line="300" w:lineRule="auto"/>
      </w:pPr>
      <w:r>
        <w:rPr>
          <w:rFonts w:ascii="Microsoft YaHei" w:hAnsi="Microsoft YaHei"/>
          <w:color w:val="333333"/>
          <w:sz w:val="21"/>
        </w:rPr>
        <w:t xml:space="preserve">   • 履约保证金制度：飞手入驻缴纳500~2000元履约保证金，一旦核实跳单行为，全额扣除保证金并冻结接单权限。</w:t>
      </w:r>
    </w:p>
    <w:p>
      <w:pPr>
        <w:spacing w:after="120" w:line="300" w:lineRule="auto"/>
      </w:pPr>
      <w:r>
        <w:rPr>
          <w:rFonts w:ascii="Microsoft YaHei" w:hAnsi="Microsoft YaHei"/>
          <w:color w:val="333333"/>
          <w:sz w:val="21"/>
        </w:rPr>
        <w:t xml:space="preserve">   • 双向信用评价沉淀：履约评价永久沉淀于飞手档案，跳单私下交易无法累积行业信用资产，严重限制未来高客单价企业大单获取。</w:t>
      </w:r>
    </w:p>
    <w:p>
      <w:pPr>
        <w:spacing w:after="120" w:line="300" w:lineRule="auto"/>
      </w:pPr>
      <w:r>
        <w:rPr>
          <w:rFonts w:ascii="Microsoft YaHei" w:hAnsi="Microsoft YaHei"/>
          <w:color w:val="333333"/>
          <w:sz w:val="21"/>
        </w:rPr>
        <w:t>4. 服务保障层：</w:t>
      </w:r>
    </w:p>
    <w:p>
      <w:pPr>
        <w:spacing w:after="120" w:line="300" w:lineRule="auto"/>
      </w:pPr>
      <w:r>
        <w:rPr>
          <w:rFonts w:ascii="Microsoft YaHei" w:hAnsi="Microsoft YaHei"/>
          <w:color w:val="333333"/>
          <w:sz w:val="21"/>
        </w:rPr>
        <w:t xml:space="preserve">   • 灵活商业险理赔与保障支持：平台提供官方一键投保及保单核验通道，确保出险时获得保司正规理赔；私下交易无平台风控与保单存证，飞手面临重大赔偿风险。</w:t>
      </w:r>
    </w:p>
    <w:p>
      <w:pPr>
        <w:spacing w:after="120" w:line="300" w:lineRule="auto"/>
      </w:pPr>
      <w:r>
        <w:rPr>
          <w:rFonts w:ascii="Microsoft YaHei" w:hAnsi="Microsoft YaHei"/>
          <w:color w:val="333333"/>
          <w:sz w:val="21"/>
        </w:rPr>
        <w:t xml:space="preserve">   • 资金托管与官方仲裁：出现成果争议或拒付尾款，平台官方客服介入仲裁并根据存证材料先行赔付，保障飞手收益安全。</w:t>
      </w:r>
    </w:p>
    <w:p>
      <w:pPr>
        <w:spacing w:after="120" w:line="300" w:lineRule="auto"/>
      </w:pPr>
      <w:r>
        <w:rPr>
          <w:rFonts w:ascii="Microsoft YaHei" w:hAnsi="Microsoft YaHei"/>
          <w:color w:val="333333"/>
          <w:sz w:val="21"/>
        </w:rPr>
        <w:t>5. 法律震慑层：</w:t>
      </w:r>
    </w:p>
    <w:p>
      <w:pPr>
        <w:spacing w:after="120" w:line="300" w:lineRule="auto"/>
      </w:pPr>
      <w:r>
        <w:rPr>
          <w:rFonts w:ascii="Microsoft YaHei" w:hAnsi="Microsoft YaHei"/>
          <w:color w:val="333333"/>
          <w:sz w:val="21"/>
        </w:rPr>
        <w:t xml:space="preserve">   • 强约束力电子合同：订单自动生成带电子签章的法律合同，明确约定“私下跳单需向平台支付订单总额30%违约金”，保留司法诉讼追偿权。</w:t>
      </w:r>
    </w:p>
    <w:p>
      <w:pPr>
        <w:keepNext/>
        <w:spacing w:before="280" w:after="120"/>
      </w:pPr>
      <w:r>
        <w:rPr>
          <w:rFonts w:ascii="Microsoft YaHei" w:hAnsi="Microsoft YaHei"/>
          <w:b/>
          <w:color w:val="2E75B6"/>
          <w:sz w:val="26"/>
        </w:rPr>
        <w:t>3.5 电商交易模块（双端管理后台·二手防赃机与过户）</w:t>
      </w:r>
    </w:p>
    <w:p>
      <w:pPr>
        <w:keepNext/>
        <w:spacing w:before="200" w:after="80"/>
      </w:pPr>
      <w:r>
        <w:rPr>
          <w:rFonts w:ascii="Microsoft YaHei" w:hAnsi="Microsoft YaHei"/>
          <w:b/>
          <w:color w:val="333333"/>
          <w:sz w:val="22"/>
        </w:rPr>
        <w:t>3.5.1 模块定位与商品分类规范</w:t>
      </w:r>
    </w:p>
    <w:p>
      <w:pPr>
        <w:spacing w:after="120" w:line="300" w:lineRule="auto"/>
      </w:pPr>
      <w:r>
        <w:rPr>
          <w:rFonts w:ascii="Microsoft YaHei" w:hAnsi="Microsoft YaHei"/>
          <w:color w:val="333333"/>
          <w:sz w:val="21"/>
        </w:rPr>
        <w:t>电商交易模块定位于无人机行业垂直装备与后市场流通平台，涵盖全新整机、专业载荷（测绘相机/热成像/喊话器/吊运脱钩器）、原装电池配件、维修耗材及二手闲置无人机。</w:t>
      </w:r>
    </w:p>
    <w:p>
      <w:pPr>
        <w:keepNext/>
        <w:spacing w:before="200" w:after="80"/>
      </w:pPr>
      <w:r>
        <w:rPr>
          <w:rFonts w:ascii="Microsoft YaHei" w:hAnsi="Microsoft YaHei"/>
          <w:b/>
          <w:color w:val="333333"/>
          <w:sz w:val="22"/>
        </w:rPr>
        <w:t>3.5.2 B端企业店铺 vs C端个人二手店铺双端管理后台</w:t>
      </w:r>
    </w:p>
    <w:tbl>
      <w:tblPr>
        <w:tblW w:type="auto" w:w="0"/>
        <w:jc w:val="center"/>
        <w:tblLook w:firstColumn="1" w:firstRow="1" w:lastColumn="0" w:lastRow="0" w:noHBand="0" w:noVBand="1" w:val="04A0"/>
        <w:tblBorders>
          <w:top w:val="single" w:sz="4" w:space="0" w:color="D3D3D3"/>
          <w:bottom w:val="single" w:sz="6" w:space="0" w:color="1F4E79"/>
          <w:left w:val="none"/>
          <w:right w:val="none"/>
          <w:insideH w:val="single" w:sz="4" w:space="0" w:color="D3D3D3"/>
          <w:insideV w:val="none"/>
        </w:tblBorders>
      </w:tblPr>
      <w:tblGrid>
        <w:gridCol w:w="2340"/>
        <w:gridCol w:w="2340"/>
        <w:gridCol w:w="2340"/>
        <w:gridCol w:w="2340"/>
      </w:tblGrid>
      <w:tr>
        <w:tc>
          <w:tcPr>
            <w:tcW w:type="dxa" w:w="1728"/>
            <w:shd w:fill="1F4E79"/>
            <w:tcMar>
              <w:top w:w="140" w:type="dxa"/>
              <w:bottom w:w="140" w:type="dxa"/>
              <w:left w:w="160" w:type="dxa"/>
              <w:right w:w="160" w:type="dxa"/>
            </w:tcMar>
          </w:tcPr>
          <w:p>
            <w:pPr>
              <w:jc w:val="center"/>
            </w:pPr>
            <w:r>
              <w:rPr>
                <w:rFonts w:ascii="Microsoft YaHei" w:hAnsi="Microsoft YaHei"/>
                <w:b/>
                <w:color w:val="FFFFFF"/>
                <w:sz w:val="20"/>
              </w:rPr>
              <w:t>管理维度</w:t>
            </w:r>
          </w:p>
        </w:tc>
        <w:tc>
          <w:tcPr>
            <w:tcW w:type="dxa" w:w="2592"/>
            <w:shd w:fill="1F4E79"/>
            <w:tcMar>
              <w:top w:w="140" w:type="dxa"/>
              <w:bottom w:w="140" w:type="dxa"/>
              <w:left w:w="160" w:type="dxa"/>
              <w:right w:w="160" w:type="dxa"/>
            </w:tcMar>
          </w:tcPr>
          <w:p>
            <w:pPr>
              <w:jc w:val="center"/>
            </w:pPr>
            <w:r>
              <w:rPr>
                <w:rFonts w:ascii="Microsoft YaHei" w:hAnsi="Microsoft YaHei"/>
                <w:b/>
                <w:color w:val="FFFFFF"/>
                <w:sz w:val="20"/>
              </w:rPr>
              <w:t>B端企业店铺管理后台</w:t>
            </w:r>
          </w:p>
        </w:tc>
        <w:tc>
          <w:tcPr>
            <w:tcW w:type="dxa" w:w="2592"/>
            <w:shd w:fill="1F4E79"/>
            <w:tcMar>
              <w:top w:w="140" w:type="dxa"/>
              <w:bottom w:w="140" w:type="dxa"/>
              <w:left w:w="160" w:type="dxa"/>
              <w:right w:w="160" w:type="dxa"/>
            </w:tcMar>
          </w:tcPr>
          <w:p>
            <w:pPr>
              <w:jc w:val="center"/>
            </w:pPr>
            <w:r>
              <w:rPr>
                <w:rFonts w:ascii="Microsoft YaHei" w:hAnsi="Microsoft YaHei"/>
                <w:b/>
                <w:color w:val="FFFFFF"/>
                <w:sz w:val="20"/>
              </w:rPr>
              <w:t>C端个人闲置店铺后台</w:t>
            </w:r>
          </w:p>
        </w:tc>
        <w:tc>
          <w:tcPr>
            <w:tcW w:type="dxa" w:w="2448"/>
            <w:shd w:fill="1F4E79"/>
            <w:tcMar>
              <w:top w:w="140" w:type="dxa"/>
              <w:bottom w:w="140" w:type="dxa"/>
              <w:left w:w="160" w:type="dxa"/>
              <w:right w:w="160" w:type="dxa"/>
            </w:tcMar>
          </w:tcPr>
          <w:p>
            <w:pPr>
              <w:jc w:val="center"/>
            </w:pPr>
            <w:r>
              <w:rPr>
                <w:rFonts w:ascii="Microsoft YaHei" w:hAnsi="Microsoft YaHei"/>
                <w:b/>
                <w:color w:val="FFFFFF"/>
                <w:sz w:val="20"/>
              </w:rPr>
              <w:t>平台审核与风控要求</w:t>
            </w:r>
          </w:p>
        </w:tc>
      </w:tr>
      <w:tr>
        <w:tc>
          <w:tcPr>
            <w:tcW w:type="dxa" w:w="1728"/>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准入门槛</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企业营业执照、法人身份证、品牌厂商授权书、对公银行账户</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个人实名认证（身份证+人脸识别）、绑定个人银行卡</w:t>
            </w:r>
          </w:p>
        </w:tc>
        <w:tc>
          <w:tcPr>
            <w:tcW w:type="dxa" w:w="2448"/>
            <w:shd w:fill="FFFFFF"/>
            <w:tcMar>
              <w:top w:w="100" w:type="dxa"/>
              <w:bottom w:w="100" w:type="dxa"/>
              <w:left w:w="140" w:type="dxa"/>
              <w:right w:w="140" w:type="dxa"/>
            </w:tcMar>
          </w:tcPr>
          <w:p>
            <w:pPr>
              <w:spacing w:line="276" w:lineRule="auto" w:after="0"/>
            </w:pPr>
            <w:r>
              <w:rPr>
                <w:rFonts w:ascii="Microsoft YaHei" w:hAnsi="Microsoft YaHei"/>
                <w:color w:val="333333"/>
                <w:sz w:val="19"/>
              </w:rPr>
              <w:t>企业核验工商及授权真实性，个人核验人脸一致性</w:t>
            </w:r>
          </w:p>
        </w:tc>
      </w:tr>
      <w:tr>
        <w:tc>
          <w:tcPr>
            <w:tcW w:type="dxa" w:w="1728"/>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经营品类</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全新无人机整机、官方原装配件、行业专用载荷、批量耗材</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仅限个人闲置二手无人机、闲置配件、个人自用载荷</w:t>
            </w:r>
          </w:p>
        </w:tc>
        <w:tc>
          <w:tcPr>
            <w:tcW w:type="dxa" w:w="2448"/>
            <w:shd w:fill="F9FAFB"/>
            <w:tcMar>
              <w:top w:w="100" w:type="dxa"/>
              <w:bottom w:w="100" w:type="dxa"/>
              <w:left w:w="140" w:type="dxa"/>
              <w:right w:w="140" w:type="dxa"/>
            </w:tcMar>
          </w:tcPr>
          <w:p>
            <w:pPr>
              <w:spacing w:line="276" w:lineRule="auto" w:after="0"/>
            </w:pPr>
            <w:r>
              <w:rPr>
                <w:rFonts w:ascii="Microsoft YaHei" w:hAnsi="Microsoft YaHei"/>
                <w:color w:val="333333"/>
                <w:sz w:val="19"/>
              </w:rPr>
              <w:t>严禁个人端销售全新未拆封商品（需转企业店）</w:t>
            </w:r>
          </w:p>
        </w:tc>
      </w:tr>
      <w:tr>
        <w:tc>
          <w:tcPr>
            <w:tcW w:type="dxa" w:w="1728"/>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后台核心功能</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批量商品发布、SKU阶梯定价、库存预警、批量打单发货、售后退换货、增值税发票管理、数据营销看板</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极简商品发布（上传实拍/序列号/使用年限/成色）、订单管理、发货填单、收益提现</w:t>
            </w:r>
          </w:p>
        </w:tc>
        <w:tc>
          <w:tcPr>
            <w:tcW w:type="dxa" w:w="2448"/>
            <w:shd w:fill="FFFFFF"/>
            <w:tcMar>
              <w:top w:w="100" w:type="dxa"/>
              <w:bottom w:w="100" w:type="dxa"/>
              <w:left w:w="140" w:type="dxa"/>
              <w:right w:w="140" w:type="dxa"/>
            </w:tcMar>
          </w:tcPr>
          <w:p>
            <w:pPr>
              <w:spacing w:line="276" w:lineRule="auto" w:after="0"/>
            </w:pPr>
            <w:r>
              <w:rPr>
                <w:rFonts w:ascii="Microsoft YaHei" w:hAnsi="Microsoft YaHei"/>
                <w:color w:val="333333"/>
                <w:sz w:val="19"/>
              </w:rPr>
              <w:t>企业支持多子账号协同，个人端侧重极简移动化操作</w:t>
            </w:r>
          </w:p>
        </w:tc>
      </w:tr>
      <w:tr>
        <w:tc>
          <w:tcPr>
            <w:tcW w:type="dxa" w:w="1728"/>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保证金与佣金</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店铺保证金（5,000~10,000元），交易佣金抽成3%~5%</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免入驻费，交易成功后抽取3%~8%闲置交易佣金</w:t>
            </w:r>
          </w:p>
        </w:tc>
        <w:tc>
          <w:tcPr>
            <w:tcW w:type="dxa" w:w="2448"/>
            <w:shd w:fill="F9FAFB"/>
            <w:tcMar>
              <w:top w:w="100" w:type="dxa"/>
              <w:bottom w:w="100" w:type="dxa"/>
              <w:left w:w="140" w:type="dxa"/>
              <w:right w:w="140" w:type="dxa"/>
            </w:tcMar>
          </w:tcPr>
          <w:p>
            <w:pPr>
              <w:spacing w:line="276" w:lineRule="auto" w:after="0"/>
            </w:pPr>
            <w:r>
              <w:rPr>
                <w:rFonts w:ascii="Microsoft YaHei" w:hAnsi="Microsoft YaHei"/>
                <w:color w:val="333333"/>
                <w:sz w:val="19"/>
              </w:rPr>
              <w:t>企业违规扣除保证金，个人违规限制提现与封号</w:t>
            </w:r>
          </w:p>
        </w:tc>
      </w:tr>
    </w:tbl>
    <w:p>
      <w:pPr>
        <w:spacing w:after="120"/>
      </w:pPr>
    </w:p>
    <w:p>
      <w:pPr>
        <w:keepNext/>
        <w:spacing w:before="200" w:after="80"/>
      </w:pPr>
      <w:r>
        <w:rPr>
          <w:rFonts w:ascii="Microsoft YaHei" w:hAnsi="Microsoft YaHei"/>
          <w:b/>
          <w:color w:val="333333"/>
          <w:sz w:val="22"/>
        </w:rPr>
        <w:t>3.5.3 二手无人机“防赃机SN校验+官方验机+UOM过户”机制</w:t>
      </w:r>
    </w:p>
    <w:p>
      <w:pPr>
        <w:spacing w:after="120" w:line="300" w:lineRule="auto"/>
      </w:pPr>
      <w:r>
        <w:rPr>
          <w:rFonts w:ascii="Microsoft YaHei" w:hAnsi="Microsoft YaHei"/>
          <w:color w:val="333333"/>
          <w:sz w:val="21"/>
        </w:rPr>
        <w:t>二手无人机买卖是行业信任痛点最集中的领域。平台打造三大特色机制：</w:t>
      </w:r>
    </w:p>
    <w:p>
      <w:pPr>
        <w:spacing w:after="120" w:line="300" w:lineRule="auto"/>
      </w:pPr>
      <w:r>
        <w:rPr>
          <w:rFonts w:ascii="Microsoft YaHei" w:hAnsi="Microsoft YaHei"/>
          <w:color w:val="333333"/>
          <w:sz w:val="21"/>
        </w:rPr>
        <w:t>1. 设备SN码录入与防赃机校验：个人卖家发布二手整机时，必须强制输入机身SN码，并上传UOM平台实名登记注销截图或原始购机发票。平台建立失窃报备数据库，命中黑名单者直接封禁并向公安线索报送。</w:t>
      </w:r>
    </w:p>
    <w:p>
      <w:pPr>
        <w:spacing w:after="120" w:line="300" w:lineRule="auto"/>
      </w:pPr>
      <w:r>
        <w:rPr>
          <w:rFonts w:ascii="Microsoft YaHei" w:hAnsi="Microsoft YaHei"/>
          <w:color w:val="333333"/>
          <w:sz w:val="21"/>
        </w:rPr>
        <w:t>2. 官方深度验机服务（选购）：买家可选择“官方验机”，卖家先将设备寄送至平台合作检测中心，出具包含《42项全机检测报告》（电池循环寿命、飞控传感器校准、云台虚位、历史炸机维修痕迹），检测合格再发货给买家。</w:t>
      </w:r>
    </w:p>
    <w:p>
      <w:pPr>
        <w:spacing w:after="120" w:line="300" w:lineRule="auto"/>
      </w:pPr>
      <w:r>
        <w:rPr>
          <w:rFonts w:ascii="Microsoft YaHei" w:hAnsi="Microsoft YaHei"/>
          <w:color w:val="333333"/>
          <w:sz w:val="21"/>
        </w:rPr>
        <w:t>3. UOM权属解绑与过户指引：交易达成后，系统弹出《UOM无人机所有权转移指南》，引导卖家在UOM注销设备绑定，买家收货验机后重新在UOM登记，完成法律意义上的合规权属交割。</w:t>
      </w:r>
    </w:p>
    <w:p>
      <w:pPr>
        <w:keepNext/>
        <w:spacing w:before="280" w:after="120"/>
      </w:pPr>
      <w:r>
        <w:rPr>
          <w:rFonts w:ascii="Microsoft YaHei" w:hAnsi="Microsoft YaHei"/>
          <w:b/>
          <w:color w:val="2E75B6"/>
          <w:sz w:val="26"/>
        </w:rPr>
        <w:t>3.6 平台客户服务体系（微信小程序原生客服直连闭环）</w:t>
      </w:r>
    </w:p>
    <w:p>
      <w:pPr>
        <w:keepNext/>
        <w:spacing w:before="200" w:after="80"/>
      </w:pPr>
      <w:r>
        <w:rPr>
          <w:rFonts w:ascii="Microsoft YaHei" w:hAnsi="Microsoft YaHei"/>
          <w:b/>
          <w:color w:val="333333"/>
          <w:sz w:val="22"/>
        </w:rPr>
        <w:t>3.6.1 架构选型与业务优势</w:t>
      </w:r>
    </w:p>
    <w:p>
      <w:pPr>
        <w:spacing w:after="120" w:line="300" w:lineRule="auto"/>
      </w:pPr>
      <w:r>
        <w:rPr>
          <w:rFonts w:ascii="Microsoft YaHei" w:hAnsi="Microsoft YaHei"/>
          <w:color w:val="333333"/>
          <w:sz w:val="21"/>
        </w:rPr>
        <w:t>为降低系统开发与长效运维成本，平台全面接入微信小程序自带的原生客服能力（微信客服 / 企业微信客服），替代传统的自研 IM 聊天服务。</w:t>
      </w:r>
    </w:p>
    <w:p>
      <w:pPr>
        <w:spacing w:after="120" w:line="300" w:lineRule="auto"/>
      </w:pPr>
      <w:r>
        <w:rPr>
          <w:rFonts w:ascii="Microsoft YaHei" w:hAnsi="Microsoft YaHei"/>
          <w:color w:val="333333"/>
          <w:sz w:val="21"/>
        </w:rPr>
        <w:t>• 原生生态无缝直达：在小程序各关键业务页面（首页、课程详情页、考证报名页、订单详情页、商品详情页、个人中心）配置 `&lt;button open-type="contact"&gt;` 原生客服悬浮按钮，用户点击即可一键唤起微信原生对话窗口。</w:t>
      </w:r>
    </w:p>
    <w:p>
      <w:pPr>
        <w:spacing w:after="120" w:line="300" w:lineRule="auto"/>
      </w:pPr>
      <w:r>
        <w:rPr>
          <w:rFonts w:ascii="Microsoft YaHei" w:hAnsi="Microsoft YaHei"/>
          <w:color w:val="333333"/>
          <w:sz w:val="21"/>
        </w:rPr>
        <w:t>• 消息高触达与免维护：客服回复消息直接通过微信服务通知（Service Notification）触达用户微信聊天列表，即使退出小程序也能收到推送提醒，点击直达会话，无需依赖自研长连接 WebSocket 或消息推送中枢。</w:t>
      </w:r>
    </w:p>
    <w:p>
      <w:pPr>
        <w:spacing w:after="120" w:line="300" w:lineRule="auto"/>
      </w:pPr>
      <w:r>
        <w:rPr>
          <w:rFonts w:ascii="Microsoft YaHei" w:hAnsi="Microsoft YaHei"/>
          <w:color w:val="333333"/>
          <w:sz w:val="21"/>
        </w:rPr>
        <w:t>• 坐席多端协同：客服人员可直接通过“微信公众平台客服网页端”或“企业微信移动端”随时随地接待咨询，支持配置自动欢迎语、智能知识库常见问题快捷回复、多客服坐席分组转接。</w:t>
      </w:r>
    </w:p>
    <w:p>
      <w:pPr>
        <w:keepNext/>
        <w:spacing w:before="200" w:after="80"/>
      </w:pPr>
      <w:r>
        <w:rPr>
          <w:rFonts w:ascii="Microsoft YaHei" w:hAnsi="Microsoft YaHei"/>
          <w:b/>
          <w:color w:val="333333"/>
          <w:sz w:val="22"/>
        </w:rPr>
        <w:t>3.6.2 核心客服服务场景划分</w:t>
      </w:r>
    </w:p>
    <w:tbl>
      <w:tblPr>
        <w:tblW w:type="auto" w:w="0"/>
        <w:jc w:val="center"/>
        <w:tblLook w:firstColumn="1" w:firstRow="1" w:lastColumn="0" w:lastRow="0" w:noHBand="0" w:noVBand="1" w:val="04A0"/>
        <w:tblBorders>
          <w:top w:val="single" w:sz="4" w:space="0" w:color="D3D3D3"/>
          <w:bottom w:val="single" w:sz="6" w:space="0" w:color="1F4E79"/>
          <w:left w:val="none"/>
          <w:right w:val="none"/>
          <w:insideH w:val="single" w:sz="4" w:space="0" w:color="D3D3D3"/>
          <w:insideV w:val="none"/>
        </w:tblBorders>
      </w:tblPr>
      <w:tblGrid>
        <w:gridCol w:w="2340"/>
        <w:gridCol w:w="2340"/>
        <w:gridCol w:w="2340"/>
        <w:gridCol w:w="2340"/>
      </w:tblGrid>
      <w:tr>
        <w:tc>
          <w:tcPr>
            <w:tcW w:type="dxa" w:w="1872"/>
            <w:shd w:fill="1F4E79"/>
            <w:tcMar>
              <w:top w:w="140" w:type="dxa"/>
              <w:bottom w:w="140" w:type="dxa"/>
              <w:left w:w="160" w:type="dxa"/>
              <w:right w:w="160" w:type="dxa"/>
            </w:tcMar>
          </w:tcPr>
          <w:p>
            <w:pPr>
              <w:jc w:val="center"/>
            </w:pPr>
            <w:r>
              <w:rPr>
                <w:rFonts w:ascii="Microsoft YaHei" w:hAnsi="Microsoft YaHei"/>
                <w:b/>
                <w:color w:val="FFFFFF"/>
                <w:sz w:val="20"/>
              </w:rPr>
              <w:t>服务场景</w:t>
            </w:r>
          </w:p>
        </w:tc>
        <w:tc>
          <w:tcPr>
            <w:tcW w:type="dxa" w:w="2160"/>
            <w:shd w:fill="1F4E79"/>
            <w:tcMar>
              <w:top w:w="140" w:type="dxa"/>
              <w:bottom w:w="140" w:type="dxa"/>
              <w:left w:w="160" w:type="dxa"/>
              <w:right w:w="160" w:type="dxa"/>
            </w:tcMar>
          </w:tcPr>
          <w:p>
            <w:pPr>
              <w:jc w:val="center"/>
            </w:pPr>
            <w:r>
              <w:rPr>
                <w:rFonts w:ascii="Microsoft YaHei" w:hAnsi="Microsoft YaHei"/>
                <w:b/>
                <w:color w:val="FFFFFF"/>
                <w:sz w:val="20"/>
              </w:rPr>
              <w:t>覆盖业务节点</w:t>
            </w:r>
          </w:p>
        </w:tc>
        <w:tc>
          <w:tcPr>
            <w:tcW w:type="dxa" w:w="2880"/>
            <w:shd w:fill="1F4E79"/>
            <w:tcMar>
              <w:top w:w="140" w:type="dxa"/>
              <w:bottom w:w="140" w:type="dxa"/>
              <w:left w:w="160" w:type="dxa"/>
              <w:right w:w="160" w:type="dxa"/>
            </w:tcMar>
          </w:tcPr>
          <w:p>
            <w:pPr>
              <w:jc w:val="center"/>
            </w:pPr>
            <w:r>
              <w:rPr>
                <w:rFonts w:ascii="Microsoft YaHei" w:hAnsi="Microsoft YaHei"/>
                <w:b/>
                <w:color w:val="FFFFFF"/>
                <w:sz w:val="20"/>
              </w:rPr>
              <w:t>预置快捷知识库与智能应答</w:t>
            </w:r>
          </w:p>
        </w:tc>
        <w:tc>
          <w:tcPr>
            <w:tcW w:type="dxa" w:w="2448"/>
            <w:shd w:fill="1F4E79"/>
            <w:tcMar>
              <w:top w:w="140" w:type="dxa"/>
              <w:bottom w:w="140" w:type="dxa"/>
              <w:left w:w="160" w:type="dxa"/>
              <w:right w:w="160" w:type="dxa"/>
            </w:tcMar>
          </w:tcPr>
          <w:p>
            <w:pPr>
              <w:jc w:val="center"/>
            </w:pPr>
            <w:r>
              <w:rPr>
                <w:rFonts w:ascii="Microsoft YaHei" w:hAnsi="Microsoft YaHei"/>
                <w:b/>
                <w:color w:val="FFFFFF"/>
                <w:sz w:val="20"/>
              </w:rPr>
              <w:t>人工客服坐席处置流程</w:t>
            </w:r>
          </w:p>
        </w:tc>
      </w:tr>
      <w:tr>
        <w:tc>
          <w:tcPr>
            <w:tcW w:type="dxa" w:w="1872"/>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1. 技能培训咨询</w:t>
            </w:r>
          </w:p>
        </w:tc>
        <w:tc>
          <w:tcPr>
            <w:tcW w:type="dxa" w:w="2160"/>
            <w:shd w:fill="FFFFFF"/>
            <w:tcMar>
              <w:top w:w="100" w:type="dxa"/>
              <w:bottom w:w="100" w:type="dxa"/>
              <w:left w:w="140" w:type="dxa"/>
              <w:right w:w="140" w:type="dxa"/>
            </w:tcMar>
          </w:tcPr>
          <w:p>
            <w:pPr>
              <w:spacing w:line="276" w:lineRule="auto" w:after="0"/>
            </w:pPr>
            <w:r>
              <w:rPr>
                <w:rFonts w:ascii="Microsoft YaHei" w:hAnsi="Microsoft YaHei"/>
                <w:color w:val="333333"/>
                <w:sz w:val="19"/>
              </w:rPr>
              <w:t>培训课程详情页、报名流程中</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解答人社补贴政策、免费培训条件、线下实操场地、开班时间、结业证明效力等常见疑问</w:t>
            </w:r>
          </w:p>
        </w:tc>
        <w:tc>
          <w:tcPr>
            <w:tcW w:type="dxa" w:w="2448"/>
            <w:shd w:fill="FFFFFF"/>
            <w:tcMar>
              <w:top w:w="100" w:type="dxa"/>
              <w:bottom w:w="100" w:type="dxa"/>
              <w:left w:w="140" w:type="dxa"/>
              <w:right w:w="140" w:type="dxa"/>
            </w:tcMar>
          </w:tcPr>
          <w:p>
            <w:pPr>
              <w:spacing w:line="276" w:lineRule="auto" w:after="0"/>
            </w:pPr>
            <w:r>
              <w:rPr>
                <w:rFonts w:ascii="Microsoft YaHei" w:hAnsi="Microsoft YaHei"/>
                <w:color w:val="333333"/>
                <w:sz w:val="19"/>
              </w:rPr>
              <w:t>引导符合补贴条件的学员完成线上实名资格核验并协助分班</w:t>
            </w:r>
          </w:p>
        </w:tc>
      </w:tr>
      <w:tr>
        <w:tc>
          <w:tcPr>
            <w:tcW w:type="dxa" w:w="1872"/>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2. CAAC考证答疑</w:t>
            </w:r>
          </w:p>
        </w:tc>
        <w:tc>
          <w:tcPr>
            <w:tcW w:type="dxa" w:w="2160"/>
            <w:shd w:fill="F9FAFB"/>
            <w:tcMar>
              <w:top w:w="100" w:type="dxa"/>
              <w:bottom w:w="100" w:type="dxa"/>
              <w:left w:w="140" w:type="dxa"/>
              <w:right w:w="140" w:type="dxa"/>
            </w:tcMar>
          </w:tcPr>
          <w:p>
            <w:pPr>
              <w:spacing w:line="276" w:lineRule="auto" w:after="0"/>
            </w:pPr>
            <w:r>
              <w:rPr>
                <w:rFonts w:ascii="Microsoft YaHei" w:hAnsi="Microsoft YaHei"/>
                <w:color w:val="333333"/>
                <w:sz w:val="19"/>
              </w:rPr>
              <w:t>CAAC专区、考证报名收银台</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解答视距内/超视距执照区别、体检要求、培训基地位置、考试通过率、补考退费政策</w:t>
            </w:r>
          </w:p>
        </w:tc>
        <w:tc>
          <w:tcPr>
            <w:tcW w:type="dxa" w:w="2448"/>
            <w:shd w:fill="F9FAFB"/>
            <w:tcMar>
              <w:top w:w="100" w:type="dxa"/>
              <w:bottom w:w="100" w:type="dxa"/>
              <w:left w:w="140" w:type="dxa"/>
              <w:right w:w="140" w:type="dxa"/>
            </w:tcMar>
          </w:tcPr>
          <w:p>
            <w:pPr>
              <w:spacing w:line="276" w:lineRule="auto" w:after="0"/>
            </w:pPr>
            <w:r>
              <w:rPr>
                <w:rFonts w:ascii="Microsoft YaHei" w:hAnsi="Microsoft YaHei"/>
                <w:color w:val="333333"/>
                <w:sz w:val="19"/>
              </w:rPr>
              <w:t>提供一对一考证规划，发放专属优惠券并指导学员完成线上报名缴费</w:t>
            </w:r>
          </w:p>
        </w:tc>
      </w:tr>
      <w:tr>
        <w:tc>
          <w:tcPr>
            <w:tcW w:type="dxa" w:w="1872"/>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3. 订单与空域协助</w:t>
            </w:r>
          </w:p>
        </w:tc>
        <w:tc>
          <w:tcPr>
            <w:tcW w:type="dxa" w:w="2160"/>
            <w:shd w:fill="FFFFFF"/>
            <w:tcMar>
              <w:top w:w="100" w:type="dxa"/>
              <w:bottom w:w="100" w:type="dxa"/>
              <w:left w:w="140" w:type="dxa"/>
              <w:right w:w="140" w:type="dxa"/>
            </w:tcMar>
          </w:tcPr>
          <w:p>
            <w:pPr>
              <w:spacing w:line="276" w:lineRule="auto" w:after="0"/>
            </w:pPr>
            <w:r>
              <w:rPr>
                <w:rFonts w:ascii="Microsoft YaHei" w:hAnsi="Microsoft YaHei"/>
                <w:color w:val="333333"/>
                <w:sz w:val="19"/>
              </w:rPr>
              <w:t>订单详情页、履约打卡阶段</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解答UOM实名登记流程、适飞空域真高限制查询指引、管制空域报备流程、保险选购与外部保单核验说明</w:t>
            </w:r>
          </w:p>
        </w:tc>
        <w:tc>
          <w:tcPr>
            <w:tcW w:type="dxa" w:w="2448"/>
            <w:shd w:fill="FFFFFF"/>
            <w:tcMar>
              <w:top w:w="100" w:type="dxa"/>
              <w:bottom w:w="100" w:type="dxa"/>
              <w:left w:w="140" w:type="dxa"/>
              <w:right w:w="140" w:type="dxa"/>
            </w:tcMar>
          </w:tcPr>
          <w:p>
            <w:pPr>
              <w:spacing w:line="276" w:lineRule="auto" w:after="0"/>
            </w:pPr>
            <w:r>
              <w:rPr>
                <w:rFonts w:ascii="Microsoft YaHei" w:hAnsi="Microsoft YaHei"/>
                <w:color w:val="333333"/>
                <w:sz w:val="19"/>
              </w:rPr>
              <w:t>协助处理履约纠纷仲裁、外部保单人工复核加急、协助飞手合规申报引导</w:t>
            </w:r>
          </w:p>
        </w:tc>
      </w:tr>
      <w:tr>
        <w:tc>
          <w:tcPr>
            <w:tcW w:type="dxa" w:w="1872"/>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4. 电商与二手售后</w:t>
            </w:r>
          </w:p>
        </w:tc>
        <w:tc>
          <w:tcPr>
            <w:tcW w:type="dxa" w:w="2160"/>
            <w:shd w:fill="F9FAFB"/>
            <w:tcMar>
              <w:top w:w="100" w:type="dxa"/>
              <w:bottom w:w="100" w:type="dxa"/>
              <w:left w:w="140" w:type="dxa"/>
              <w:right w:w="140" w:type="dxa"/>
            </w:tcMar>
          </w:tcPr>
          <w:p>
            <w:pPr>
              <w:spacing w:line="276" w:lineRule="auto" w:after="0"/>
            </w:pPr>
            <w:r>
              <w:rPr>
                <w:rFonts w:ascii="Microsoft YaHei" w:hAnsi="Microsoft YaHei"/>
                <w:color w:val="333333"/>
                <w:sz w:val="19"/>
              </w:rPr>
              <w:t>商品详情页、二手验机工单页</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解答商品发货时效、二手官方验机项目清单、UOM权属解绑步骤、退换货规则</w:t>
            </w:r>
          </w:p>
        </w:tc>
        <w:tc>
          <w:tcPr>
            <w:tcW w:type="dxa" w:w="2448"/>
            <w:shd w:fill="F9FAFB"/>
            <w:tcMar>
              <w:top w:w="100" w:type="dxa"/>
              <w:bottom w:w="100" w:type="dxa"/>
              <w:left w:w="140" w:type="dxa"/>
              <w:right w:w="140" w:type="dxa"/>
            </w:tcMar>
          </w:tcPr>
          <w:p>
            <w:pPr>
              <w:spacing w:line="276" w:lineRule="auto" w:after="0"/>
            </w:pPr>
            <w:r>
              <w:rPr>
                <w:rFonts w:ascii="Microsoft YaHei" w:hAnsi="Microsoft YaHei"/>
                <w:color w:val="333333"/>
                <w:sz w:val="19"/>
              </w:rPr>
              <w:t>受理二手设备纠纷介入、官方验机报告复核、协助买卖双方处理退款</w:t>
            </w:r>
          </w:p>
        </w:tc>
      </w:tr>
      <w:tr>
        <w:tc>
          <w:tcPr>
            <w:tcW w:type="dxa" w:w="1872"/>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5. 综合投诉与仲裁</w:t>
            </w:r>
          </w:p>
        </w:tc>
        <w:tc>
          <w:tcPr>
            <w:tcW w:type="dxa" w:w="2160"/>
            <w:shd w:fill="FFFFFF"/>
            <w:tcMar>
              <w:top w:w="100" w:type="dxa"/>
              <w:bottom w:w="100" w:type="dxa"/>
              <w:left w:w="140" w:type="dxa"/>
              <w:right w:w="140" w:type="dxa"/>
            </w:tcMar>
          </w:tcPr>
          <w:p>
            <w:pPr>
              <w:spacing w:line="276" w:lineRule="auto" w:after="0"/>
            </w:pPr>
            <w:r>
              <w:rPr>
                <w:rFonts w:ascii="Microsoft YaHei" w:hAnsi="Microsoft YaHei"/>
                <w:color w:val="333333"/>
                <w:sz w:val="19"/>
              </w:rPr>
              <w:t>个人中心、防跳单风控处罚通知</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解答信用分扣除原因、保证金罚没申诉流程、违规线索举报奖励发放</w:t>
            </w:r>
          </w:p>
        </w:tc>
        <w:tc>
          <w:tcPr>
            <w:tcW w:type="dxa" w:w="2448"/>
            <w:shd w:fill="FFFFFF"/>
            <w:tcMar>
              <w:top w:w="100" w:type="dxa"/>
              <w:bottom w:w="100" w:type="dxa"/>
              <w:left w:w="140" w:type="dxa"/>
              <w:right w:w="140" w:type="dxa"/>
            </w:tcMar>
          </w:tcPr>
          <w:p>
            <w:pPr>
              <w:spacing w:line="276" w:lineRule="auto" w:after="0"/>
            </w:pPr>
            <w:r>
              <w:rPr>
                <w:rFonts w:ascii="Microsoft YaHei" w:hAnsi="Microsoft YaHei"/>
                <w:color w:val="333333"/>
                <w:sz w:val="19"/>
              </w:rPr>
              <w:t>风控专员调取双方服务凭证、电子合同与通话录音，进行官方终局裁决</w:t>
            </w:r>
          </w:p>
        </w:tc>
      </w:tr>
    </w:tbl>
    <w:p>
      <w:pPr>
        <w:spacing w:after="120"/>
      </w:pPr>
    </w:p>
    <w:p>
      <w:pPr>
        <w:keepNext/>
        <w:spacing w:before="360" w:after="160"/>
      </w:pPr>
      <w:r>
        <w:rPr>
          <w:rFonts w:ascii="Microsoft YaHei" w:hAnsi="Microsoft YaHei"/>
          <w:b/>
          <w:color w:val="1F4E79"/>
          <w:sz w:val="32"/>
        </w:rPr>
        <w:t>四、全链路商业盈利模式设计</w:t>
      </w:r>
    </w:p>
    <w:p>
      <w:pPr>
        <w:spacing w:after="120" w:line="300" w:lineRule="auto"/>
      </w:pPr>
      <w:r>
        <w:rPr>
          <w:rFonts w:ascii="Microsoft YaHei" w:hAnsi="Microsoft YaHei"/>
          <w:color w:val="333333"/>
          <w:sz w:val="21"/>
        </w:rPr>
        <w:t>毕数飞行平台依托“培训-考证-撮合-交易-金融”五大飞轮，构建起多层次、高韧性、互为支撑的16+商业盈利模式矩阵：</w:t>
      </w:r>
    </w:p>
    <w:tbl>
      <w:tblPr>
        <w:tblW w:type="auto" w:w="0"/>
        <w:jc w:val="center"/>
        <w:tblLook w:firstColumn="1" w:firstRow="1" w:lastColumn="0" w:lastRow="0" w:noHBand="0" w:noVBand="1" w:val="04A0"/>
        <w:tblBorders>
          <w:top w:val="single" w:sz="4" w:space="0" w:color="D3D3D3"/>
          <w:bottom w:val="single" w:sz="6" w:space="0" w:color="1F4E79"/>
          <w:left w:val="none"/>
          <w:right w:val="none"/>
          <w:insideH w:val="single" w:sz="4" w:space="0" w:color="D3D3D3"/>
          <w:insideV w:val="none"/>
        </w:tblBorders>
      </w:tblPr>
      <w:tblGrid>
        <w:gridCol w:w="2340"/>
        <w:gridCol w:w="2340"/>
        <w:gridCol w:w="2340"/>
        <w:gridCol w:w="2340"/>
      </w:tblGrid>
      <w:tr>
        <w:tc>
          <w:tcPr>
            <w:tcW w:type="dxa" w:w="1584"/>
            <w:shd w:fill="1F4E79"/>
            <w:tcMar>
              <w:top w:w="140" w:type="dxa"/>
              <w:bottom w:w="140" w:type="dxa"/>
              <w:left w:w="160" w:type="dxa"/>
              <w:right w:w="160" w:type="dxa"/>
            </w:tcMar>
          </w:tcPr>
          <w:p>
            <w:pPr>
              <w:jc w:val="center"/>
            </w:pPr>
            <w:r>
              <w:rPr>
                <w:rFonts w:ascii="Microsoft YaHei" w:hAnsi="Microsoft YaHei"/>
                <w:b/>
                <w:color w:val="FFFFFF"/>
                <w:sz w:val="20"/>
              </w:rPr>
              <w:t>业务板块</w:t>
            </w:r>
          </w:p>
        </w:tc>
        <w:tc>
          <w:tcPr>
            <w:tcW w:type="dxa" w:w="2304"/>
            <w:shd w:fill="1F4E79"/>
            <w:tcMar>
              <w:top w:w="140" w:type="dxa"/>
              <w:bottom w:w="140" w:type="dxa"/>
              <w:left w:w="160" w:type="dxa"/>
              <w:right w:w="160" w:type="dxa"/>
            </w:tcMar>
          </w:tcPr>
          <w:p>
            <w:pPr>
              <w:jc w:val="center"/>
            </w:pPr>
            <w:r>
              <w:rPr>
                <w:rFonts w:ascii="Microsoft YaHei" w:hAnsi="Microsoft YaHei"/>
                <w:b/>
                <w:color w:val="FFFFFF"/>
                <w:sz w:val="20"/>
              </w:rPr>
              <w:t>盈利点名称</w:t>
            </w:r>
          </w:p>
        </w:tc>
        <w:tc>
          <w:tcPr>
            <w:tcW w:type="dxa" w:w="2592"/>
            <w:shd w:fill="1F4E79"/>
            <w:tcMar>
              <w:top w:w="140" w:type="dxa"/>
              <w:bottom w:w="140" w:type="dxa"/>
              <w:left w:w="160" w:type="dxa"/>
              <w:right w:w="160" w:type="dxa"/>
            </w:tcMar>
          </w:tcPr>
          <w:p>
            <w:pPr>
              <w:jc w:val="center"/>
            </w:pPr>
            <w:r>
              <w:rPr>
                <w:rFonts w:ascii="Microsoft YaHei" w:hAnsi="Microsoft YaHei"/>
                <w:b/>
                <w:color w:val="FFFFFF"/>
                <w:sz w:val="20"/>
              </w:rPr>
              <w:t>计费模式与收费标准</w:t>
            </w:r>
          </w:p>
        </w:tc>
        <w:tc>
          <w:tcPr>
            <w:tcW w:type="dxa" w:w="2880"/>
            <w:shd w:fill="1F4E79"/>
            <w:tcMar>
              <w:top w:w="140" w:type="dxa"/>
              <w:bottom w:w="140" w:type="dxa"/>
              <w:left w:w="160" w:type="dxa"/>
              <w:right w:w="160" w:type="dxa"/>
            </w:tcMar>
          </w:tcPr>
          <w:p>
            <w:pPr>
              <w:jc w:val="center"/>
            </w:pPr>
            <w:r>
              <w:rPr>
                <w:rFonts w:ascii="Microsoft YaHei" w:hAnsi="Microsoft YaHei"/>
                <w:b/>
                <w:color w:val="FFFFFF"/>
                <w:sz w:val="20"/>
              </w:rPr>
              <w:t>盈利机制与商业逻辑</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1. 技能培训</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人社补贴申报服务费</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按补贴发放金额抽取 5% ~ 10%</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平台提供“五位一体”合规数据归集与人社专窗申报系统支持，协助机构高效获批补贴后分成。</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1. 技能培训</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机构考勤SaaS系统年费</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3,000 ~ 8,000 元/年/机构</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向定点培训机构提供学员人脸打卡、线上防作弊学时、实操计时软硬件SaaS管理套件。</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1. 技能培训</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政企定向委培业务分包差价</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合同总金额的 15% ~ 20%</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平台承接电力、林业、应急等政府/大企业定向培训大单，分发给平台认证机构并赚取差价。</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2. CAAC考证</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考证招生佣金抽成</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考证学费的 15% ~ 25%（约800~2500元/人）</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学员通过平台直接报名或技能结业转化考取CAAC执照，平台在“证书回传结算”时自动扣除分成。</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2. CAAC考证</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考证无忧险分销佣金</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保费金额的 20% ~ 30%（约100~200元/单）</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联合保险公司推出“不过包赔补考费及差旅”的专属保险，在学员报名时增值勾选销售。</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2. CAAC考证</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机构品牌认证与竞价展位费</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5,000 ~ 20,000 元/年/机构</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培训机构为获得首页推荐、机构金牌认证标、本市优先派发考证学员支付的广告推广费。</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2. CAAC考证</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资质升级与增驾复训抽成</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复训增驾学费的 15% ~ 20%</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持证飞手由视距内升超视距、多旋翼增驾固定翼时的进阶培训持续佣金收益。</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3. 订单供需</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订单撮合服务佣金</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订单总额的 10% ~ 20%（阶梯递减）</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每笔任务完成结算时扣除，是撮合板块的核心造血源泉，通过阶梯递减激励长期留存。</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3. 订单供需</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企业客户发单VIP会员费</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6,800 ~ 29,800 元/年</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面向高频用机企业（测绘、电力、农林），提供专属项目经理、极速匹配、专票直开及免发布费。</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3. 订单供需</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商用无人机随单保险分销佣金</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单笔保费的 20% ~ 30%（约5~15元/单）</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对飞手勾选平台一键随单投保的订单，平台向保险公司收取保险科技分销与场景接入服务费。</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3. 订单供需</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复杂空域合规报备咨询代办费</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500 ~ 3,000 元/单</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联合具备通航资质的服务商，为重大活动或管制空域飞行提供UOM申报材料编制与代办服务。</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4. 电商交易</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电商交易平台抽成</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全新商品 3% ~ 5%，二手闲置 3% ~ 8%</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按商品实际成交额扣除，为商家和买家提供担保交易、资金安全及纠纷仲裁服务。</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4. 电商交易</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二手设备官方验机质检费</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199 ~ 499 元/台</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提供42项官方物理检测与飞控日志分析报告，买家或卖家按需付费，消除二手信任鸿沟。</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4. 电商交易</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企业店铺入驻年费与直通车</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年费 3,000 ~ 10,000 元/年 + CPC推广</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向品牌厂商、核心经销商收取开店年费，并提供搜索置顶、类目推荐广告位竞价。</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4. 电商交易</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设备以旧换新与寄售分成</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置换差价及寄售金额的 5% ~ 10%</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联合官方授权服务商提供飞手旧机折价置换新机服务，平台赚取评估差价及寄售分成。</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5. 资金衍生</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资金监管沉淀与保证金收益</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沉淀资金产生的合规利息及理财收益</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订单托管资金（3~15天流转期）及飞手/机构履约保证金形成的合规资金池衍生利息收益。</w:t>
            </w:r>
          </w:p>
        </w:tc>
      </w:tr>
    </w:tbl>
    <w:p>
      <w:pPr>
        <w:spacing w:after="120"/>
      </w:pPr>
    </w:p>
    <w:p>
      <w:pPr>
        <w:keepNext/>
        <w:spacing w:before="280" w:after="120"/>
      </w:pPr>
      <w:r>
        <w:rPr>
          <w:rFonts w:ascii="Microsoft YaHei" w:hAnsi="Microsoft YaHei"/>
          <w:b/>
          <w:color w:val="2E75B6"/>
          <w:sz w:val="26"/>
        </w:rPr>
        <w:t>4.6 跨业务飞轮协同效应与 LTV（用户全生命周期价值）模型</w:t>
      </w:r>
    </w:p>
    <w:p>
      <w:pPr>
        <w:spacing w:after="120" w:line="300" w:lineRule="auto"/>
      </w:pPr>
      <w:r>
        <w:rPr>
          <w:rFonts w:ascii="Microsoft YaHei" w:hAnsi="Microsoft YaHei"/>
          <w:color w:val="333333"/>
          <w:sz w:val="21"/>
        </w:rPr>
        <w:t>五大板块形成强大的协同飞轮与交叉变现飞轮：</w:t>
      </w:r>
    </w:p>
    <w:p>
      <w:pPr>
        <w:spacing w:after="120" w:line="300" w:lineRule="auto"/>
      </w:pPr>
      <w:r>
        <w:rPr>
          <w:rFonts w:ascii="Microsoft YaHei" w:hAnsi="Microsoft YaHei"/>
          <w:color w:val="333333"/>
          <w:sz w:val="21"/>
        </w:rPr>
        <w:t>• 学员转化飞轮：零门槛技能培训（低成本获客） → CAAC执照考证（高额首单佣金） → 商业订单接单（高频佣金流水与随单保险收益） → 购置专业设备/升级载荷（电商大单提成） → 淘汰旧机发布二手（二手流转佣金）。</w:t>
      </w:r>
    </w:p>
    <w:p>
      <w:pPr>
        <w:spacing w:after="120" w:line="300" w:lineRule="auto"/>
      </w:pPr>
      <w:r>
        <w:rPr>
          <w:rFonts w:ascii="Microsoft YaHei" w:hAnsi="Microsoft YaHei"/>
          <w:color w:val="333333"/>
          <w:sz w:val="21"/>
        </w:rPr>
        <w:t>• 企业生态飞轮：企业发布需求订单 → 购买企业会员VIP → 批量委派飞手参加平台培训/CAAC考证 → 批量采购电商设备与零配件 → 沉淀企业机组资产。</w:t>
      </w:r>
    </w:p>
    <w:p>
      <w:pPr>
        <w:keepNext/>
        <w:spacing w:before="360" w:after="160"/>
      </w:pPr>
      <w:r>
        <w:rPr>
          <w:rFonts w:ascii="Microsoft YaHei" w:hAnsi="Microsoft YaHei"/>
          <w:b/>
          <w:color w:val="1F4E79"/>
          <w:sz w:val="32"/>
        </w:rPr>
        <w:t>五、技术架构与安全设计</w:t>
      </w:r>
    </w:p>
    <w:p>
      <w:pPr>
        <w:keepNext/>
        <w:spacing w:before="280" w:after="120"/>
      </w:pPr>
      <w:r>
        <w:rPr>
          <w:rFonts w:ascii="Microsoft YaHei" w:hAnsi="Microsoft YaHei"/>
          <w:b/>
          <w:color w:val="2E75B6"/>
          <w:sz w:val="26"/>
        </w:rPr>
        <w:t>5.1 技术选型</w:t>
      </w:r>
    </w:p>
    <w:p>
      <w:pPr>
        <w:spacing w:after="120" w:line="300" w:lineRule="auto"/>
      </w:pPr>
      <w:r>
        <w:rPr>
          <w:rFonts w:ascii="Microsoft YaHei" w:hAnsi="Microsoft YaHei"/>
          <w:color w:val="333333"/>
          <w:sz w:val="21"/>
        </w:rPr>
        <w:t>• 前端技术栈：UniApp（微信小程序跨端开发，原生接入 `&lt;button open-type="contact"&gt;` 客服组件）、Vue3 + TypeScript + Element Plus（B端企业/机构/运营管理后台）。</w:t>
      </w:r>
    </w:p>
    <w:p>
      <w:pPr>
        <w:spacing w:after="120" w:line="300" w:lineRule="auto"/>
      </w:pPr>
      <w:r>
        <w:rPr>
          <w:rFonts w:ascii="Microsoft YaHei" w:hAnsi="Microsoft YaHei"/>
          <w:color w:val="333333"/>
          <w:sz w:val="21"/>
        </w:rPr>
        <w:t>• 后端技术栈：Spring Cloud Alibaba 微服务架构体系，Java 17，Spring Boot 3.x，Nacos（服务注册与配置中心），Sentinel（流量防刷限流与熔断降级）。</w:t>
      </w:r>
    </w:p>
    <w:p>
      <w:pPr>
        <w:spacing w:after="120" w:line="300" w:lineRule="auto"/>
      </w:pPr>
      <w:r>
        <w:rPr>
          <w:rFonts w:ascii="Microsoft YaHei" w:hAnsi="Microsoft YaHei"/>
          <w:color w:val="333333"/>
          <w:sz w:val="21"/>
        </w:rPr>
        <w:t>• 存储与中间件：MySQL 8.0（核心关系型数据库，主从读写分离）、Redis 7.0（分布式缓存、会话控制与分布式锁）、MongoDB（飞手轨迹日志、风控事件与外部保单OCR识别存证）、RocketMQ（高可靠异步解耦与分账消息队列）、Elasticsearch 8.x（商品/订单/飞手高精检索）。</w:t>
      </w:r>
    </w:p>
    <w:p>
      <w:pPr>
        <w:spacing w:after="120" w:line="300" w:lineRule="auto"/>
      </w:pPr>
      <w:r>
        <w:rPr>
          <w:rFonts w:ascii="Microsoft YaHei" w:hAnsi="Microsoft YaHei"/>
          <w:color w:val="333333"/>
          <w:sz w:val="21"/>
        </w:rPr>
        <w:t>• 基础云设施与生态对接：微信小程序客服系统直连、第三方商业保险API通道直连、Docker + Kubernetes 容器化编排部署、MinIO / 阿里云 OSS 对象存储（音视频与证书存证）、高德/百度地图 Web API。</w:t>
      </w:r>
    </w:p>
    <w:p>
      <w:pPr>
        <w:keepNext/>
        <w:spacing w:before="280" w:after="120"/>
      </w:pPr>
      <w:r>
        <w:rPr>
          <w:rFonts w:ascii="Microsoft YaHei" w:hAnsi="Microsoft YaHei"/>
          <w:b/>
          <w:color w:val="2E75B6"/>
          <w:sz w:val="26"/>
        </w:rPr>
        <w:t>5.2 数据合规与安全防护</w:t>
      </w:r>
    </w:p>
    <w:p>
      <w:pPr>
        <w:spacing w:after="120" w:line="300" w:lineRule="auto"/>
      </w:pPr>
      <w:r>
        <w:rPr>
          <w:rFonts w:ascii="Microsoft YaHei" w:hAnsi="Microsoft YaHei"/>
          <w:color w:val="333333"/>
          <w:sz w:val="21"/>
        </w:rPr>
        <w:t>• 网络安全等级保护三级：严格按等保三级规范进行架构设计与合规测评，确保具备对接政府政务外网与人社专网的安全能力。</w:t>
      </w:r>
    </w:p>
    <w:p>
      <w:pPr>
        <w:spacing w:after="120" w:line="300" w:lineRule="auto"/>
      </w:pPr>
      <w:r>
        <w:rPr>
          <w:rFonts w:ascii="Microsoft YaHei" w:hAnsi="Microsoft YaHei"/>
          <w:color w:val="333333"/>
          <w:sz w:val="21"/>
        </w:rPr>
        <w:t>• 敏感信息加密与脱敏：身份证号、银行卡号采用国密 SM4 算法加密存储，手机号全程前置脱敏展示。</w:t>
      </w:r>
    </w:p>
    <w:p>
      <w:pPr>
        <w:spacing w:after="120" w:line="300" w:lineRule="auto"/>
      </w:pPr>
      <w:r>
        <w:rPr>
          <w:rFonts w:ascii="Microsoft YaHei" w:hAnsi="Microsoft YaHei"/>
          <w:color w:val="333333"/>
          <w:sz w:val="21"/>
        </w:rPr>
        <w:t>• 资金独立监管合规：平台严格遵循中国人民银行《非银行支付机构网络支付业务管理办法》，严禁平台形成资金“二清”或私设资金池，所有交易资金均由持牌银行/持牌第三方支付机构进行专户托管与合规清分。</w:t>
      </w:r>
    </w:p>
    <w:p>
      <w:pPr>
        <w:keepNext/>
        <w:spacing w:before="360" w:after="160"/>
      </w:pPr>
      <w:r>
        <w:rPr>
          <w:rFonts w:ascii="Microsoft YaHei" w:hAnsi="Microsoft YaHei"/>
          <w:b/>
          <w:color w:val="1F4E79"/>
          <w:sz w:val="32"/>
        </w:rPr>
        <w:t>六、实施计划与推进里程碑</w:t>
      </w:r>
    </w:p>
    <w:p>
      <w:pPr>
        <w:spacing w:after="120" w:line="300" w:lineRule="auto"/>
      </w:pPr>
      <w:r>
        <w:rPr>
          <w:rFonts w:ascii="Microsoft YaHei" w:hAnsi="Microsoft YaHei"/>
          <w:color w:val="333333"/>
          <w:sz w:val="21"/>
        </w:rPr>
        <w:t>项目规划分三期有序实施落地：</w:t>
      </w:r>
    </w:p>
    <w:p>
      <w:pPr>
        <w:spacing w:after="120" w:line="300" w:lineRule="auto"/>
      </w:pPr>
      <w:r>
        <w:rPr>
          <w:rFonts w:ascii="Microsoft YaHei" w:hAnsi="Microsoft YaHei"/>
          <w:color w:val="333333"/>
          <w:sz w:val="21"/>
        </w:rPr>
        <w:t>• 一期（第 1 - 5 个月：MVP 核心闭环验证）：完成微信小程序C端、机构端与运营后台上线；跑通“技能培训报名-CAAC考证入口-基础订单抢发单（含随单保险与外部保单上传）-企业店铺交易”；接入微信原生客服、虚拟号与电子合同，验证商业模式可行性。</w:t>
      </w:r>
    </w:p>
    <w:p>
      <w:pPr>
        <w:spacing w:after="120" w:line="300" w:lineRule="auto"/>
      </w:pPr>
      <w:r>
        <w:rPr>
          <w:rFonts w:ascii="Microsoft YaHei" w:hAnsi="Microsoft YaHei"/>
          <w:color w:val="333333"/>
          <w:sz w:val="21"/>
        </w:rPr>
        <w:t>• 二期（第 6 - 10 个月：规模化与风控深化）：上线个人二手闲置后台、官方验机工单系统、UOM“一登二查三申请”深度交互组件；完善防跳单信用分与保证金系统；签约20+优质培训机构，月订单突破1500单。</w:t>
      </w:r>
    </w:p>
    <w:p>
      <w:pPr>
        <w:spacing w:after="120" w:line="300" w:lineRule="auto"/>
      </w:pPr>
      <w:r>
        <w:rPr>
          <w:rFonts w:ascii="Microsoft YaHei" w:hAnsi="Microsoft YaHei"/>
          <w:color w:val="333333"/>
          <w:sz w:val="21"/>
        </w:rPr>
        <w:t>• 三期（第 11 - 15 个月：政企深拓与金融生态）：实现与地方人社系统接口直报对接，开辟人社专窗；上线SaaS企业机组管理工具、供应链金融与二手置换服务；构建区域低空经济综合服务数字底座。</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