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7815C">
      <w:pPr>
        <w:spacing w:before="156" w:beforeLines="50" w:after="156" w:afterLines="50" w:line="400" w:lineRule="atLeast"/>
        <w:jc w:val="center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重庆大学</w:t>
      </w: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02</w:t>
      </w: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6暑期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数学建模</w:t>
      </w: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模拟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赛</w:t>
      </w: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题目</w:t>
      </w:r>
    </w:p>
    <w:p w14:paraId="504374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请各队从下列题目中任选一题完成竞赛论文。论文须包含以下结构：标题、摘要、关键词、问题重述、问题分析、模型假设、符号说明、模型的建立与求解、结果分析与模型检验、模型评价、参考文献和附录。附录内容应包括支撑材料的文件列表，以及建模所用到的全部完整、可运行的源程序代码（含EXCEL、SPSS等软件的交互命令）。如确未使用程序，须在附录中说明“本论文没有用到程序”。缺少必要源程序、程序无法运行或运行结果与论文不符，可能被取消评奖资格。</w:t>
      </w:r>
    </w:p>
    <w:p w14:paraId="352D30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支撑材料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要求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</w:p>
    <w:p w14:paraId="0D9715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支撑材料须包含：所有可运行源程序、自主查阅使用的数据资料（赛题提供的原始数据除外）、较大篇幅的中间结果图表、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AI工具使用详情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等。  </w:t>
      </w:r>
    </w:p>
    <w:p w14:paraId="6179C0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全部支撑材料请使用WinRAR软件压缩成一个文件（后缀为.rar或.zip，大小不超过20MB）。</w:t>
      </w:r>
    </w:p>
    <w:p w14:paraId="753309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关于AI工具的使用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 </w:t>
      </w:r>
    </w:p>
    <w:p w14:paraId="68DE9E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若使用了AI工具，须在参考文献中列出，并在正文中规范引用。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在支撑材料里给出“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AI工具使用详情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.pdf”。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 </w:t>
      </w:r>
    </w:p>
    <w:p w14:paraId="2DC9A1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若未使用任何AI工具，须在参考文献后明确声明：“本参赛队未使用任何AI工具”。</w:t>
      </w:r>
    </w:p>
    <w:p w14:paraId="7A8FC9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AI工具使用详情内容包括：所用AI工具名称和版本，具体使用目的和环节，关键交互记录（重要提示词与回复），采纳和人工修改情况。 </w:t>
      </w:r>
    </w:p>
    <w:p w14:paraId="5C2655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参赛作品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提交要求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</w:p>
    <w:p w14:paraId="6FFE06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请于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日23:55前，将选拔赛论文的电子稿（论文PDF和支撑材料压缩包两个文件）以附件形式发送至mgsxjm@163.com。请勿使用超大附件或第三方链接。  </w:t>
      </w:r>
    </w:p>
    <w:p w14:paraId="7E94F9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邮件主题格式：题号（A、B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C之一）+ 队号 + 队员姓名（示例：A2222张民，李立，王进）。  </w:t>
      </w:r>
    </w:p>
    <w:p w14:paraId="1A167F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论文PDF文件名：与邮件主题相同，如“A2222张民，李立，王进.pdf”。论文PDF无需压缩。  </w:t>
      </w:r>
    </w:p>
    <w:p w14:paraId="7F601D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atLeast"/>
        <w:ind w:left="0" w:right="0" w:firstLine="480" w:firstLineChars="200"/>
        <w:textAlignment w:val="auto"/>
        <w:rPr>
          <w:rFonts w:ascii="宋体" w:hAnsi="宋体" w:eastAsia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sym w:font="Symbol" w:char="00B7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支撑材料压缩包文件名：格式为“题号+队号+队员姓名+支撑材料”，如“A2222张民，李立，王进+支撑材料.rar”。</w:t>
      </w:r>
      <w:r>
        <w:rPr>
          <w:rFonts w:ascii="宋体" w:hAnsi="宋体" w:eastAsia="宋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br w:type="page"/>
      </w:r>
    </w:p>
    <w:p w14:paraId="7AB8F00C">
      <w:pPr>
        <w:rPr>
          <w:rStyle w:val="12"/>
          <w:rFonts w:hint="eastAsia" w:ascii="宋体" w:hAnsi="宋体" w:eastAsia="宋体" w:cs="Segoe UI"/>
          <w:sz w:val="28"/>
          <w:szCs w:val="28"/>
          <w:shd w:val="clear" w:color="auto" w:fill="FFFFFF"/>
        </w:rPr>
      </w:pPr>
      <w:r>
        <w:rPr>
          <w:rFonts w:ascii="宋体" w:hAns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A题</w:t>
      </w:r>
      <w:r>
        <w:rPr>
          <w:rFonts w:hint="eastAsia" w:ascii="宋体" w:hAns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2"/>
          <w:rFonts w:hint="eastAsia" w:ascii="宋体" w:hAnsi="宋体" w:eastAsia="宋体" w:cs="Segoe UI"/>
          <w:sz w:val="28"/>
          <w:szCs w:val="28"/>
          <w:shd w:val="clear" w:color="auto" w:fill="FFFFFF"/>
        </w:rPr>
        <w:t>刮胡子的微观力学建模与优化</w:t>
      </w:r>
    </w:p>
    <w:p w14:paraId="40A51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1E8FE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背景</w:t>
      </w:r>
    </w:p>
    <w:p w14:paraId="223F3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刮胡子是日常生活中最常见的切割操作之一，但其背后隐藏着丰富的力学问题。从微观尺度看，剃须过程本质上是刀片刀刃对单根胡须的压入与切断——胡须是由角蛋白构成的纤维状组织，具有一定的弹性模量、屈服强度和断裂韧性；而刀片刃口则具有极小的曲率半径（从几十纳米到几微米）和特定的楔角。为改善剃须体验，人们常使用剃须泡沫，它能润滑皮肤与胡须表面、软化胡须材质，从而显著影响切割过程。</w:t>
      </w:r>
    </w:p>
    <w:p w14:paraId="0424D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目前，针对专门面向剃须这一特定场景，综合考虑胡子几何与物理参数、刀片几何与物理参数、切入角度以及泡沫作用的系统建模仍十分欠缺。剃须的“难度”“舒适度”究竟由哪些参数主导？刀片应该以什么角度、什么方式运动？泡沫的润滑与软化如何定量刻画？这些都是值得数学建模深入探讨的问题。</w:t>
      </w:r>
    </w:p>
    <w:p w14:paraId="35D80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请通过合理的假设与抽象，建立数学模型，回答以下四个问题。</w:t>
      </w:r>
    </w:p>
    <w:p w14:paraId="1153B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问题1：单根胡须垂直切割的临界力模型</w:t>
      </w:r>
    </w:p>
    <w:p w14:paraId="7ADFD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考虑单根胡须被刀片切断的基本过程。胡须可简化为均质各向同性的线弹性或弹塑性圆柱体，直径D，弹性模量E，泊松比ν，并引入适当的强度或断裂准则（如最大主应力准则、断裂韧性Kc等）。刀片刀刃可视为具有刃口半径r和楔角α的刚性楔形压头。假设刀片以垂直于胡须轴线的方向（正切）缓慢压入，且胡须根部被皮肤固定。</w:t>
      </w:r>
    </w:p>
    <w:p w14:paraId="48DD4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请建立该压入—切断过程的力学模型，完成以下任务：</w:t>
      </w:r>
    </w:p>
    <w:p w14:paraId="00E82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1.分析胡须在刀刃压入下的应力分布与变形特征，判断断裂的起始位置及扩展方式。</w:t>
      </w:r>
    </w:p>
    <w:p w14:paraId="50531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2.推导切断胡须所需临界切割力Fc与胡须参数（D,E,Kc等）、刀片参数（r,α）之间的定量关系，并给出切割力随压入深度的变化曲线特征。</w:t>
      </w:r>
    </w:p>
    <w:p w14:paraId="02FE0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3.讨论各参数对临界切割力的敏感性，指出影响切割难度的主导因素。</w:t>
      </w:r>
    </w:p>
    <w:p w14:paraId="4E291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需明确采用的断裂准则和假设，并可通过数值求解验证模型的合理性。</w:t>
      </w:r>
    </w:p>
    <w:p w14:paraId="0AF25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问题2：切入角度与滑动对切割难度的影响</w:t>
      </w:r>
    </w:p>
    <w:p w14:paraId="4B275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实际剃须时，刀片很少严格垂直于胡须轴线运动，而是存在一个切入角θ（刀片运动方向与胡须轴线之间的夹角）。当θ=90∘时即问题1中的正切；当θ较小时近似为斜切。此外，剃须动作往往伴随沿刀刃方向的滑动（即“锯切”分量）。</w:t>
      </w:r>
    </w:p>
    <w:p w14:paraId="70B2B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请建立考虑切入角和滑动的切割模型，完成以下任务：</w:t>
      </w:r>
    </w:p>
    <w:p w14:paraId="42BCA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1.定义合理的“切割难度”指标，如最大切割力、切断功或临界应力强度因子等。</w:t>
      </w:r>
    </w:p>
    <w:p w14:paraId="50399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2.推导该指标随切入角θ的变化关系，解释斜切更省力或更费力的力学原因，并求出使切割难度最小的最优切入角θopt。</w:t>
      </w:r>
    </w:p>
    <w:p w14:paraId="2D7C2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3.引入滑动比λ（刀刃横向滑动速度与纵向切入速度之比），分析“锯切”效应对切割难度的影响，探讨是否存在最优滑动比，并给出物理解释。</w:t>
      </w:r>
    </w:p>
    <w:p w14:paraId="56246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问题的分析应基于问题1中建立的力学框架，可适当简化几何关系并保留主要影响因素。</w:t>
      </w:r>
    </w:p>
    <w:p w14:paraId="7FBA4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问题3：剃须泡沫的作用与综合优化</w:t>
      </w:r>
    </w:p>
    <w:p w14:paraId="094BD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剃须泡沫的主要作用包括：润滑接触界面，降低刀片与胡须之间的摩擦系数μ；软化胡须材质，使其弹性模量E和断裂韧性Kc降低。请将泡沫效应纳入前述模型，完成以下任务：</w:t>
      </w:r>
    </w:p>
    <w:p w14:paraId="3B784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1.定量分析摩擦系数μ、胡须材料参数E和Kc的变化对临界切割力、最优切入角和切割能量消耗的影响。</w:t>
      </w:r>
    </w:p>
    <w:p w14:paraId="1590D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2.尝试定义能够表征“剃须舒适度”的综合性指标（可考虑切割总能量、对皮肤的反作用力等），并建立该指标与泡沫特性（润滑能力、软化能力）之间的数学关系。</w:t>
      </w:r>
    </w:p>
    <w:p w14:paraId="79432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3.基于你的模型，为剃须刀设计者提供优化建议：在干剃和湿剃（使用泡沫）两种情形下，如何选择刀刃几何参数（r,α）、推荐的操作角度θ及滑动比λ？泡沫的哪些性能最值得提升？请用计算结果或仿真验证你的结论。</w:t>
      </w:r>
    </w:p>
    <w:p w14:paraId="3CB3B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建模时，允许对泡沫的润滑和软化效果采用合理的参数化描述（例如假设E和Kc随含水率变化的关系），并鼓励结合文献数据或合理假设进行定量分析。</w:t>
      </w:r>
    </w:p>
    <w:p w14:paraId="1496A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问题4：剃须刀产品的优化</w:t>
      </w:r>
    </w:p>
    <w:p w14:paraId="7FE81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在上述研究的基础上，针对当前的剃须刀产品，请给出你们对于产品设计方面的建议，并说明相应的原因。</w:t>
      </w:r>
    </w:p>
    <w:p w14:paraId="44C89E4D">
      <w:pPr>
        <w:rPr>
          <w:rFonts w:hint="eastAsia" w:ascii="宋体" w:hAnsi="宋体" w:eastAsia="宋体"/>
          <w:b/>
          <w:bCs/>
          <w:sz w:val="30"/>
          <w:szCs w:val="30"/>
        </w:rPr>
      </w:pPr>
    </w:p>
    <w:p w14:paraId="294A0CD9">
      <w:pPr>
        <w:rPr>
          <w:rFonts w:hint="eastAsia" w:ascii="宋体" w:hAnsi="宋体" w:eastAsia="宋体"/>
          <w:b/>
          <w:bCs/>
          <w:sz w:val="30"/>
          <w:szCs w:val="30"/>
        </w:rPr>
      </w:pPr>
    </w:p>
    <w:p w14:paraId="0856AE78">
      <w:pPr>
        <w:rPr>
          <w:rFonts w:hint="eastAsia" w:ascii="宋体" w:hAnsi="宋体" w:eastAsia="宋体"/>
          <w:b/>
          <w:bCs/>
          <w:sz w:val="30"/>
          <w:szCs w:val="30"/>
        </w:rPr>
      </w:pPr>
    </w:p>
    <w:p w14:paraId="1510F7D7">
      <w:pPr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br w:type="page"/>
      </w:r>
    </w:p>
    <w:p w14:paraId="53EB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B题：高速PCB数控钻孔与贴装路径优化</w:t>
      </w:r>
    </w:p>
    <w:p w14:paraId="45EB1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在印刷电路板（PCB）的制造流程中，数控钻孔和SMT（Surface Mount Technology）贴片是两大耗时环节。</w:t>
      </w:r>
    </w:p>
    <w:p w14:paraId="7CD49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(1)</w:t>
      </w:r>
      <w:r>
        <w:rPr>
          <w:rFonts w:hint="eastAsia" w:ascii="宋体" w:hAnsi="宋体" w:eastAsia="宋体"/>
          <w:b/>
          <w:bCs/>
          <w:sz w:val="24"/>
          <w:szCs w:val="24"/>
        </w:rPr>
        <w:t>钻孔环节</w:t>
      </w:r>
      <w:r>
        <w:rPr>
          <w:rFonts w:hint="eastAsia" w:ascii="宋体" w:hAnsi="宋体" w:eastAsia="宋体"/>
          <w:sz w:val="24"/>
          <w:szCs w:val="24"/>
        </w:rPr>
        <w:t>：一块PCB上通常有数千个不同孔径的过孔（焊盘），数控钻床需要移动主轴，依次对准每个孔位进行钻孔。</w:t>
      </w:r>
    </w:p>
    <w:p w14:paraId="1DA9B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(2)</w:t>
      </w:r>
      <w:r>
        <w:rPr>
          <w:rFonts w:hint="eastAsia" w:ascii="宋体" w:hAnsi="宋体" w:eastAsia="宋体"/>
          <w:b/>
          <w:bCs/>
          <w:sz w:val="24"/>
          <w:szCs w:val="24"/>
        </w:rPr>
        <w:t>贴片环节</w:t>
      </w:r>
      <w:r>
        <w:rPr>
          <w:rFonts w:hint="eastAsia" w:ascii="宋体" w:hAnsi="宋体" w:eastAsia="宋体"/>
          <w:sz w:val="24"/>
          <w:szCs w:val="24"/>
        </w:rPr>
        <w:t>：贴片机通过吸嘴从送料器拾取电子元件，然后移动到PCB板上指定坐标进行贴装。</w:t>
      </w:r>
    </w:p>
    <w:p w14:paraId="58A31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目前，某PCB制造厂引进了新型高速设备，但在实际生产中，设备运动路径（空行程）占据了大量非加工时间。统计显示，对于高密度板，无效移动时间甚至占到了总工时的 30%~40%。因此，优化设备运动轨迹具有巨大的经济价值。</w:t>
      </w:r>
    </w:p>
    <w:p w14:paraId="2343D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工厂提供了一批待加工的PCB数据，请你们团队建立数学模型，解决以下三个问题。</w:t>
      </w:r>
    </w:p>
    <w:p w14:paraId="1C3CB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2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问题1</w:t>
      </w:r>
      <w:r>
        <w:rPr>
          <w:rFonts w:hint="eastAsia" w:ascii="宋体" w:hAnsi="宋体" w:eastAsia="宋体"/>
          <w:sz w:val="24"/>
          <w:szCs w:val="24"/>
        </w:rPr>
        <w:t xml:space="preserve">  假设某块PCB上共有n个需要钻孔的坐标点，所有孔径大小完全相同（无需换刀）。钻头从左上角原点O(0, 0) 处起始，需遍历所有点位并最终返回原点（为加工下一块板准备）。请建立数学模型，规划钻头移动的最短路线（移动速度v=100 mm/s）。如果两点间的距离为欧氏距离，请分别对附件中的四种印刷电路板（n=50,198,442,1173），求出最优（或近似最优）钻孔顺序及钻头移动时间。</w:t>
      </w:r>
    </w:p>
    <w:p w14:paraId="6FCEB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2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问题2</w:t>
      </w:r>
      <w:r>
        <w:rPr>
          <w:rFonts w:hint="eastAsia" w:ascii="宋体" w:hAnsi="宋体" w:eastAsia="宋体"/>
          <w:sz w:val="24"/>
          <w:szCs w:val="24"/>
        </w:rPr>
        <w:t xml:space="preserve">  实际PCB上存在多种不同孔径，钻头在钻不同孔径时，必须返回换刀点（原点O）更换钻头。换刀一次耗时5秒。为了减少换刀次数，同一孔径的点通常会连续加工，但不同孔径之间的加工顺序（先钻A还是先钻B）可以自由决定。若有m种孔径，每种孔径的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  <w:lang w:val="en-US" w:eastAsia="zh-CN"/>
        </w:rPr>
        <w:t>钻孔</w:t>
      </w:r>
      <w:r>
        <w:rPr>
          <w:rFonts w:hint="eastAsia" w:ascii="宋体" w:hAnsi="宋体" w:eastAsia="宋体"/>
          <w:sz w:val="24"/>
          <w:szCs w:val="24"/>
        </w:rPr>
        <w:t>时间不同，考虑将n个点按孔径分成m组，确定m组的加工顺序，使 “总换刀等待时间 + 所有组内及组间移动时间” 最小化。建立数学模型，设计求解该模型的算法，并测试你的算法。设某种PCB上存在 3种不同孔径（A型：0.3mm，B型：0.5mm，C型：1.0mm），每种孔径各有n1、n2、n3个点（共计n个点），钻头切削一个孔的时间分别为：A型孔（小孔） 0.15 秒/孔，B型孔（中孔） 0.20 秒/孔，C型孔（大孔） 0.30 秒/孔。请对附件给出的四种印刷电路板给出n个孔的加工顺序和总完工时间。</w:t>
      </w:r>
    </w:p>
    <w:p w14:paraId="79AB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2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问题3</w:t>
      </w:r>
      <w:r>
        <w:rPr>
          <w:rFonts w:hint="eastAsia" w:ascii="宋体" w:hAnsi="宋体" w:eastAsia="宋体"/>
          <w:sz w:val="24"/>
          <w:szCs w:val="24"/>
        </w:rPr>
        <w:t xml:space="preserve">  SMT贴片机“拾取-放置”规划。一台贴片机有1个吸嘴，负责将 100个元件 从一排固定的送料器槽位（位于PCB板下边缘，坐标Y=0）拾取，并贴装到PCB板上对应的100个贴装点位。送料器基座上有30个固定物理槽位，每个槽位有固定坐标（如槽位1在（5,0），槽位2在（15,0），以此类推）。每个槽位至少放一个元件，每个槽位的元件数尽量均衡。决策者需要决定将100个元件分别分配到哪个槽位。将100个元件分成30组，每组对应一个槽位，同一槽位内的元件按顺序取用。吸嘴先移动到某个槽位（该槽位当前放置的元件就是将要拾取的元件），拾取元件，然后移动到PCB上对应的贴装点进行贴装。贴装头必须严格按“拾取（P）-&gt; 贴装（M）-&gt; 拾取（P）-&gt; 贴装（M）”交替进行。这里“拾取”指的是从某个槽位取一个元件，“贴装”指的是将元件放到对应的贴装点。总路径由这些连续点之间的曼哈顿距离（因为设备X/Y轴独立运动）累加而成。请建立模型，解决如下问题。</w:t>
      </w:r>
    </w:p>
    <w:p w14:paraId="7F506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（1）如何确定 100个元件的槽位分配和拾取顺序（即从哪个送料器先拿）与 对应的贴装顺序（放到哪个坐标）？</w:t>
      </w:r>
    </w:p>
    <w:p w14:paraId="14AD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（2）如果引入 “预拾取” 技术（即吸嘴一次吸取一个元件后，不直接贴装，而是先吸第二个再一起贴，但受重量限制只能携带最多2个），此时规划变成了更复杂的“配对”TSP。请针对 “一次携带2个元件” 的场景建立数学优化模型，并设计一种有效的求解算法。</w:t>
      </w:r>
    </w:p>
    <w:p w14:paraId="4B236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</w:p>
    <w:p w14:paraId="21636686">
      <w:pPr>
        <w:spacing w:line="360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C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题</w:t>
      </w:r>
      <w:r>
        <w:rPr>
          <w:rFonts w:hint="eastAsia" w:ascii="宋体" w:hAnsi="宋体" w:eastAsia="宋体"/>
          <w:b/>
          <w:bCs/>
          <w:sz w:val="28"/>
          <w:szCs w:val="28"/>
        </w:rPr>
        <w:t>：</w:t>
      </w:r>
      <w:r>
        <w:rPr>
          <w:rFonts w:ascii="宋体" w:hAnsi="宋体" w:eastAsia="宋体"/>
          <w:b/>
          <w:bCs/>
          <w:sz w:val="28"/>
          <w:szCs w:val="28"/>
        </w:rPr>
        <w:t>基于监控视频的公共场所异常行为检测与分级预警</w:t>
      </w:r>
    </w:p>
    <w:p w14:paraId="381D4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公共场所安全管理是城市治理和社会公共安全的重要组成部分。随着“平安城市”“雪亮工程”等工程的推进，城市中已经部署了大量监控摄像头，形成了覆盖广泛的视频监控网络。然而，海量监控视频仍主要依赖人工查看，存在工作量大、效率低、漏报率高、响应滞后等问题。</w:t>
      </w:r>
    </w:p>
    <w:p w14:paraId="575C2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异常行为检测旨在利用计算机视觉、统计建模和人工智能方法，从监控视频中自动发现与正常行为模式显著不同的事件，例如奔跑、斗殴、摔倒、群体逃散、翻越、交通事故、纵火等。若能实现异常事件的自动检测、定位和分级预警，将有助于提高公共安全管理的智能化水平。</w:t>
      </w:r>
    </w:p>
    <w:p w14:paraId="0CD90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6DBF3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3978A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6FD36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06E99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6E689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4B58D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宋体" w:hAnsi="宋体" w:eastAsia="宋体" w:cs="Helvetica"/>
          <w:sz w:val="24"/>
          <w:szCs w:val="24"/>
          <w:shd w:val="clear" w:color="auto" w:fill="FFFFFF"/>
        </w:rPr>
      </w:pPr>
    </w:p>
    <w:p w14:paraId="05530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/>
        <w:jc w:val="center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1824355</wp:posOffset>
            </wp:positionH>
            <wp:positionV relativeFrom="paragraph">
              <wp:posOffset>-1739900</wp:posOffset>
            </wp:positionV>
            <wp:extent cx="2078990" cy="1932940"/>
            <wp:effectExtent l="0" t="0" r="3810" b="10160"/>
            <wp:wrapNone/>
            <wp:docPr id="39090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745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379" cy="193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D7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 xml:space="preserve">            </w:t>
      </w:r>
      <w:r>
        <w:rPr>
          <w:rFonts w:hint="eastAsia" w:ascii="宋体" w:hAnsi="宋体" w:eastAsia="宋体"/>
          <w:b/>
          <w:sz w:val="24"/>
          <w:szCs w:val="24"/>
        </w:rPr>
        <w:t xml:space="preserve">                 图1：异常行为检测示意图</w:t>
      </w:r>
    </w:p>
    <w:p w14:paraId="0430C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 w:cs="Helvetica"/>
          <w:sz w:val="24"/>
          <w:szCs w:val="24"/>
          <w:shd w:val="clear" w:color="auto" w:fill="FFFFFF"/>
        </w:rPr>
        <w:t>参赛者可根据问题要求选择下列公开数据集中的一个或多个</w:t>
      </w:r>
      <w:r>
        <w:rPr>
          <w:rFonts w:hint="eastAsia" w:ascii="宋体" w:hAnsi="宋体" w:eastAsia="宋体" w:cs="Helvetica"/>
          <w:sz w:val="24"/>
          <w:szCs w:val="24"/>
          <w:shd w:val="clear" w:color="auto" w:fill="FFFFFF"/>
        </w:rPr>
        <w:t>（也可选择其他未列出的数据集）</w:t>
      </w:r>
      <w:r>
        <w:rPr>
          <w:rFonts w:ascii="宋体" w:hAnsi="宋体" w:eastAsia="宋体" w:cs="Helvetica"/>
          <w:sz w:val="24"/>
          <w:szCs w:val="24"/>
          <w:shd w:val="clear" w:color="auto" w:fill="FFFFFF"/>
        </w:rPr>
        <w:t>进行建模。不同数据集的标注粒度和适用任务不同，参赛者应结合任务需求合理选择数据集。参赛者可以只选择一个主数据集完成全部任务，也可以针对不同问题选择不同数据集。需在论文中说明选择理由。</w:t>
      </w:r>
      <w:r>
        <w:rPr>
          <w:rFonts w:ascii="宋体" w:hAnsi="宋体" w:eastAsia="宋体"/>
          <w:bCs/>
          <w:sz w:val="24"/>
          <w:szCs w:val="24"/>
        </w:rPr>
        <w:t>请参赛者围绕公共场所异常行为检测与预警问题，完成以下任务：</w:t>
      </w:r>
    </w:p>
    <w:p w14:paraId="5D731B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对监控视频进行预处理和特征提取，建立正常行为模型；</w:t>
      </w:r>
    </w:p>
    <w:p w14:paraId="23E0C6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计算异常得分，实现异常帧或异常片段检测；</w:t>
      </w:r>
    </w:p>
    <w:p w14:paraId="013624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对异常区域进行定位和可视化分析；</w:t>
      </w:r>
    </w:p>
    <w:p w14:paraId="151A47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建立异常严重程度评价模型，设计分级预警机制；</w:t>
      </w:r>
    </w:p>
    <w:p w14:paraId="2C3405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Cs/>
          <w:sz w:val="21"/>
          <w:szCs w:val="21"/>
        </w:rPr>
      </w:pPr>
      <w:r>
        <w:rPr>
          <w:rFonts w:ascii="宋体" w:hAnsi="宋体" w:eastAsia="宋体"/>
          <w:bCs/>
          <w:sz w:val="24"/>
          <w:szCs w:val="24"/>
        </w:rPr>
        <w:t>面向实际监控场景，设计轻量化实时检测与部署方案。</w:t>
      </w:r>
    </w:p>
    <w:p w14:paraId="332DDB3D">
      <w:pPr>
        <w:spacing w:line="360" w:lineRule="auto"/>
        <w:rPr>
          <w:rFonts w:hint="eastAsia" w:ascii="宋体" w:hAnsi="宋体" w:eastAsia="宋体"/>
          <w:bCs/>
          <w:sz w:val="21"/>
          <w:szCs w:val="21"/>
        </w:rPr>
      </w:pPr>
    </w:p>
    <w:p w14:paraId="31C8529A">
      <w:pPr>
        <w:spacing w:line="360" w:lineRule="auto"/>
        <w:ind w:firstLine="2741" w:firstLineChars="1300"/>
        <w:rPr>
          <w:rFonts w:hint="eastAsia" w:ascii="宋体" w:hAnsi="宋体" w:eastAsia="宋体"/>
          <w:b/>
          <w:sz w:val="21"/>
          <w:szCs w:val="21"/>
        </w:rPr>
      </w:pPr>
      <w:r>
        <w:rPr>
          <w:rFonts w:hint="eastAsia" w:ascii="宋体" w:hAnsi="宋体" w:eastAsia="宋体"/>
          <w:b/>
          <w:sz w:val="21"/>
          <w:szCs w:val="21"/>
        </w:rPr>
        <w:t>表1：</w:t>
      </w:r>
      <w:r>
        <w:rPr>
          <w:rFonts w:ascii="宋体" w:hAnsi="宋体" w:eastAsia="宋体"/>
          <w:b/>
          <w:sz w:val="21"/>
          <w:szCs w:val="21"/>
        </w:rPr>
        <w:t>异常</w:t>
      </w:r>
      <w:r>
        <w:rPr>
          <w:rFonts w:hint="eastAsia" w:ascii="宋体" w:hAnsi="宋体" w:eastAsia="宋体"/>
          <w:b/>
          <w:sz w:val="21"/>
          <w:szCs w:val="21"/>
        </w:rPr>
        <w:t>检测数据集</w:t>
      </w:r>
    </w:p>
    <w:tbl>
      <w:tblPr>
        <w:tblStyle w:val="9"/>
        <w:tblW w:w="3937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7"/>
        <w:gridCol w:w="4210"/>
        <w:gridCol w:w="613"/>
      </w:tblGrid>
      <w:tr w14:paraId="7123A6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  <w:tblHeader/>
          <w:jc w:val="center"/>
        </w:trPr>
        <w:tc>
          <w:tcPr>
            <w:tcW w:w="1313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1F160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数据集</w:t>
            </w:r>
          </w:p>
        </w:tc>
        <w:tc>
          <w:tcPr>
            <w:tcW w:w="32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5B8DC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68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71F72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获取链接</w:t>
            </w:r>
          </w:p>
        </w:tc>
      </w:tr>
      <w:tr w14:paraId="60391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" w:hRule="atLeast"/>
          <w:jc w:val="center"/>
        </w:trPr>
        <w:tc>
          <w:tcPr>
            <w:tcW w:w="1313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95413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UCF-Crime</w:t>
            </w:r>
          </w:p>
        </w:tc>
        <w:tc>
          <w:tcPr>
            <w:tcW w:w="32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B49A1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大规模真实监控视频异常检测数据集，约 1900 段视频、128 小时，包含 13 类异常事件，如斗殴、爆炸、纵火、抢劫、枪击、交通事故等。</w:t>
            </w:r>
          </w:p>
        </w:tc>
        <w:tc>
          <w:tcPr>
            <w:tcW w:w="468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1EA5F">
            <w:pPr>
              <w:rPr>
                <w:rFonts w:hint="eastAsia"/>
                <w:b/>
              </w:rPr>
            </w:pPr>
            <w:r>
              <w:fldChar w:fldCharType="begin"/>
            </w:r>
            <w:r>
              <w:instrText xml:space="preserve"> HYPERLINK "https://www.crcv.ucf.edu/research/real-world-anomaly-detection-in-surveillance-videos/" \t "_blank" </w:instrText>
            </w:r>
            <w:r>
              <w:fldChar w:fldCharType="separate"/>
            </w:r>
            <w:r>
              <w:rPr>
                <w:rStyle w:val="14"/>
                <w:b/>
              </w:rPr>
              <w:t>点击获取</w:t>
            </w:r>
            <w:r>
              <w:rPr>
                <w:rStyle w:val="14"/>
                <w:b/>
              </w:rPr>
              <w:fldChar w:fldCharType="end"/>
            </w:r>
          </w:p>
        </w:tc>
      </w:tr>
      <w:tr w14:paraId="21A863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  <w:jc w:val="center"/>
        </w:trPr>
        <w:tc>
          <w:tcPr>
            <w:tcW w:w="1313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2C302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ShanghaiTech Campus</w:t>
            </w:r>
          </w:p>
        </w:tc>
        <w:tc>
          <w:tcPr>
            <w:tcW w:w="32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FDEB2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上海科技大学校园监控异常检测数据集，包含 13 个场景，约 330 个训练视频、107 个测试视频，测试集中包含 130 个异常事件。</w:t>
            </w:r>
          </w:p>
        </w:tc>
        <w:tc>
          <w:tcPr>
            <w:tcW w:w="468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5345C4">
            <w:pPr>
              <w:rPr>
                <w:rFonts w:hint="eastAsia"/>
                <w:b/>
              </w:rPr>
            </w:pPr>
            <w:r>
              <w:fldChar w:fldCharType="begin"/>
            </w:r>
            <w:r>
              <w:instrText xml:space="preserve"> HYPERLINK "https://svip-lab.github.io/dataset/campus_dataset.html" \t "_blank" </w:instrText>
            </w:r>
            <w:r>
              <w:fldChar w:fldCharType="separate"/>
            </w:r>
            <w:r>
              <w:rPr>
                <w:rStyle w:val="14"/>
                <w:b/>
              </w:rPr>
              <w:t>点击获取</w:t>
            </w:r>
            <w:r>
              <w:rPr>
                <w:rStyle w:val="14"/>
                <w:b/>
              </w:rPr>
              <w:fldChar w:fldCharType="end"/>
            </w:r>
          </w:p>
        </w:tc>
      </w:tr>
      <w:tr w14:paraId="1BD9F1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  <w:jc w:val="center"/>
        </w:trPr>
        <w:tc>
          <w:tcPr>
            <w:tcW w:w="1313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FECFF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CUHK Avenue Dataset</w:t>
            </w:r>
          </w:p>
        </w:tc>
        <w:tc>
          <w:tcPr>
            <w:tcW w:w="32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3CC8E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香港中文大学发布的校园道路异常检测数据集，包含 16 个训练视频和 21 个测试视频，共 30652 帧，包含奔跑、抛掷物体、异常方向移动等异常行为。</w:t>
            </w:r>
          </w:p>
        </w:tc>
        <w:tc>
          <w:tcPr>
            <w:tcW w:w="468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2948F">
            <w:pPr>
              <w:rPr>
                <w:rFonts w:hint="eastAsia"/>
                <w:b/>
              </w:rPr>
            </w:pPr>
            <w:r>
              <w:fldChar w:fldCharType="begin"/>
            </w:r>
            <w:r>
              <w:instrText xml:space="preserve"> HYPERLINK "http://www.cse.cuhk.edu.hk/leojia/projects/detectabnormal/dataset.html" \t "_blank" </w:instrText>
            </w:r>
            <w:r>
              <w:fldChar w:fldCharType="separate"/>
            </w:r>
            <w:r>
              <w:rPr>
                <w:rStyle w:val="14"/>
                <w:b/>
              </w:rPr>
              <w:t>点击获取</w:t>
            </w:r>
            <w:r>
              <w:rPr>
                <w:rStyle w:val="14"/>
                <w:b/>
              </w:rPr>
              <w:fldChar w:fldCharType="end"/>
            </w:r>
          </w:p>
        </w:tc>
      </w:tr>
      <w:tr w14:paraId="2E5E7A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  <w:jc w:val="center"/>
        </w:trPr>
        <w:tc>
          <w:tcPr>
            <w:tcW w:w="1313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6A3F8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UMN Crowd Activity Dataset</w:t>
            </w:r>
          </w:p>
        </w:tc>
        <w:tc>
          <w:tcPr>
            <w:tcW w:w="3219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D194B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明尼苏达大学群体异常行为数据集，包含 3 个场景、11 段视频，主要表现为人群从正常活动突然转为逃散。</w:t>
            </w:r>
          </w:p>
        </w:tc>
        <w:tc>
          <w:tcPr>
            <w:tcW w:w="468" w:type="pct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B8C9F">
            <w:pPr>
              <w:rPr>
                <w:rFonts w:hint="eastAsia"/>
                <w:b/>
              </w:rPr>
            </w:pPr>
            <w:r>
              <w:fldChar w:fldCharType="begin"/>
            </w:r>
            <w:r>
              <w:instrText xml:space="preserve"> HYPERLINK "http://mha.cs.umn.edu/proj_events.shtml" \l "crowd" \t "_blank" </w:instrText>
            </w:r>
            <w:r>
              <w:fldChar w:fldCharType="separate"/>
            </w:r>
            <w:r>
              <w:rPr>
                <w:rStyle w:val="14"/>
                <w:b/>
              </w:rPr>
              <w:t>点击获取</w:t>
            </w:r>
            <w:r>
              <w:rPr>
                <w:rStyle w:val="14"/>
                <w:b/>
              </w:rPr>
              <w:fldChar w:fldCharType="end"/>
            </w:r>
          </w:p>
        </w:tc>
      </w:tr>
    </w:tbl>
    <w:p w14:paraId="05A7C10F">
      <w:pPr>
        <w:rPr>
          <w:rFonts w:hint="eastAsia"/>
          <w:b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DC202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7128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7128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26775"/>
    <w:multiLevelType w:val="multilevel"/>
    <w:tmpl w:val="2BC26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8B2"/>
    <w:rsid w:val="00024405"/>
    <w:rsid w:val="000777CE"/>
    <w:rsid w:val="000F189F"/>
    <w:rsid w:val="000F5721"/>
    <w:rsid w:val="001161ED"/>
    <w:rsid w:val="001168D5"/>
    <w:rsid w:val="00125C37"/>
    <w:rsid w:val="00151872"/>
    <w:rsid w:val="001579C3"/>
    <w:rsid w:val="00184537"/>
    <w:rsid w:val="001B4CEF"/>
    <w:rsid w:val="001D3A23"/>
    <w:rsid w:val="001F2914"/>
    <w:rsid w:val="002070CB"/>
    <w:rsid w:val="00213F7C"/>
    <w:rsid w:val="00220FFD"/>
    <w:rsid w:val="00221FC0"/>
    <w:rsid w:val="002306AF"/>
    <w:rsid w:val="002317DE"/>
    <w:rsid w:val="002401D3"/>
    <w:rsid w:val="00243AE0"/>
    <w:rsid w:val="00260DEC"/>
    <w:rsid w:val="002D2994"/>
    <w:rsid w:val="002E0A2B"/>
    <w:rsid w:val="00302789"/>
    <w:rsid w:val="00320C3A"/>
    <w:rsid w:val="00321163"/>
    <w:rsid w:val="00332DDC"/>
    <w:rsid w:val="00333B15"/>
    <w:rsid w:val="00362E37"/>
    <w:rsid w:val="003B06C6"/>
    <w:rsid w:val="003B15D6"/>
    <w:rsid w:val="003C3FA3"/>
    <w:rsid w:val="003C712A"/>
    <w:rsid w:val="003F198F"/>
    <w:rsid w:val="003F5979"/>
    <w:rsid w:val="0040477B"/>
    <w:rsid w:val="00434751"/>
    <w:rsid w:val="0047086F"/>
    <w:rsid w:val="00470CC3"/>
    <w:rsid w:val="004C0014"/>
    <w:rsid w:val="004E0847"/>
    <w:rsid w:val="004E2B75"/>
    <w:rsid w:val="004E3907"/>
    <w:rsid w:val="004F1D5A"/>
    <w:rsid w:val="00503365"/>
    <w:rsid w:val="0050543D"/>
    <w:rsid w:val="0054748F"/>
    <w:rsid w:val="00585B90"/>
    <w:rsid w:val="005A063A"/>
    <w:rsid w:val="005A6BD9"/>
    <w:rsid w:val="005A7DA6"/>
    <w:rsid w:val="005E33C4"/>
    <w:rsid w:val="005F7C7A"/>
    <w:rsid w:val="0061099E"/>
    <w:rsid w:val="00634CF2"/>
    <w:rsid w:val="006357FC"/>
    <w:rsid w:val="006A493F"/>
    <w:rsid w:val="006C1382"/>
    <w:rsid w:val="007163CE"/>
    <w:rsid w:val="00726E03"/>
    <w:rsid w:val="00781D22"/>
    <w:rsid w:val="007C21DA"/>
    <w:rsid w:val="007F33D1"/>
    <w:rsid w:val="00820C79"/>
    <w:rsid w:val="00831F4D"/>
    <w:rsid w:val="0083646F"/>
    <w:rsid w:val="00866D01"/>
    <w:rsid w:val="00883E6E"/>
    <w:rsid w:val="008C0D55"/>
    <w:rsid w:val="008E72E7"/>
    <w:rsid w:val="00903D8A"/>
    <w:rsid w:val="009143EC"/>
    <w:rsid w:val="0091623E"/>
    <w:rsid w:val="009430EE"/>
    <w:rsid w:val="00950D42"/>
    <w:rsid w:val="00951C80"/>
    <w:rsid w:val="00955831"/>
    <w:rsid w:val="009606BF"/>
    <w:rsid w:val="0096663C"/>
    <w:rsid w:val="009708EA"/>
    <w:rsid w:val="00981FEE"/>
    <w:rsid w:val="009B0969"/>
    <w:rsid w:val="009B74E9"/>
    <w:rsid w:val="009F26B3"/>
    <w:rsid w:val="009F3C29"/>
    <w:rsid w:val="00A11392"/>
    <w:rsid w:val="00A31759"/>
    <w:rsid w:val="00A372FE"/>
    <w:rsid w:val="00A63A8E"/>
    <w:rsid w:val="00AA6612"/>
    <w:rsid w:val="00AF6FF6"/>
    <w:rsid w:val="00B03DE2"/>
    <w:rsid w:val="00B20018"/>
    <w:rsid w:val="00B23FA9"/>
    <w:rsid w:val="00B262E1"/>
    <w:rsid w:val="00B46848"/>
    <w:rsid w:val="00B57AB5"/>
    <w:rsid w:val="00B7667F"/>
    <w:rsid w:val="00B93F9F"/>
    <w:rsid w:val="00B963C0"/>
    <w:rsid w:val="00BB5ED3"/>
    <w:rsid w:val="00BC4F4E"/>
    <w:rsid w:val="00BD2F05"/>
    <w:rsid w:val="00BF0EF6"/>
    <w:rsid w:val="00BF4ED7"/>
    <w:rsid w:val="00C023E5"/>
    <w:rsid w:val="00C23E85"/>
    <w:rsid w:val="00C47AB0"/>
    <w:rsid w:val="00C47D6C"/>
    <w:rsid w:val="00C67057"/>
    <w:rsid w:val="00C75597"/>
    <w:rsid w:val="00CB2BA1"/>
    <w:rsid w:val="00CD1C46"/>
    <w:rsid w:val="00CD4DCE"/>
    <w:rsid w:val="00D33E13"/>
    <w:rsid w:val="00D36B8D"/>
    <w:rsid w:val="00D44BA1"/>
    <w:rsid w:val="00D63BE8"/>
    <w:rsid w:val="00D93CB9"/>
    <w:rsid w:val="00DD78B2"/>
    <w:rsid w:val="00DE0DA2"/>
    <w:rsid w:val="00DE47FA"/>
    <w:rsid w:val="00E1309E"/>
    <w:rsid w:val="00E23944"/>
    <w:rsid w:val="00E30874"/>
    <w:rsid w:val="00E3601B"/>
    <w:rsid w:val="00E74BE7"/>
    <w:rsid w:val="00E7603C"/>
    <w:rsid w:val="00E86273"/>
    <w:rsid w:val="00E97089"/>
    <w:rsid w:val="00EC04D0"/>
    <w:rsid w:val="00EE7A4B"/>
    <w:rsid w:val="00EF1E55"/>
    <w:rsid w:val="00F10419"/>
    <w:rsid w:val="00F664A4"/>
    <w:rsid w:val="00FB2EE4"/>
    <w:rsid w:val="00FB62D5"/>
    <w:rsid w:val="00FE5BEA"/>
    <w:rsid w:val="01E81EF6"/>
    <w:rsid w:val="058E53ED"/>
    <w:rsid w:val="0C016970"/>
    <w:rsid w:val="0C03126A"/>
    <w:rsid w:val="0ECF491D"/>
    <w:rsid w:val="11B7799B"/>
    <w:rsid w:val="1357263F"/>
    <w:rsid w:val="14EE0A02"/>
    <w:rsid w:val="1648631A"/>
    <w:rsid w:val="173842D8"/>
    <w:rsid w:val="18D35D30"/>
    <w:rsid w:val="199E2028"/>
    <w:rsid w:val="1BCC4311"/>
    <w:rsid w:val="1C9607FA"/>
    <w:rsid w:val="1F8E368C"/>
    <w:rsid w:val="219914E7"/>
    <w:rsid w:val="24FA503B"/>
    <w:rsid w:val="26091816"/>
    <w:rsid w:val="26106BE1"/>
    <w:rsid w:val="26956923"/>
    <w:rsid w:val="297C78F2"/>
    <w:rsid w:val="2C8B7EE4"/>
    <w:rsid w:val="2D953FD8"/>
    <w:rsid w:val="2F4552CD"/>
    <w:rsid w:val="30D03820"/>
    <w:rsid w:val="35CA3BEB"/>
    <w:rsid w:val="37000186"/>
    <w:rsid w:val="38E61B47"/>
    <w:rsid w:val="3A0F2EAC"/>
    <w:rsid w:val="3AE572C5"/>
    <w:rsid w:val="3F8F3AD1"/>
    <w:rsid w:val="40DE09E1"/>
    <w:rsid w:val="41A864CF"/>
    <w:rsid w:val="41B062BF"/>
    <w:rsid w:val="42D62911"/>
    <w:rsid w:val="43C139A5"/>
    <w:rsid w:val="45644531"/>
    <w:rsid w:val="4A455AC1"/>
    <w:rsid w:val="4BB817D3"/>
    <w:rsid w:val="4DFF4287"/>
    <w:rsid w:val="4E6751BB"/>
    <w:rsid w:val="525071E9"/>
    <w:rsid w:val="52B01601"/>
    <w:rsid w:val="537F3BC7"/>
    <w:rsid w:val="53C02053"/>
    <w:rsid w:val="54006178"/>
    <w:rsid w:val="548E3BB7"/>
    <w:rsid w:val="56E2080F"/>
    <w:rsid w:val="5A3F1F24"/>
    <w:rsid w:val="5BAC785E"/>
    <w:rsid w:val="5DF24242"/>
    <w:rsid w:val="5F27742B"/>
    <w:rsid w:val="60A24FBB"/>
    <w:rsid w:val="62946181"/>
    <w:rsid w:val="629E6475"/>
    <w:rsid w:val="63035BD9"/>
    <w:rsid w:val="645C36D2"/>
    <w:rsid w:val="69963BA7"/>
    <w:rsid w:val="6B6F4633"/>
    <w:rsid w:val="6B730158"/>
    <w:rsid w:val="6C1C72EC"/>
    <w:rsid w:val="6FE3114C"/>
    <w:rsid w:val="70DB3924"/>
    <w:rsid w:val="735C6B15"/>
    <w:rsid w:val="750D2EF3"/>
    <w:rsid w:val="75F66B70"/>
    <w:rsid w:val="779A2A38"/>
    <w:rsid w:val="7DA30408"/>
    <w:rsid w:val="7E46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spacing w:before="480" w:after="120"/>
      <w:outlineLvl w:val="1"/>
    </w:pPr>
    <w:rPr>
      <w:rFonts w:ascii="Arial" w:hAnsi="Arial" w:eastAsia="黑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240" w:after="120"/>
      <w:jc w:val="left"/>
      <w:outlineLvl w:val="2"/>
    </w:pPr>
    <w:rPr>
      <w:rFonts w:ascii="Times New Roman" w:hAnsi="Times New Roman" w:eastAsia="黑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22"/>
    <w:unhideWhenUsed/>
    <w:qFormat/>
    <w:uiPriority w:val="0"/>
    <w:pPr>
      <w:keepNext/>
      <w:keepLines/>
      <w:spacing w:line="360" w:lineRule="auto"/>
      <w:outlineLvl w:val="3"/>
    </w:pPr>
    <w:rPr>
      <w:rFonts w:ascii="Times New Roman" w:hAnsi="Times New Roman" w:eastAsia="宋体" w:cstheme="majorBidi"/>
      <w:bCs/>
      <w:sz w:val="24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18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9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20">
    <w:name w:val="标题 2 Char"/>
    <w:basedOn w:val="11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21">
    <w:name w:val="标题 3 Char"/>
    <w:basedOn w:val="11"/>
    <w:link w:val="4"/>
    <w:qFormat/>
    <w:uiPriority w:val="9"/>
    <w:rPr>
      <w:rFonts w:ascii="Times New Roman" w:hAnsi="Times New Roman" w:eastAsia="黑体" w:cs="Times New Roman"/>
      <w:b/>
      <w:bCs/>
      <w:sz w:val="24"/>
      <w:szCs w:val="32"/>
    </w:rPr>
  </w:style>
  <w:style w:type="character" w:customStyle="1" w:styleId="22">
    <w:name w:val="标题 4 Char"/>
    <w:basedOn w:val="11"/>
    <w:link w:val="5"/>
    <w:qFormat/>
    <w:uiPriority w:val="0"/>
    <w:rPr>
      <w:rFonts w:ascii="Times New Roman" w:hAnsi="Times New Roman" w:eastAsia="宋体" w:cstheme="majorBidi"/>
      <w:bCs/>
      <w:sz w:val="24"/>
      <w:szCs w:val="28"/>
    </w:rPr>
  </w:style>
  <w:style w:type="paragraph" w:customStyle="1" w:styleId="23">
    <w:name w:val="图"/>
    <w:basedOn w:val="1"/>
    <w:link w:val="27"/>
    <w:qFormat/>
    <w:uiPriority w:val="0"/>
    <w:pPr>
      <w:spacing w:line="300" w:lineRule="auto"/>
      <w:ind w:left="3261" w:firstLine="175" w:firstLineChars="175"/>
      <w:jc w:val="center"/>
    </w:pPr>
    <w:rPr>
      <w:rFonts w:ascii="Times New Roman" w:hAnsi="Times New Roman" w:eastAsia="宋体" w:cs="Times New Roman"/>
      <w:szCs w:val="20"/>
      <w:lang w:val="en-GB"/>
    </w:rPr>
  </w:style>
  <w:style w:type="paragraph" w:customStyle="1" w:styleId="24">
    <w:name w:val="Fig"/>
    <w:basedOn w:val="23"/>
    <w:qFormat/>
    <w:uiPriority w:val="0"/>
    <w:pPr>
      <w:ind w:left="2520"/>
    </w:pPr>
  </w:style>
  <w:style w:type="paragraph" w:customStyle="1" w:styleId="25">
    <w:name w:val="表"/>
    <w:basedOn w:val="24"/>
    <w:qFormat/>
    <w:uiPriority w:val="0"/>
    <w:pPr>
      <w:ind w:left="240" w:leftChars="100" w:hanging="420"/>
    </w:pPr>
    <w:rPr>
      <w:b/>
      <w:bCs/>
    </w:rPr>
  </w:style>
  <w:style w:type="paragraph" w:customStyle="1" w:styleId="26">
    <w:name w:val="Table"/>
    <w:basedOn w:val="25"/>
    <w:qFormat/>
    <w:uiPriority w:val="0"/>
    <w:pPr>
      <w:tabs>
        <w:tab w:val="left" w:pos="360"/>
      </w:tabs>
      <w:ind w:left="480" w:leftChars="200"/>
    </w:pPr>
    <w:rPr>
      <w:bCs w:val="0"/>
    </w:rPr>
  </w:style>
  <w:style w:type="character" w:customStyle="1" w:styleId="27">
    <w:name w:val="图 字符"/>
    <w:basedOn w:val="11"/>
    <w:link w:val="23"/>
    <w:qFormat/>
    <w:uiPriority w:val="0"/>
    <w:rPr>
      <w:rFonts w:ascii="Times New Roman" w:hAnsi="Times New Roman" w:eastAsia="宋体" w:cs="Times New Roman"/>
      <w:szCs w:val="20"/>
      <w:lang w:val="en-GB"/>
    </w:rPr>
  </w:style>
  <w:style w:type="paragraph" w:customStyle="1" w:styleId="28">
    <w:name w:val="公式"/>
    <w:basedOn w:val="1"/>
    <w:link w:val="29"/>
    <w:qFormat/>
    <w:uiPriority w:val="0"/>
    <w:pPr>
      <w:tabs>
        <w:tab w:val="center" w:pos="4320"/>
        <w:tab w:val="right" w:pos="8760"/>
      </w:tabs>
      <w:spacing w:line="300" w:lineRule="auto"/>
      <w:ind w:firstLine="200" w:firstLineChars="200"/>
      <w:jc w:val="center"/>
      <w:textAlignment w:val="center"/>
    </w:pPr>
    <w:rPr>
      <w:rFonts w:ascii="Times New Roman" w:hAnsi="Times New Roman" w:eastAsia="宋体" w:cs="Times New Roman"/>
      <w:kern w:val="0"/>
      <w:sz w:val="24"/>
      <w:szCs w:val="20"/>
      <w:lang w:eastAsia="en-US"/>
    </w:rPr>
  </w:style>
  <w:style w:type="character" w:customStyle="1" w:styleId="29">
    <w:name w:val="公式 字符"/>
    <w:basedOn w:val="11"/>
    <w:link w:val="28"/>
    <w:qFormat/>
    <w:uiPriority w:val="0"/>
    <w:rPr>
      <w:rFonts w:ascii="Times New Roman" w:hAnsi="Times New Roman" w:eastAsia="宋体" w:cs="Times New Roman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4317</Words>
  <Characters>4634</Characters>
  <Lines>61</Lines>
  <Paragraphs>17</Paragraphs>
  <TotalTime>11</TotalTime>
  <ScaleCrop>false</ScaleCrop>
  <LinksUpToDate>false</LinksUpToDate>
  <CharactersWithSpaces>4752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2025-04-30T14:33:00Z</dcterms:created>
  <dc:creator>Administrator</dc:creator>
  <cp:lastModifiedBy>gongqu</cp:lastModifiedBy>
  <cp:lastPrinted>2021-04-27T04:28:00Z</cp:lastPrinted>
  <dcterms:modified xsi:type="dcterms:W3CDTF">2026-07-09T15:27:55Z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20FCEB13F8B4463198A080F08510DA4B_13</vt:lpwstr>
  </property>
  <property fmtid="{D5CDD505-2E9C-101B-9397-08002B2CF9AE}" pid="4" name="KSOTemplateDocerSaveRecord">
    <vt:lpwstr>eyJoZGlkIjoiNjIxYTBjNjk1MzZjYzZkZTcyOGUxMDdmYTQ3OGY5M2MiLCJ1c2VySWQiOiI4OTA3OTc3OTAifQ==</vt:lpwstr>
  </property>
</Properties>
</file>