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color w:val="ff0000"/>
          <w:rtl w:val="0"/>
        </w:rPr>
        <w:t xml:space="preserve">Clinical Case — Angiodysplasia (Heyde’s Syndrome)</w:t>
      </w:r>
      <w:r w:rsidDel="00000000" w:rsidR="00000000" w:rsidRPr="00000000">
        <w:rPr>
          <w:color w:val="ff0000"/>
          <w:rtl w:val="0"/>
        </w:rPr>
        <w:t xml:space="preserve"> </w:t>
      </w:r>
      <w:r w:rsidDel="00000000" w:rsidR="00000000" w:rsidRPr="00000000">
        <w:rPr>
          <w:rtl w:val="0"/>
        </w:rPr>
        <w:br w:type="textWrapping"/>
        <w:br w:type="textWrapping"/>
        <w:br w:type="textWrapping"/>
      </w:r>
      <w:r w:rsidDel="00000000" w:rsidR="00000000" w:rsidRPr="00000000">
        <w:rPr>
          <w:b w:val="1"/>
          <w:bCs w:val="1"/>
          <w:color w:val="4f81bd"/>
          <w:rtl w:val="0"/>
        </w:rPr>
        <w:t xml:space="preserve">Patient identification</w:t>
      </w:r>
      <w:r w:rsidDel="00000000" w:rsidR="00000000" w:rsidRPr="00000000">
        <w:rPr>
          <w:rtl w:val="0"/>
        </w:rPr>
        <w:br w:type="textWrapping"/>
        <w:t xml:space="preserve">• Name: H.M.</w:t>
        <w:br w:type="textWrapping"/>
        <w:t xml:space="preserve">• Age: 73 years</w:t>
        <w:br w:type="textWrapping"/>
        <w:t xml:space="preserve">• Sex: Male</w:t>
        <w:br w:type="textWrapping"/>
        <w:t xml:space="preserve">• Date of Admission: 19 Nov 2025</w:t>
        <w:br w:type="textWrapping"/>
        <w:t xml:space="preserve">• Source: Brought by family after a fall at home; anemia found on routine evaluation.</w:t>
        <w:br w:type="textWrapping"/>
        <w:br w:type="textWrapping"/>
        <w:br w:type="textWrapping"/>
      </w:r>
      <w:r w:rsidDel="00000000" w:rsidR="00000000" w:rsidRPr="00000000">
        <w:rPr>
          <w:b w:val="1"/>
          <w:bCs w:val="1"/>
          <w:color w:val="4f81bd"/>
          <w:rtl w:val="0"/>
        </w:rPr>
        <w:t xml:space="preserve">Presenting complaint</w:t>
      </w:r>
      <w:r w:rsidDel="00000000" w:rsidR="00000000" w:rsidRPr="00000000">
        <w:rPr>
          <w:rtl w:val="0"/>
        </w:rPr>
        <w:br w:type="textWrapping"/>
        <w:br w:type="textWrapping"/>
        <w:t xml:space="preserve">Generalized fatigue and lightheadedness for weeks; found pale after a fall.</w:t>
        <w:br w:type="textWrapping"/>
        <w:br w:type="textWrapping"/>
        <w:br w:type="textWrapping"/>
      </w:r>
      <w:r w:rsidDel="00000000" w:rsidR="00000000" w:rsidRPr="00000000">
        <w:rPr>
          <w:b w:val="1"/>
          <w:bCs w:val="1"/>
          <w:color w:val="4f81bd"/>
          <w:rtl w:val="0"/>
        </w:rPr>
        <w:t xml:space="preserve">History of present illness</w:t>
      </w:r>
      <w:r w:rsidDel="00000000" w:rsidR="00000000" w:rsidRPr="00000000">
        <w:rPr>
          <w:color w:val="4f81bd"/>
          <w:rtl w:val="0"/>
        </w:rPr>
        <w:t xml:space="preserve"> </w:t>
      </w:r>
      <w:r w:rsidDel="00000000" w:rsidR="00000000" w:rsidRPr="00000000">
        <w:rPr>
          <w:rtl w:val="0"/>
        </w:rPr>
        <w:br w:type="textWrapping"/>
        <w:br w:type="textWrapping"/>
        <w:t xml:space="preserve">A 73-year-old man was brought to ED after a mechanical fall at home. During routine inpatient evaluation he reported progressive fatigue, exertional dyspnoea (NYHA II → III), and reduced exercise tolerance over 6–8 weeks. He denies syncope. He reports no overt haematemesis, melena, or fresh PR bleeding, no epistaxis, haematuria, or easy bruising. He has no abdominal pain, no change in bowel habit, no constitutional symptoms (no fever or weight loss). He has noticed intermittent lightheadedness on standing.</w:t>
        <w:br w:type="textWrapping"/>
        <w:br w:type="textWrapping"/>
        <w:t xml:space="preserve">Family members state he has been more breathless than usual and “pale” for several weeks but never sought medical attention. He fell from standing height; no head injury. No recent NSAID use or anticoagulant therapy.</w:t>
        <w:br w:type="textWrapping"/>
        <w:br w:type="textWrapping"/>
        <w:br w:type="textWrapping"/>
      </w:r>
      <w:r w:rsidDel="00000000" w:rsidR="00000000" w:rsidRPr="00000000">
        <w:rPr>
          <w:b w:val="1"/>
          <w:bCs w:val="1"/>
          <w:color w:val="4f81bd"/>
          <w:rtl w:val="0"/>
        </w:rPr>
        <w:t xml:space="preserve">Past medical history</w:t>
      </w:r>
      <w:r w:rsidDel="00000000" w:rsidR="00000000" w:rsidRPr="00000000">
        <w:rPr>
          <w:rtl w:val="0"/>
        </w:rPr>
        <w:br w:type="textWrapping"/>
        <w:t xml:space="preserve">• Hypertension (on treatment)</w:t>
        <w:br w:type="textWrapping"/>
        <w:t xml:space="preserve">• Type 2 diabetes mellitus (diet + metformin)</w:t>
        <w:br w:type="textWrapping"/>
        <w:t xml:space="preserve">• Chronic kidney disease, stage 3a (eGFR ≈ 45 mL/min)</w:t>
        <w:br w:type="textWrapping"/>
        <w:t xml:space="preserve">• No prior GI diagnoses, no known peptic ulcer disease, no prior transfusions</w:t>
        <w:br w:type="textWrapping"/>
        <w:br w:type="textWrapping"/>
        <w:br w:type="textWrapping"/>
      </w:r>
      <w:r w:rsidDel="00000000" w:rsidR="00000000" w:rsidRPr="00000000">
        <w:rPr>
          <w:b w:val="1"/>
          <w:bCs w:val="1"/>
          <w:color w:val="4f81bd"/>
          <w:rtl w:val="0"/>
        </w:rPr>
        <w:t xml:space="preserve">Past surgical history</w:t>
      </w:r>
      <w:r w:rsidDel="00000000" w:rsidR="00000000" w:rsidRPr="00000000">
        <w:rPr>
          <w:rtl w:val="0"/>
        </w:rPr>
        <w:br w:type="textWrapping"/>
        <w:t xml:space="preserve">• Left inguinal hernia repair (30 years ago)</w:t>
        <w:br w:type="textWrapping"/>
        <w:t xml:space="preserve">• No prior GI surgery</w:t>
        <w:br w:type="textWrapping"/>
        <w:br w:type="textWrapping"/>
      </w:r>
    </w:p>
    <w:p w:rsidR="00000000" w:rsidDel="00000000" w:rsidP="00000000" w:rsidRDefault="00000000" w:rsidRPr="00000000" w14:paraId="00000002">
      <w:pPr>
        <w:rPr/>
      </w:pPr>
      <w:r w:rsidDel="00000000" w:rsidR="00000000" w:rsidRPr="00000000">
        <w:rPr>
          <w:rtl w:val="0"/>
        </w:rPr>
        <w:br w:type="textWrapping"/>
      </w:r>
      <w:r w:rsidDel="00000000" w:rsidR="00000000" w:rsidRPr="00000000">
        <w:rPr>
          <w:b w:val="1"/>
          <w:bCs w:val="1"/>
          <w:color w:val="4f81bd"/>
          <w:rtl w:val="0"/>
        </w:rPr>
        <w:t xml:space="preserve">Family and social history</w:t>
      </w:r>
      <w:r w:rsidDel="00000000" w:rsidR="00000000" w:rsidRPr="00000000">
        <w:rPr>
          <w:rtl w:val="0"/>
        </w:rPr>
        <w:br w:type="textWrapping"/>
        <w:t xml:space="preserve">• Father died of myocardial infarction at 70; mother had cholelithiasis.</w:t>
        <w:br w:type="textWrapping"/>
        <w:t xml:space="preserve">• Ex-smoker (quit 10 yrs ago), 20 pack-year total.</w:t>
        <w:br w:type="textWrapping"/>
        <w:t xml:space="preserve">• Drinks no alcohol.</w:t>
        <w:br w:type="textWrapping"/>
        <w:t xml:space="preserve">• Lives with wife; independent in ADLs prior to fall.</w:t>
        <w:br w:type="textWrapping"/>
        <w:t xml:space="preserve">• Retired accountant.</w:t>
        <w:br w:type="textWrapping"/>
        <w:br w:type="textWrapping"/>
        <w:br w:type="textWrapping"/>
      </w:r>
      <w:r w:rsidDel="00000000" w:rsidR="00000000" w:rsidRPr="00000000">
        <w:rPr>
          <w:b w:val="1"/>
          <w:bCs w:val="1"/>
          <w:color w:val="4f81bd"/>
          <w:rtl w:val="0"/>
        </w:rPr>
        <w:t xml:space="preserve">Medications</w:t>
      </w:r>
      <w:r w:rsidDel="00000000" w:rsidR="00000000" w:rsidRPr="00000000">
        <w:rPr>
          <w:rtl w:val="0"/>
        </w:rPr>
        <w:br w:type="textWrapping"/>
        <w:t xml:space="preserve">• Ramipril 5 mg OD</w:t>
        <w:br w:type="textWrapping"/>
        <w:t xml:space="preserve">• Metformin 500 mg BD</w:t>
        <w:br w:type="textWrapping"/>
        <w:t xml:space="preserve">• Atorvastatin 20 mg nocte</w:t>
        <w:br w:type="textWrapping"/>
        <w:t xml:space="preserve">• OTC multivitamin occasionally</w:t>
        <w:br w:type="textWrapping"/>
        <w:t xml:space="preserve">• Not on antiplatelet/anticoagulant prior to admission </w:t>
        <w:br w:type="textWrapping"/>
      </w:r>
    </w:p>
    <w:p w:rsidR="00000000" w:rsidDel="00000000" w:rsidP="00000000" w:rsidRDefault="00000000" w:rsidRPr="00000000" w14:paraId="00000003">
      <w:pPr>
        <w:rPr>
          <w:rFonts w:ascii="Arial" w:cs="Arial" w:eastAsia="Arial" w:hAnsi="Arial"/>
        </w:rPr>
      </w:pPr>
      <w:r w:rsidDel="00000000" w:rsidR="00000000" w:rsidRPr="00000000">
        <w:rPr>
          <w:rFonts w:ascii="Arial" w:cs="Arial" w:eastAsia="Arial" w:hAnsi="Arial"/>
          <w:rtl w:val="0"/>
        </w:rPr>
        <w:br w:type="textWrapping"/>
      </w:r>
      <w:r w:rsidDel="00000000" w:rsidR="00000000" w:rsidRPr="00000000">
        <w:rPr>
          <w:rFonts w:ascii="Arial" w:cs="Arial" w:eastAsia="Arial" w:hAnsi="Arial"/>
          <w:b w:val="1"/>
          <w:bCs w:val="1"/>
          <w:color w:val="4f81bd"/>
          <w:rtl w:val="0"/>
        </w:rPr>
        <w:t xml:space="preserve">Allergies</w:t>
      </w:r>
      <w:r w:rsidDel="00000000" w:rsidR="00000000" w:rsidRPr="00000000">
        <w:rPr>
          <w:rFonts w:ascii="Arial" w:cs="Arial" w:eastAsia="Arial" w:hAnsi="Arial"/>
          <w:rtl w:val="0"/>
        </w:rPr>
        <w:br w:type="textWrapping"/>
        <w:t xml:space="preserve">• none known.</w:t>
        <w:br w:type="textWrapping"/>
        <w:br w:type="textWrapping"/>
        <w:br w:type="textWrapping"/>
      </w:r>
      <w:r w:rsidDel="00000000" w:rsidR="00000000" w:rsidRPr="00000000">
        <w:rPr>
          <w:rFonts w:ascii="Arial" w:cs="Arial" w:eastAsia="Arial" w:hAnsi="Arial"/>
          <w:b w:val="1"/>
          <w:bCs w:val="1"/>
          <w:color w:val="4f81bd"/>
          <w:rtl w:val="0"/>
        </w:rPr>
        <w:t xml:space="preserve">Review of systems</w:t>
      </w:r>
      <w:r w:rsidDel="00000000" w:rsidR="00000000" w:rsidRPr="00000000">
        <w:rPr>
          <w:rFonts w:ascii="Arial" w:cs="Arial" w:eastAsia="Arial" w:hAnsi="Arial"/>
          <w:color w:val="4f81bd"/>
          <w:rtl w:val="0"/>
        </w:rPr>
        <w:t xml:space="preserve"> </w:t>
      </w:r>
      <w:r w:rsidDel="00000000" w:rsidR="00000000" w:rsidRPr="00000000">
        <w:rPr>
          <w:rFonts w:ascii="Arial" w:cs="Arial" w:eastAsia="Arial" w:hAnsi="Arial"/>
          <w:rtl w:val="0"/>
        </w:rPr>
        <w:br w:type="textWrapping"/>
        <w:t xml:space="preserve">• Cardio: exertional dyspnoea, no chest pain.</w:t>
        <w:br w:type="textWrapping"/>
        <w:t xml:space="preserve">• GI: denies abdominal pain, no hematemesis or visible PR bleeding, no change in stool color reported.</w:t>
        <w:br w:type="textWrapping"/>
        <w:t xml:space="preserve">• GU: no hematuria.</w:t>
        <w:br w:type="textWrapping"/>
        <w:t xml:space="preserve">• Neuro/MSK: fall but no focal deficit.</w:t>
        <w:br w:type="textWrapping"/>
        <w:br w:type="textWrapping"/>
        <w:br w:type="textWrapping"/>
      </w:r>
      <w:r w:rsidDel="00000000" w:rsidR="00000000" w:rsidRPr="00000000">
        <w:rPr>
          <w:rFonts w:ascii="Arial" w:cs="Arial" w:eastAsia="Arial" w:hAnsi="Arial"/>
          <w:b w:val="1"/>
          <w:bCs w:val="1"/>
          <w:color w:val="4f81bd"/>
          <w:rtl w:val="0"/>
        </w:rPr>
        <w:t xml:space="preserve">Examination (on admission)</w:t>
      </w:r>
      <w:r w:rsidDel="00000000" w:rsidR="00000000" w:rsidRPr="00000000">
        <w:rPr>
          <w:rFonts w:ascii="Arial" w:cs="Arial" w:eastAsia="Arial" w:hAnsi="Arial"/>
          <w:rtl w:val="0"/>
        </w:rPr>
        <w:br w:type="textWrapping"/>
        <w:t xml:space="preserve">• General: Pale, comfortable at rest. No jaundice.</w:t>
        <w:br w:type="textWrapping"/>
        <w:t xml:space="preserve">• Vitals: Temp 36.8°C; HR 88 bpm; BP 130/78 mmHg; RR 16/min; SpO</w:t>
      </w:r>
      <w:r w:rsidDel="00000000" w:rsidR="00000000" w:rsidRPr="00000000">
        <w:rPr>
          <w:rFonts w:ascii="Cambria Math" w:cs="Cambria Math" w:eastAsia="Cambria Math" w:hAnsi="Cambria Math"/>
          <w:rtl w:val="0"/>
        </w:rPr>
        <w:t xml:space="preserve">₂</w:t>
      </w:r>
      <w:r w:rsidDel="00000000" w:rsidR="00000000" w:rsidRPr="00000000">
        <w:rPr>
          <w:rFonts w:ascii="Arial" w:cs="Arial" w:eastAsia="Arial" w:hAnsi="Arial"/>
          <w:rtl w:val="0"/>
        </w:rPr>
        <w:t xml:space="preserve"> 97% RA.</w:t>
        <w:br w:type="textWrapping"/>
        <w:t xml:space="preserve">• HEENT: conjunctival pallor; ENT exam normal (no nasal blood).</w:t>
        <w:br w:type="textWrapping"/>
        <w:t xml:space="preserve">• Cardiac: ejection systolic murmur grade 3/6, loudest at R 2nd intercostal space, radiating to carotids; no peripheral oedema.</w:t>
        <w:br w:type="textWrapping"/>
        <w:t xml:space="preserve">• Respiratory: clear.</w:t>
        <w:br w:type="textWrapping"/>
        <w:t xml:space="preserve">• Abdomen: soft, non-tender, no organomegaly.</w:t>
        <w:br w:type="textWrapping"/>
        <w:t xml:space="preserve">• Peripheral: no petechiae, no ecchymoses.</w:t>
        <w:br w:type="textWrapping"/>
        <w:t xml:space="preserve">• Neurology / Gait: steady, no focal deficits.</w:t>
        <w:br w:type="textWrapping"/>
        <w:br w:type="textWrapping"/>
      </w:r>
    </w:p>
    <w:p w:rsidR="00000000" w:rsidDel="00000000" w:rsidP="00000000" w:rsidRDefault="00000000" w:rsidRPr="00000000" w14:paraId="00000004">
      <w:pPr>
        <w:rPr>
          <w:rFonts w:ascii="Arial" w:cs="Arial" w:eastAsia="Arial" w:hAnsi="Arial"/>
        </w:rPr>
      </w:pPr>
      <w:bookmarkStart w:colFirst="0" w:colLast="0" w:name="_1qregocxfyll" w:id="0"/>
      <w:bookmarkEnd w:id="0"/>
      <w:r w:rsidDel="00000000" w:rsidR="00000000" w:rsidRPr="00000000">
        <w:rPr>
          <w:rFonts w:ascii="Arial" w:cs="Arial" w:eastAsia="Arial" w:hAnsi="Arial"/>
          <w:rtl w:val="0"/>
        </w:rPr>
        <w:br w:type="textWrapping"/>
      </w:r>
      <w:r w:rsidDel="00000000" w:rsidR="00000000" w:rsidRPr="00000000">
        <w:rPr>
          <w:rFonts w:ascii="Arial" w:cs="Arial" w:eastAsia="Arial" w:hAnsi="Arial"/>
          <w:b w:val="1"/>
          <w:bCs w:val="1"/>
          <w:color w:val="4f81bd"/>
          <w:rtl w:val="0"/>
        </w:rPr>
        <w:t xml:space="preserve">Initial investigations</w:t>
      </w:r>
      <w:r w:rsidDel="00000000" w:rsidR="00000000" w:rsidRPr="00000000">
        <w:rPr>
          <w:rFonts w:ascii="Arial" w:cs="Arial" w:eastAsia="Arial" w:hAnsi="Arial"/>
          <w:color w:val="4f81bd"/>
          <w:rtl w:val="0"/>
        </w:rPr>
        <w:t xml:space="preserve"> </w:t>
      </w:r>
      <w:r w:rsidDel="00000000" w:rsidR="00000000" w:rsidRPr="00000000">
        <w:rPr>
          <w:rFonts w:ascii="Arial" w:cs="Arial" w:eastAsia="Arial" w:hAnsi="Arial"/>
          <w:rtl w:val="0"/>
        </w:rPr>
        <w:br w:type="textWrapping"/>
        <w:br w:type="textWrapping"/>
        <w:t xml:space="preserve">Full blood count and iron studies</w:t>
        <w:br w:type="textWrapping"/>
        <w:t xml:space="preserve">• Hb: 102 g/L (135–180)</w:t>
        <w:br w:type="textWrapping"/>
        <w:t xml:space="preserve">• MCV: 70 fL (80–100) </w:t>
        <w:br w:type="textWrapping"/>
        <w:t xml:space="preserve">• Platelets: 328 ×10⁹/L (150–400)</w:t>
        <w:br w:type="textWrapping"/>
        <w:t xml:space="preserve">• WBC: 10.5 ×10⁹/L (4.0–11.0)</w:t>
        <w:br w:type="textWrapping"/>
        <w:t xml:space="preserve">• Ferritin: 12 ng/mL (20–230) </w:t>
        <w:br w:type="textWrapping"/>
        <w:t xml:space="preserve">• Serum iron ↓, TIBC ↑ (if measured)</w:t>
        <w:br w:type="textWrapping"/>
        <w:br w:type="textWrapping"/>
      </w:r>
      <w:r w:rsidDel="00000000" w:rsidR="00000000" w:rsidRPr="00000000">
        <w:rPr>
          <w:rFonts w:ascii="Arial" w:cs="Arial" w:eastAsia="Arial" w:hAnsi="Arial"/>
          <w:b w:val="1"/>
          <w:bCs w:val="1"/>
          <w:color w:val="4f81bd"/>
          <w:rtl w:val="0"/>
        </w:rPr>
        <w:t xml:space="preserve">Renal &amp; electrolytes</w:t>
      </w:r>
      <w:r w:rsidDel="00000000" w:rsidR="00000000" w:rsidRPr="00000000">
        <w:rPr>
          <w:rFonts w:ascii="Arial" w:cs="Arial" w:eastAsia="Arial" w:hAnsi="Arial"/>
          <w:rtl w:val="0"/>
        </w:rPr>
        <w:br w:type="textWrapping"/>
        <w:t xml:space="preserve">• Creatinine: 1.2 mg/dL (baseline 1.1) — CKD stage 3a stable</w:t>
        <w:br w:type="textWrapping"/>
        <w:t xml:space="preserve">• Na/K normal</w:t>
        <w:br w:type="textWrapping"/>
        <w:br w:type="textWrapping"/>
      </w:r>
      <w:r w:rsidDel="00000000" w:rsidR="00000000" w:rsidRPr="00000000">
        <w:rPr>
          <w:rFonts w:ascii="Arial" w:cs="Arial" w:eastAsia="Arial" w:hAnsi="Arial"/>
          <w:b w:val="1"/>
          <w:bCs w:val="1"/>
          <w:color w:val="4f81bd"/>
          <w:rtl w:val="0"/>
        </w:rPr>
        <w:t xml:space="preserve">Liver function tests</w:t>
      </w:r>
      <w:r w:rsidDel="00000000" w:rsidR="00000000" w:rsidRPr="00000000">
        <w:rPr>
          <w:rFonts w:ascii="Arial" w:cs="Arial" w:eastAsia="Arial" w:hAnsi="Arial"/>
          <w:rtl w:val="0"/>
        </w:rPr>
        <w:br w:type="textWrapping"/>
        <w:t xml:space="preserve">• Bilirubin, ALT, AST normal; ALP mildly normal/slightly high </w:t>
        <w:br w:type="textWrapping"/>
        <w:br w:type="textWrapping"/>
      </w:r>
      <w:r w:rsidDel="00000000" w:rsidR="00000000" w:rsidRPr="00000000">
        <w:rPr>
          <w:rFonts w:ascii="Arial" w:cs="Arial" w:eastAsia="Arial" w:hAnsi="Arial"/>
          <w:b w:val="1"/>
          <w:bCs w:val="1"/>
          <w:color w:val="4f81bd"/>
          <w:rtl w:val="0"/>
        </w:rPr>
        <w:t xml:space="preserve">Coagulation</w:t>
      </w:r>
      <w:r w:rsidDel="00000000" w:rsidR="00000000" w:rsidRPr="00000000">
        <w:rPr>
          <w:rFonts w:ascii="Arial" w:cs="Arial" w:eastAsia="Arial" w:hAnsi="Arial"/>
          <w:rtl w:val="0"/>
        </w:rPr>
        <w:br w:type="textWrapping"/>
        <w:t xml:space="preserve">• PT/INR and aPTT normal.</w:t>
        <w:br w:type="textWrapping"/>
        <w:br w:type="textWrapping"/>
      </w:r>
      <w:r w:rsidDel="00000000" w:rsidR="00000000" w:rsidRPr="00000000">
        <w:rPr>
          <w:rFonts w:ascii="Arial" w:cs="Arial" w:eastAsia="Arial" w:hAnsi="Arial"/>
          <w:b w:val="1"/>
          <w:bCs w:val="1"/>
          <w:color w:val="4f81bd"/>
          <w:rtl w:val="0"/>
        </w:rPr>
        <w:t xml:space="preserve">Stool</w:t>
      </w:r>
      <w:r w:rsidDel="00000000" w:rsidR="00000000" w:rsidRPr="00000000">
        <w:rPr>
          <w:rFonts w:ascii="Arial" w:cs="Arial" w:eastAsia="Arial" w:hAnsi="Arial"/>
          <w:rtl w:val="0"/>
        </w:rPr>
        <w:br w:type="textWrapping"/>
        <w:t xml:space="preserve">• FOBT (fecal occult blood) positive on repeat samples.</w:t>
        <w:br w:type="textWrapping"/>
        <w:br w:type="textWrapping"/>
      </w:r>
      <w:r w:rsidDel="00000000" w:rsidR="00000000" w:rsidRPr="00000000">
        <w:rPr>
          <w:rFonts w:ascii="Arial" w:cs="Arial" w:eastAsia="Arial" w:hAnsi="Arial"/>
          <w:b w:val="1"/>
          <w:bCs w:val="1"/>
          <w:color w:val="4f81bd"/>
          <w:rtl w:val="0"/>
        </w:rPr>
        <w:t xml:space="preserve">Others</w:t>
      </w:r>
      <w:r w:rsidDel="00000000" w:rsidR="00000000" w:rsidRPr="00000000">
        <w:rPr>
          <w:rFonts w:ascii="Arial" w:cs="Arial" w:eastAsia="Arial" w:hAnsi="Arial"/>
          <w:rtl w:val="0"/>
        </w:rPr>
        <w:br w:type="textWrapping"/>
        <w:t xml:space="preserve">• ECG: normal sinus rhythm, no acute ischemia.</w:t>
        <w:br w:type="textWrapping"/>
        <w:t xml:space="preserve">• CXR: clear.</w:t>
        <w:br w:type="textWrapping"/>
        <w:br w:type="textWrapping"/>
        <w:br w:type="textWrapping"/>
      </w:r>
      <w:r w:rsidDel="00000000" w:rsidR="00000000" w:rsidRPr="00000000">
        <w:rPr>
          <w:rFonts w:ascii="Arial" w:cs="Arial" w:eastAsia="Arial" w:hAnsi="Arial"/>
          <w:b w:val="1"/>
          <w:bCs w:val="1"/>
          <w:color w:val="4f81bd"/>
          <w:rtl w:val="0"/>
        </w:rPr>
        <w:t xml:space="preserve">Focused investigations for source of occult GI blood loss</w:t>
      </w:r>
      <w:r w:rsidDel="00000000" w:rsidR="00000000" w:rsidRPr="00000000">
        <w:rPr>
          <w:rFonts w:ascii="Arial" w:cs="Arial" w:eastAsia="Arial" w:hAnsi="Arial"/>
          <w:rtl w:val="0"/>
        </w:rPr>
        <w:br w:type="textWrapping"/>
      </w:r>
    </w:p>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color w:val="4f81bd"/>
          <w:rtl w:val="0"/>
        </w:rPr>
        <w:t xml:space="preserve">1. Upper GI endoscopy (OGD)</w:t>
      </w:r>
      <w:r w:rsidDel="00000000" w:rsidR="00000000" w:rsidRPr="00000000">
        <w:rPr>
          <w:rFonts w:ascii="Arial" w:cs="Arial" w:eastAsia="Arial" w:hAnsi="Arial"/>
          <w:rtl w:val="0"/>
        </w:rPr>
        <w:br w:type="textWrapping"/>
        <w:t xml:space="preserve">• Performed early: No active bleeding, no peptic ulcer disease, normal mucosa or minor gastritis.</w:t>
        <w:br w:type="textWrapping"/>
        <w:br w:type="textWrapping"/>
      </w:r>
      <w:r w:rsidDel="00000000" w:rsidR="00000000" w:rsidRPr="00000000">
        <w:rPr>
          <w:rFonts w:ascii="Arial" w:cs="Arial" w:eastAsia="Arial" w:hAnsi="Arial"/>
          <w:color w:val="4f81bd"/>
          <w:rtl w:val="0"/>
        </w:rPr>
        <w:t xml:space="preserve">2. Colonoscopy</w:t>
      </w:r>
      <w:r w:rsidDel="00000000" w:rsidR="00000000" w:rsidRPr="00000000">
        <w:rPr>
          <w:rFonts w:ascii="Arial" w:cs="Arial" w:eastAsia="Arial" w:hAnsi="Arial"/>
          <w:rtl w:val="0"/>
        </w:rPr>
        <w:br w:type="textWrapping"/>
        <w:t xml:space="preserve">• Performed after bowel prep: No tumours, no diverticular bleeding, no inflammatory bowel disease.</w:t>
        <w:br w:type="textWrapping"/>
        <w:t xml:space="preserve">• Multiple small, flat red lesions seen in the caecum/ascending colon consistent with possible angiodysplastic lesions (dilated, tortuous vessels) — no active spurting at time of exam.</w:t>
      </w:r>
    </w:p>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br w:type="textWrapping"/>
        <w:br w:type="textWrapping"/>
      </w:r>
      <w:r w:rsidDel="00000000" w:rsidR="00000000" w:rsidRPr="00000000">
        <w:rPr>
          <w:rFonts w:ascii="Arial" w:cs="Arial" w:eastAsia="Arial" w:hAnsi="Arial"/>
          <w:color w:val="4f81bd"/>
          <w:rtl w:val="0"/>
        </w:rPr>
        <w:t xml:space="preserve">3. Capsule endoscopy / small bowel enteroscopy </w:t>
      </w:r>
      <w:r w:rsidDel="00000000" w:rsidR="00000000" w:rsidRPr="00000000">
        <w:rPr>
          <w:rtl w:val="0"/>
        </w:rPr>
      </w:r>
    </w:p>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rtl w:val="0"/>
        </w:rPr>
        <w:t xml:space="preserve">• Considered and performed subsequently: Multiple small mucosal erythematous vascular lesions in proximal ileum consistent with angiodysplasia.</w:t>
        <w:br w:type="textWrapping"/>
        <w:br w:type="textWrapping"/>
      </w:r>
    </w:p>
    <w:p w:rsidR="00000000" w:rsidDel="00000000" w:rsidP="00000000" w:rsidRDefault="00000000" w:rsidRPr="00000000" w14:paraId="00000008">
      <w:pPr>
        <w:rPr>
          <w:rFonts w:ascii="Arial" w:cs="Arial" w:eastAsia="Arial" w:hAnsi="Arial"/>
        </w:rPr>
      </w:pPr>
      <w:r w:rsidDel="00000000" w:rsidR="00000000" w:rsidRPr="00000000">
        <w:rPr>
          <w:rtl w:val="0"/>
        </w:rPr>
      </w:r>
    </w:p>
    <w:p w:rsidR="00000000" w:rsidDel="00000000" w:rsidP="00000000" w:rsidRDefault="00000000" w:rsidRPr="00000000" w14:paraId="00000009">
      <w:pPr>
        <w:jc w:val="center"/>
        <w:rPr>
          <w:rFonts w:ascii="Arial" w:cs="Arial" w:eastAsia="Arial" w:hAnsi="Arial"/>
        </w:rPr>
      </w:pPr>
      <w:r w:rsidDel="00000000" w:rsidR="00000000" w:rsidRPr="00000000">
        <w:rPr>
          <w:rFonts w:ascii="Arial" w:cs="Arial" w:eastAsia="Arial" w:hAnsi="Arial"/>
          <w:rtl w:val="0"/>
        </w:rPr>
        <w:br w:type="textWrapping"/>
      </w:r>
      <w:r w:rsidDel="00000000" w:rsidR="00000000" w:rsidRPr="00000000">
        <w:rPr>
          <w:rFonts w:ascii="Arial" w:cs="Arial" w:eastAsia="Arial" w:hAnsi="Arial"/>
          <w:b w:val="1"/>
          <w:bCs w:val="1"/>
          <w:color w:val="4f81bd"/>
          <w:rtl w:val="0"/>
        </w:rPr>
        <w:t xml:space="preserve">Diagnosis</w:t>
      </w:r>
      <w:r w:rsidDel="00000000" w:rsidR="00000000" w:rsidRPr="00000000">
        <w:rPr>
          <w:rFonts w:ascii="Arial" w:cs="Arial" w:eastAsia="Arial" w:hAnsi="Arial"/>
          <w:rtl w:val="0"/>
        </w:rPr>
        <w:br w:type="textWrapping"/>
        <w:br w:type="textWrapping"/>
        <w:t xml:space="preserve">chronic occult gastrointestinal bleeding due to </w:t>
      </w:r>
      <w:r w:rsidDel="00000000" w:rsidR="00000000" w:rsidRPr="00000000">
        <w:rPr>
          <w:rFonts w:ascii="Arial" w:cs="Arial" w:eastAsia="Arial" w:hAnsi="Arial"/>
          <w:b w:val="1"/>
          <w:bCs w:val="1"/>
          <w:color w:val="ff0000"/>
          <w:rtl w:val="0"/>
        </w:rPr>
        <w:t xml:space="preserve">angiodysplasia</w:t>
      </w:r>
      <w:r w:rsidDel="00000000" w:rsidR="00000000" w:rsidRPr="00000000">
        <w:rPr>
          <w:rFonts w:ascii="Arial" w:cs="Arial" w:eastAsia="Arial" w:hAnsi="Arial"/>
          <w:color w:val="ff0000"/>
          <w:rtl w:val="0"/>
        </w:rPr>
        <w:t xml:space="preserve"> </w:t>
      </w:r>
      <w:r w:rsidDel="00000000" w:rsidR="00000000" w:rsidRPr="00000000">
        <w:rPr>
          <w:rFonts w:ascii="Arial" w:cs="Arial" w:eastAsia="Arial" w:hAnsi="Arial"/>
          <w:rtl w:val="0"/>
        </w:rPr>
        <w:t xml:space="preserve">of the colon/small bowel, associated with aortic stenosis (Heyde’s syndrome) </w:t>
        <w:br w:type="textWrapping"/>
      </w:r>
    </w:p>
    <w:p w:rsidR="00000000" w:rsidDel="00000000" w:rsidP="00000000" w:rsidRDefault="00000000" w:rsidRPr="00000000" w14:paraId="0000000A">
      <w:pPr>
        <w:rPr>
          <w:rFonts w:ascii="Arial" w:cs="Arial" w:eastAsia="Arial" w:hAnsi="Arial"/>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Cambria Mat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