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D028" w14:textId="77777777" w:rsidR="00ED3D7A" w:rsidRDefault="00ED3D7A" w:rsidP="00ED3D7A">
      <w:pPr>
        <w:spacing w:before="1440" w:after="120"/>
        <w:jc w:val="center"/>
      </w:pPr>
      <w:r>
        <w:rPr>
          <w:b/>
          <w:bCs/>
          <w:color w:val="1F4E79"/>
          <w:sz w:val="52"/>
          <w:szCs w:val="52"/>
        </w:rPr>
        <w:t>DISCRIMINATION STRATEGY STUDIO</w:t>
      </w:r>
    </w:p>
    <w:p w14:paraId="28FF8EE5" w14:textId="31B6D660" w:rsidR="00760A17" w:rsidRDefault="00ED3D7A" w:rsidP="00ED3D7A">
      <w:pPr>
        <w:rPr>
          <w:i/>
          <w:iCs/>
          <w:color w:val="555555"/>
          <w:sz w:val="30"/>
          <w:szCs w:val="30"/>
        </w:rPr>
      </w:pPr>
      <w:r>
        <w:rPr>
          <w:i/>
          <w:iCs/>
          <w:color w:val="555555"/>
          <w:sz w:val="30"/>
          <w:szCs w:val="30"/>
        </w:rPr>
        <w:t xml:space="preserve">                     User Guide &amp; Technical Documentation</w:t>
      </w:r>
    </w:p>
    <w:p w14:paraId="2C4D7DFE" w14:textId="77777777" w:rsidR="00ED3D7A" w:rsidRDefault="00ED3D7A" w:rsidP="00ED3D7A">
      <w:pPr>
        <w:rPr>
          <w:i/>
          <w:iCs/>
          <w:color w:val="555555"/>
          <w:sz w:val="30"/>
          <w:szCs w:val="30"/>
        </w:rPr>
      </w:pPr>
    </w:p>
    <w:p w14:paraId="4972937A" w14:textId="77777777" w:rsidR="00ED3D7A" w:rsidRDefault="00ED3D7A" w:rsidP="00ED3D7A">
      <w:pPr>
        <w:rPr>
          <w:i/>
          <w:iCs/>
          <w:color w:val="555555"/>
          <w:sz w:val="30"/>
          <w:szCs w:val="30"/>
        </w:rPr>
      </w:pPr>
    </w:p>
    <w:p w14:paraId="05887D70" w14:textId="77777777" w:rsidR="00ED3D7A" w:rsidRDefault="00ED3D7A" w:rsidP="00ED3D7A">
      <w:pPr>
        <w:rPr>
          <w:i/>
          <w:iCs/>
          <w:color w:val="555555"/>
          <w:sz w:val="30"/>
          <w:szCs w:val="30"/>
        </w:rPr>
      </w:pPr>
    </w:p>
    <w:p w14:paraId="7091A13C" w14:textId="77777777" w:rsidR="00ED3D7A" w:rsidRDefault="00ED3D7A" w:rsidP="00ED3D7A">
      <w:pPr>
        <w:spacing w:before="200" w:after="200"/>
        <w:jc w:val="center"/>
        <w:rPr>
          <w:i/>
          <w:iCs/>
          <w:color w:val="444444"/>
          <w:sz w:val="26"/>
          <w:szCs w:val="26"/>
        </w:rPr>
      </w:pPr>
      <w:r>
        <w:rPr>
          <w:i/>
          <w:iCs/>
          <w:color w:val="444444"/>
          <w:sz w:val="26"/>
          <w:szCs w:val="26"/>
        </w:rPr>
        <w:t>How to turn sensory difference tests into clear, risk-aware business decisions</w:t>
      </w:r>
    </w:p>
    <w:p w14:paraId="4B85CA92" w14:textId="77777777" w:rsidR="00ED3D7A" w:rsidRPr="00ED3D7A" w:rsidRDefault="00ED3D7A" w:rsidP="00ED3D7A">
      <w:pPr>
        <w:pStyle w:val="Heading2"/>
        <w:rPr>
          <w:b/>
          <w:bCs/>
        </w:rPr>
      </w:pPr>
      <w:r w:rsidRPr="00ED3D7A">
        <w:rPr>
          <w:b/>
          <w:bCs/>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3D7A" w14:paraId="60AE1E9B"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B932C1" w14:textId="77777777" w:rsidR="00ED3D7A" w:rsidRDefault="00ED3D7A" w:rsidP="006A6515">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DD0FA5" w14:textId="77777777" w:rsidR="00ED3D7A" w:rsidRDefault="00ED3D7A" w:rsidP="006A6515">
            <w:r>
              <w:rPr>
                <w:b/>
                <w:bCs/>
                <w:color w:val="FFFFFF"/>
                <w:sz w:val="20"/>
                <w:szCs w:val="20"/>
              </w:rPr>
              <w:t>Definition</w:t>
            </w:r>
          </w:p>
        </w:tc>
      </w:tr>
      <w:tr w:rsidR="00ED3D7A" w14:paraId="3E833DFD"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90F35" w14:textId="77777777" w:rsidR="00ED3D7A" w:rsidRDefault="00ED3D7A" w:rsidP="006A6515">
            <w:r>
              <w:rPr>
                <w:color w:val="000000"/>
                <w:sz w:val="20"/>
                <w:szCs w:val="20"/>
              </w:rPr>
              <w:t>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91123" w14:textId="77777777" w:rsidR="00ED3D7A" w:rsidRDefault="00ED3D7A" w:rsidP="006A6515">
            <w:r>
              <w:rPr>
                <w:color w:val="000000"/>
                <w:sz w:val="20"/>
                <w:szCs w:val="20"/>
              </w:rPr>
              <w:t>Sensitivity index (d-prime). Standardised distance between signal and noise distributions on the latent sensory dimension.</w:t>
            </w:r>
          </w:p>
        </w:tc>
      </w:tr>
      <w:tr w:rsidR="00ED3D7A" w14:paraId="4C02E2E5"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D752" w14:textId="77777777" w:rsidR="00ED3D7A" w:rsidRDefault="00ED3D7A" w:rsidP="006A6515">
            <w:proofErr w:type="spellStart"/>
            <w:r>
              <w:rPr>
                <w:color w:val="000000"/>
                <w:sz w:val="20"/>
                <w:szCs w:val="20"/>
              </w:rPr>
              <w:t>d_R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3868" w14:textId="77777777" w:rsidR="00ED3D7A" w:rsidRDefault="00ED3D7A" w:rsidP="006A6515">
            <w:r>
              <w:rPr>
                <w:color w:val="000000"/>
                <w:sz w:val="20"/>
                <w:szCs w:val="20"/>
              </w:rPr>
              <w:t>Consumer-relevant difference. The smallest d' that would be noticeable or meaningful to consumers in the given business context.</w:t>
            </w:r>
          </w:p>
        </w:tc>
      </w:tr>
      <w:tr w:rsidR="00ED3D7A" w14:paraId="1904CD6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74170" w14:textId="77777777" w:rsidR="00ED3D7A" w:rsidRDefault="00ED3D7A" w:rsidP="006A6515">
            <w:r>
              <w:rPr>
                <w:color w:val="000000"/>
                <w:sz w:val="20"/>
                <w:szCs w:val="20"/>
              </w:rPr>
              <w:t>pa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61BC9" w14:textId="77777777" w:rsidR="00ED3D7A" w:rsidRDefault="00ED3D7A" w:rsidP="006A6515">
            <w:r>
              <w:rPr>
                <w:color w:val="000000"/>
                <w:sz w:val="20"/>
                <w:szCs w:val="20"/>
              </w:rPr>
              <w:t xml:space="preserve">Proportion </w:t>
            </w:r>
            <w:proofErr w:type="gramStart"/>
            <w:r>
              <w:rPr>
                <w:color w:val="000000"/>
                <w:sz w:val="20"/>
                <w:szCs w:val="20"/>
              </w:rPr>
              <w:t>correct</w:t>
            </w:r>
            <w:proofErr w:type="gramEnd"/>
            <w:r>
              <w:rPr>
                <w:color w:val="000000"/>
                <w:sz w:val="20"/>
                <w:szCs w:val="20"/>
              </w:rPr>
              <w:t xml:space="preserve"> (observed). pa = X / N.</w:t>
            </w:r>
          </w:p>
        </w:tc>
      </w:tr>
      <w:tr w:rsidR="00ED3D7A" w14:paraId="0DCC31E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CB05" w14:textId="77777777" w:rsidR="00ED3D7A" w:rsidRDefault="00ED3D7A" w:rsidP="006A6515">
            <w:r>
              <w:rPr>
                <w:color w:val="000000"/>
                <w:sz w:val="20"/>
                <w:szCs w:val="20"/>
              </w:rPr>
              <w:t>pc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8084" w14:textId="77777777" w:rsidR="00ED3D7A" w:rsidRDefault="00ED3D7A" w:rsidP="006A6515">
            <w:r>
              <w:rPr>
                <w:color w:val="000000"/>
                <w:sz w:val="20"/>
                <w:szCs w:val="20"/>
              </w:rPr>
              <w:t>Chance level. The probability of a correct response by random guessing for a given method.</w:t>
            </w:r>
          </w:p>
        </w:tc>
      </w:tr>
      <w:tr w:rsidR="00ED3D7A" w14:paraId="38F8D829"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33E9C" w14:textId="77777777" w:rsidR="00ED3D7A" w:rsidRDefault="00ED3D7A" w:rsidP="006A6515">
            <w:r>
              <w:rPr>
                <w:color w:val="000000"/>
                <w:sz w:val="20"/>
                <w:szCs w:val="20"/>
              </w:rPr>
              <w:t>Pd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5E2C1" w14:textId="77777777" w:rsidR="00ED3D7A" w:rsidRDefault="00ED3D7A" w:rsidP="006A6515">
            <w:r>
              <w:rPr>
                <w:color w:val="000000"/>
                <w:sz w:val="20"/>
                <w:szCs w:val="20"/>
              </w:rPr>
              <w:t>Probability of discrimination. Pd = pa - pc. The proportion of the panel population that is genuinely discriminating.</w:t>
            </w:r>
          </w:p>
        </w:tc>
      </w:tr>
      <w:tr w:rsidR="00ED3D7A" w14:paraId="111BA64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972C3" w14:textId="77777777" w:rsidR="00ED3D7A" w:rsidRDefault="00ED3D7A" w:rsidP="006A6515">
            <w:r>
              <w:rPr>
                <w:color w:val="000000"/>
                <w:sz w:val="20"/>
                <w:szCs w:val="20"/>
              </w:rPr>
              <w:t>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82D2" w14:textId="77777777" w:rsidR="00ED3D7A" w:rsidRDefault="00ED3D7A" w:rsidP="006A6515">
            <w:r>
              <w:rPr>
                <w:color w:val="000000"/>
                <w:sz w:val="20"/>
                <w:szCs w:val="20"/>
              </w:rPr>
              <w:t>Standard error of d'. Derived via the delta method from the binomial variance of pa.</w:t>
            </w:r>
          </w:p>
        </w:tc>
      </w:tr>
      <w:tr w:rsidR="00ED3D7A" w14:paraId="3B6D1729"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6D286" w14:textId="77777777" w:rsidR="00ED3D7A" w:rsidRDefault="00ED3D7A" w:rsidP="006A6515">
            <w:proofErr w:type="gramStart"/>
            <w:r>
              <w:rPr>
                <w:color w:val="000000"/>
                <w:sz w:val="20"/>
                <w:szCs w:val="20"/>
              </w:rPr>
              <w:t>P(</w:t>
            </w:r>
            <w:proofErr w:type="gramEnd"/>
            <w:r>
              <w:rPr>
                <w:color w:val="000000"/>
                <w:sz w:val="20"/>
                <w:szCs w:val="20"/>
              </w:rPr>
              <w:t xml:space="preserve">d' &lt; </w:t>
            </w:r>
            <w:proofErr w:type="spellStart"/>
            <w:r>
              <w:rPr>
                <w:color w:val="000000"/>
                <w:sz w:val="20"/>
                <w:szCs w:val="20"/>
              </w:rPr>
              <w:t>d_R</w:t>
            </w:r>
            <w:proofErr w:type="spellEnd"/>
            <w:r>
              <w:rPr>
                <w:color w:val="000000"/>
                <w:sz w:val="20"/>
                <w:szCs w:val="20"/>
              </w:rPr>
              <w:t xml:space="preserve"> | data)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74BA1" w14:textId="77777777" w:rsidR="00ED3D7A" w:rsidRDefault="00ED3D7A" w:rsidP="006A6515">
            <w:r>
              <w:rPr>
                <w:color w:val="000000"/>
                <w:sz w:val="20"/>
                <w:szCs w:val="20"/>
              </w:rPr>
              <w:t xml:space="preserve">Consumer-relevant confidence. Probability the true d' is smaller than </w:t>
            </w:r>
            <w:proofErr w:type="spellStart"/>
            <w:r>
              <w:rPr>
                <w:color w:val="000000"/>
                <w:sz w:val="20"/>
                <w:szCs w:val="20"/>
              </w:rPr>
              <w:t>d_R</w:t>
            </w:r>
            <w:proofErr w:type="spellEnd"/>
            <w:r>
              <w:rPr>
                <w:color w:val="000000"/>
                <w:sz w:val="20"/>
                <w:szCs w:val="20"/>
              </w:rPr>
              <w:t>, under a flat prior on d'.</w:t>
            </w:r>
          </w:p>
        </w:tc>
      </w:tr>
      <w:tr w:rsidR="00ED3D7A" w14:paraId="24661DC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5829" w14:textId="77777777" w:rsidR="00ED3D7A" w:rsidRDefault="00ED3D7A" w:rsidP="006A6515">
            <w:r>
              <w:rPr>
                <w:color w:val="000000"/>
                <w:sz w:val="20"/>
                <w:szCs w:val="20"/>
              </w:rPr>
              <w:t>NHST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F5B0" w14:textId="77777777" w:rsidR="00ED3D7A" w:rsidRDefault="00ED3D7A" w:rsidP="006A6515">
            <w:r>
              <w:rPr>
                <w:color w:val="000000"/>
                <w:sz w:val="20"/>
                <w:szCs w:val="20"/>
              </w:rPr>
              <w:t xml:space="preserve">Null hypothesis significance testing. Tests whether d' significantly differs from zero. Does not use </w:t>
            </w:r>
            <w:proofErr w:type="spellStart"/>
            <w:r>
              <w:rPr>
                <w:color w:val="000000"/>
                <w:sz w:val="20"/>
                <w:szCs w:val="20"/>
              </w:rPr>
              <w:t>d_R</w:t>
            </w:r>
            <w:proofErr w:type="spellEnd"/>
            <w:r>
              <w:rPr>
                <w:color w:val="000000"/>
                <w:sz w:val="20"/>
                <w:szCs w:val="20"/>
              </w:rPr>
              <w:t>.</w:t>
            </w:r>
          </w:p>
        </w:tc>
      </w:tr>
      <w:tr w:rsidR="00ED3D7A" w14:paraId="33BF9B2B"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14803" w14:textId="77777777" w:rsidR="00ED3D7A" w:rsidRDefault="00ED3D7A" w:rsidP="006A6515">
            <w:r>
              <w:rPr>
                <w:color w:val="000000"/>
                <w:sz w:val="20"/>
                <w:szCs w:val="20"/>
              </w:rPr>
              <w:t>Equivalence (TOST)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48A6E" w14:textId="77777777" w:rsidR="00ED3D7A" w:rsidRDefault="00ED3D7A" w:rsidP="006A6515">
            <w:r>
              <w:rPr>
                <w:color w:val="000000"/>
                <w:sz w:val="20"/>
                <w:szCs w:val="20"/>
              </w:rPr>
              <w:t xml:space="preserve">Two one-sided tests framework. Approves only when the 95% CI for d' lies entirely below </w:t>
            </w:r>
            <w:proofErr w:type="spellStart"/>
            <w:r>
              <w:rPr>
                <w:color w:val="000000"/>
                <w:sz w:val="20"/>
                <w:szCs w:val="20"/>
              </w:rPr>
              <w:t>d_R</w:t>
            </w:r>
            <w:proofErr w:type="spellEnd"/>
            <w:r>
              <w:rPr>
                <w:color w:val="000000"/>
                <w:sz w:val="20"/>
                <w:szCs w:val="20"/>
              </w:rPr>
              <w:t>.</w:t>
            </w:r>
          </w:p>
        </w:tc>
      </w:tr>
      <w:tr w:rsidR="00ED3D7A" w14:paraId="4B740433"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0882D" w14:textId="77777777" w:rsidR="00ED3D7A" w:rsidRDefault="00ED3D7A" w:rsidP="006A6515">
            <w:r>
              <w:rPr>
                <w:color w:val="000000"/>
                <w:sz w:val="20"/>
                <w:szCs w:val="20"/>
              </w:rPr>
              <w:t>Expected Loss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1219" w14:textId="77777777" w:rsidR="00ED3D7A" w:rsidRDefault="00ED3D7A" w:rsidP="006A6515">
            <w:r>
              <w:rPr>
                <w:color w:val="000000"/>
                <w:sz w:val="20"/>
                <w:szCs w:val="20"/>
              </w:rPr>
              <w:t xml:space="preserve">Weighted combination of error costs: </w:t>
            </w:r>
            <w:proofErr w:type="spellStart"/>
            <w:r>
              <w:rPr>
                <w:color w:val="000000"/>
                <w:sz w:val="20"/>
                <w:szCs w:val="20"/>
              </w:rPr>
              <w:t>cost_miss</w:t>
            </w:r>
            <w:proofErr w:type="spellEnd"/>
            <w:r>
              <w:rPr>
                <w:color w:val="000000"/>
                <w:sz w:val="20"/>
                <w:szCs w:val="20"/>
              </w:rPr>
              <w:t xml:space="preserve"> x P(miss) + </w:t>
            </w:r>
            <w:proofErr w:type="spellStart"/>
            <w:r>
              <w:rPr>
                <w:color w:val="000000"/>
                <w:sz w:val="20"/>
                <w:szCs w:val="20"/>
              </w:rPr>
              <w:t>cost_alarm</w:t>
            </w:r>
            <w:proofErr w:type="spellEnd"/>
            <w:r>
              <w:rPr>
                <w:color w:val="000000"/>
                <w:sz w:val="20"/>
                <w:szCs w:val="20"/>
              </w:rPr>
              <w:t xml:space="preserve"> x </w:t>
            </w:r>
            <w:proofErr w:type="gramStart"/>
            <w:r>
              <w:rPr>
                <w:color w:val="000000"/>
                <w:sz w:val="20"/>
                <w:szCs w:val="20"/>
              </w:rPr>
              <w:t>P(</w:t>
            </w:r>
            <w:proofErr w:type="gramEnd"/>
            <w:r>
              <w:rPr>
                <w:color w:val="000000"/>
                <w:sz w:val="20"/>
                <w:szCs w:val="20"/>
              </w:rPr>
              <w:t>false alarm).</w:t>
            </w:r>
          </w:p>
        </w:tc>
      </w:tr>
      <w:tr w:rsidR="00ED3D7A" w14:paraId="1B05D714"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1FE6E" w14:textId="77777777" w:rsidR="00ED3D7A" w:rsidRDefault="00ED3D7A" w:rsidP="006A6515">
            <w:r>
              <w:rPr>
                <w:color w:val="000000"/>
                <w:sz w:val="20"/>
                <w:szCs w:val="20"/>
              </w:rPr>
              <w:t>Brand safety score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A9CFF" w14:textId="77777777" w:rsidR="00ED3D7A" w:rsidRDefault="00ED3D7A" w:rsidP="006A6515">
            <w:r>
              <w:rPr>
                <w:color w:val="000000"/>
                <w:sz w:val="20"/>
                <w:szCs w:val="20"/>
              </w:rPr>
              <w:t xml:space="preserve">Synonym for </w:t>
            </w:r>
            <w:proofErr w:type="gramStart"/>
            <w:r>
              <w:rPr>
                <w:color w:val="000000"/>
                <w:sz w:val="20"/>
                <w:szCs w:val="20"/>
              </w:rPr>
              <w:t>P(</w:t>
            </w:r>
            <w:proofErr w:type="gramEnd"/>
            <w:r>
              <w:rPr>
                <w:color w:val="000000"/>
                <w:sz w:val="20"/>
                <w:szCs w:val="20"/>
              </w:rPr>
              <w:t xml:space="preserve">d' &lt; </w:t>
            </w:r>
            <w:proofErr w:type="spellStart"/>
            <w:r>
              <w:rPr>
                <w:color w:val="000000"/>
                <w:sz w:val="20"/>
                <w:szCs w:val="20"/>
              </w:rPr>
              <w:t>d_R</w:t>
            </w:r>
            <w:proofErr w:type="spellEnd"/>
            <w:r>
              <w:rPr>
                <w:color w:val="000000"/>
                <w:sz w:val="20"/>
                <w:szCs w:val="20"/>
              </w:rPr>
              <w:t xml:space="preserve"> | data) used in the portfolio table. Higher is safer.</w:t>
            </w:r>
          </w:p>
        </w:tc>
      </w:tr>
      <w:tr w:rsidR="00ED3D7A" w14:paraId="7BEA71F6"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D815" w14:textId="77777777" w:rsidR="00ED3D7A" w:rsidRDefault="00ED3D7A" w:rsidP="006A6515">
            <w:r>
              <w:rPr>
                <w:color w:val="000000"/>
                <w:sz w:val="20"/>
                <w:szCs w:val="20"/>
              </w:rPr>
              <w:t>Portfolio brand risk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671D9" w14:textId="77777777" w:rsidR="00ED3D7A" w:rsidRDefault="00ED3D7A" w:rsidP="006A6515">
            <w:r>
              <w:rPr>
                <w:color w:val="000000"/>
                <w:sz w:val="20"/>
                <w:szCs w:val="20"/>
              </w:rPr>
              <w:t>Sum of expected loss across High-importance projects. The executive-level KPI.</w:t>
            </w:r>
          </w:p>
        </w:tc>
      </w:tr>
    </w:tbl>
    <w:p w14:paraId="04E29409" w14:textId="28D05A45" w:rsidR="00ED3D7A" w:rsidRPr="00ED3D7A" w:rsidRDefault="00ED3D7A" w:rsidP="00ED3D7A">
      <w:pPr>
        <w:pStyle w:val="Heading1"/>
        <w:rPr>
          <w:b/>
          <w:bCs/>
        </w:rPr>
      </w:pPr>
      <w:r w:rsidRPr="00ED3D7A">
        <w:rPr>
          <w:b/>
          <w:bCs/>
        </w:rPr>
        <w:lastRenderedPageBreak/>
        <w:t>Part 1 — Overview &amp; Quick Start</w:t>
      </w:r>
    </w:p>
    <w:p w14:paraId="08EBD522" w14:textId="77777777" w:rsidR="00ED3D7A" w:rsidRDefault="00ED3D7A" w:rsidP="00ED3D7A">
      <w:pPr>
        <w:spacing w:before="60" w:after="80"/>
        <w:jc w:val="both"/>
      </w:pPr>
      <w:r>
        <w:t>The Discrimination Strategy Studio is an R Shiny application that transforms raw sensory difference-test data into statistically grounded, business-relevant decisions. It addresses a persistent problem in applied sensory science: traditional null-hypothesis significance testing (NHST) tells you whether any difference exists, but not whether that difference is large enough to matter to consumers or your brand.</w:t>
      </w:r>
    </w:p>
    <w:p w14:paraId="5A5C24E2" w14:textId="77777777" w:rsidR="00ED3D7A" w:rsidRDefault="00ED3D7A" w:rsidP="00ED3D7A">
      <w:pPr>
        <w:spacing w:before="120"/>
      </w:pPr>
    </w:p>
    <w:p w14:paraId="1BFFE066" w14:textId="77777777" w:rsidR="00ED3D7A" w:rsidRDefault="00ED3D7A" w:rsidP="00ED3D7A">
      <w:pPr>
        <w:spacing w:before="60" w:after="80"/>
        <w:jc w:val="both"/>
      </w:pPr>
      <w:r>
        <w:t xml:space="preserve">The dashboard is built around one central concept — the consumer-relevant difference, denoted </w:t>
      </w:r>
      <w:proofErr w:type="spellStart"/>
      <w:r>
        <w:t>d_R</w:t>
      </w:r>
      <w:proofErr w:type="spellEnd"/>
      <w:r>
        <w:t>. Every calculation, every chart, and every recommendation is anchored to this question: is the observed sensory difference large enough to matter in this specific business context? [1, 5]</w:t>
      </w:r>
    </w:p>
    <w:p w14:paraId="6ED76DDF" w14:textId="77777777" w:rsidR="00ED3D7A" w:rsidRDefault="00ED3D7A" w:rsidP="00ED3D7A">
      <w:pPr>
        <w:spacing w:after="80"/>
      </w:pPr>
      <w:r>
        <w:rPr>
          <w:b/>
          <w:bCs/>
          <w:color w:val="1F4E79"/>
        </w:rPr>
        <w:t>The four-tab story arc</w:t>
      </w:r>
    </w:p>
    <w:p w14:paraId="599EEF02" w14:textId="77777777" w:rsidR="00ED3D7A" w:rsidRDefault="00ED3D7A" w:rsidP="00ED3D7A">
      <w:pPr>
        <w:pStyle w:val="ListParagraph"/>
        <w:numPr>
          <w:ilvl w:val="0"/>
          <w:numId w:val="1"/>
        </w:numPr>
        <w:spacing w:before="40" w:after="40"/>
        <w:contextualSpacing w:val="0"/>
      </w:pPr>
      <w:r>
        <w:t>Tab 1 — Method &amp; Assumptions: Are we asking the right sensory question?</w:t>
      </w:r>
    </w:p>
    <w:p w14:paraId="41440840" w14:textId="77777777" w:rsidR="00ED3D7A" w:rsidRDefault="00ED3D7A" w:rsidP="00ED3D7A">
      <w:pPr>
        <w:pStyle w:val="ListParagraph"/>
        <w:numPr>
          <w:ilvl w:val="0"/>
          <w:numId w:val="1"/>
        </w:numPr>
        <w:spacing w:before="40" w:after="40"/>
        <w:contextualSpacing w:val="0"/>
      </w:pPr>
      <w:r>
        <w:t>Tab 2 — Design &amp; Power: Can this test design catch the differences that matter?</w:t>
      </w:r>
    </w:p>
    <w:p w14:paraId="69FD67FF" w14:textId="77777777" w:rsidR="00ED3D7A" w:rsidRDefault="00ED3D7A" w:rsidP="00ED3D7A">
      <w:pPr>
        <w:pStyle w:val="ListParagraph"/>
        <w:numPr>
          <w:ilvl w:val="0"/>
          <w:numId w:val="1"/>
        </w:numPr>
        <w:spacing w:before="40" w:after="40"/>
        <w:contextualSpacing w:val="0"/>
      </w:pPr>
      <w:r>
        <w:t>Tab 3 — Decision Strategy: Given these data, which decision rule best protects the brand?</w:t>
      </w:r>
    </w:p>
    <w:p w14:paraId="1CA0EA22" w14:textId="77777777" w:rsidR="00ED3D7A" w:rsidRPr="00ED3D7A" w:rsidRDefault="00ED3D7A" w:rsidP="00ED3D7A">
      <w:pPr>
        <w:pStyle w:val="ListParagraph"/>
        <w:numPr>
          <w:ilvl w:val="0"/>
          <w:numId w:val="1"/>
        </w:numPr>
        <w:spacing w:before="200" w:after="200"/>
      </w:pPr>
      <w:r>
        <w:t>Tab 4 — Scenario Projector: How risky is our overall programme of tests?</w:t>
      </w:r>
    </w:p>
    <w:p w14:paraId="10CCCACC" w14:textId="77777777" w:rsidR="00ED3D7A" w:rsidRDefault="00ED3D7A" w:rsidP="00ED3D7A">
      <w:pPr>
        <w:pStyle w:val="ListParagraph"/>
        <w:spacing w:before="40" w:after="40"/>
        <w:contextualSpacing w:val="0"/>
      </w:pPr>
    </w:p>
    <w:p w14:paraId="14BAFF75" w14:textId="77777777" w:rsidR="00ED3D7A" w:rsidRDefault="00ED3D7A" w:rsidP="00ED3D7A">
      <w:pPr>
        <w:pStyle w:val="ListParagraph"/>
        <w:spacing w:before="40" w:after="40"/>
        <w:contextualSpacing w:val="0"/>
      </w:pPr>
    </w:p>
    <w:p w14:paraId="220E4E4E" w14:textId="016F04EB" w:rsidR="00ED3D7A" w:rsidRPr="00ED3D7A" w:rsidRDefault="00ED3D7A" w:rsidP="00ED3D7A">
      <w:pPr>
        <w:pStyle w:val="Heading2"/>
        <w:rPr>
          <w:b/>
          <w:bCs/>
        </w:rPr>
      </w:pPr>
      <w:r w:rsidRPr="00ED3D7A">
        <w:rPr>
          <w:b/>
          <w:bCs/>
        </w:rPr>
        <w:t>Quick Start in 5 Steps</w:t>
      </w:r>
    </w:p>
    <w:p w14:paraId="19DEC3A1" w14:textId="77777777" w:rsidR="00ED3D7A" w:rsidRDefault="00ED3D7A" w:rsidP="00ED3D7A">
      <w:pPr>
        <w:pStyle w:val="ListParagraph"/>
        <w:numPr>
          <w:ilvl w:val="0"/>
          <w:numId w:val="2"/>
        </w:numPr>
        <w:spacing w:before="40" w:after="40"/>
        <w:contextualSpacing w:val="0"/>
      </w:pPr>
      <w:r>
        <w:t>Select your test method from the sidebar (e.g. 2-AFC, Triangle, Tetrad).</w:t>
      </w:r>
    </w:p>
    <w:p w14:paraId="1203C14C" w14:textId="77777777" w:rsidR="00ED3D7A" w:rsidRDefault="00ED3D7A" w:rsidP="00ED3D7A">
      <w:pPr>
        <w:pStyle w:val="ListParagraph"/>
        <w:numPr>
          <w:ilvl w:val="0"/>
          <w:numId w:val="2"/>
        </w:numPr>
        <w:spacing w:before="40" w:after="40"/>
        <w:contextualSpacing w:val="0"/>
      </w:pPr>
      <w:r>
        <w:t>Enter N (total panelists) and X (correct responses) in the Global Inputs panel.</w:t>
      </w:r>
    </w:p>
    <w:p w14:paraId="351B30DD" w14:textId="77777777" w:rsidR="00ED3D7A" w:rsidRDefault="00ED3D7A" w:rsidP="00ED3D7A">
      <w:pPr>
        <w:pStyle w:val="ListParagraph"/>
        <w:numPr>
          <w:ilvl w:val="0"/>
          <w:numId w:val="2"/>
        </w:numPr>
        <w:spacing w:before="40" w:after="40"/>
        <w:contextualSpacing w:val="0"/>
      </w:pPr>
      <w:r>
        <w:t>Select a Decision Context matching your business scenario (copy-exact, cost-saving, supplier change, or exploratory R&amp;D).</w:t>
      </w:r>
    </w:p>
    <w:p w14:paraId="6F2E6739" w14:textId="77777777" w:rsidR="00ED3D7A" w:rsidRDefault="00ED3D7A" w:rsidP="00ED3D7A">
      <w:pPr>
        <w:pStyle w:val="ListParagraph"/>
        <w:numPr>
          <w:ilvl w:val="0"/>
          <w:numId w:val="2"/>
        </w:numPr>
        <w:spacing w:before="40" w:after="40"/>
        <w:contextualSpacing w:val="0"/>
      </w:pPr>
      <w:r>
        <w:t>Read the green Consumer-Relevant Verdict tile on Tab 1 — this is your primary result.</w:t>
      </w:r>
    </w:p>
    <w:p w14:paraId="623AE6D9" w14:textId="77777777" w:rsidR="00ED3D7A" w:rsidRDefault="00ED3D7A" w:rsidP="00ED3D7A">
      <w:pPr>
        <w:pStyle w:val="ListParagraph"/>
        <w:numPr>
          <w:ilvl w:val="0"/>
          <w:numId w:val="2"/>
        </w:numPr>
        <w:spacing w:before="40" w:after="40"/>
        <w:contextualSpacing w:val="0"/>
      </w:pPr>
      <w:r>
        <w:t>Navigate to Tab 3 to see which decision framework (NHST, Equivalence, or Bayesian) best matches your risk tolerance.</w:t>
      </w:r>
    </w:p>
    <w:p w14:paraId="18396660" w14:textId="77777777" w:rsidR="00ED3D7A" w:rsidRDefault="00ED3D7A" w:rsidP="00ED3D7A">
      <w:pPr>
        <w:pStyle w:val="ListParagraph"/>
        <w:numPr>
          <w:ilvl w:val="0"/>
          <w:numId w:val="2"/>
        </w:numPr>
        <w:spacing w:after="60"/>
      </w:pPr>
      <w:r w:rsidRPr="00ED3D7A">
        <w:rPr>
          <w:b/>
          <w:bCs/>
        </w:rPr>
        <w:t>Expert Mode</w:t>
      </w:r>
    </w:p>
    <w:p w14:paraId="0AF632FA" w14:textId="6D193B2A" w:rsidR="00ED3D7A" w:rsidRDefault="00ED3D7A" w:rsidP="00ED3D7A">
      <w:pPr>
        <w:pStyle w:val="ListParagraph"/>
        <w:numPr>
          <w:ilvl w:val="0"/>
          <w:numId w:val="2"/>
        </w:numPr>
        <w:spacing w:before="40" w:after="40"/>
        <w:contextualSpacing w:val="0"/>
      </w:pPr>
      <w:r>
        <w:t>Toggle 'Expert Mode' in the sidebar to reveal additional controls including: a prior distribution plot on Tab 1, a manual N input on Tab 2, and a Bayesian cutoff slider on Tab 3. Expert mode is recommended for sensory scientists; it can be left off for management presentations</w:t>
      </w:r>
    </w:p>
    <w:p w14:paraId="759DBFDF" w14:textId="77777777" w:rsidR="00ED3D7A" w:rsidRDefault="00ED3D7A" w:rsidP="00ED3D7A">
      <w:pPr>
        <w:spacing w:before="40" w:after="40"/>
      </w:pPr>
    </w:p>
    <w:p w14:paraId="48B77D6B" w14:textId="77777777" w:rsidR="00ED3D7A" w:rsidRDefault="00ED3D7A" w:rsidP="00ED3D7A">
      <w:pPr>
        <w:pStyle w:val="Heading1"/>
        <w:rPr>
          <w:b/>
          <w:bCs/>
        </w:rPr>
      </w:pPr>
      <w:r w:rsidRPr="00ED3D7A">
        <w:rPr>
          <w:b/>
          <w:bCs/>
        </w:rPr>
        <w:t>Part 2 — Tab-by-Tab User Guide</w:t>
      </w:r>
    </w:p>
    <w:p w14:paraId="007E21E3" w14:textId="77777777" w:rsidR="00ED3D7A" w:rsidRDefault="00ED3D7A" w:rsidP="00ED3D7A"/>
    <w:p w14:paraId="7AA425ED" w14:textId="77777777" w:rsidR="00ED3D7A" w:rsidRPr="00ED3D7A" w:rsidRDefault="00ED3D7A" w:rsidP="00ED3D7A">
      <w:pPr>
        <w:pStyle w:val="Heading2"/>
        <w:rPr>
          <w:b/>
          <w:bCs/>
        </w:rPr>
      </w:pPr>
      <w:proofErr w:type="gramStart"/>
      <w:r w:rsidRPr="00ED3D7A">
        <w:rPr>
          <w:b/>
          <w:bCs/>
        </w:rPr>
        <w:t>2.1  Tab</w:t>
      </w:r>
      <w:proofErr w:type="gramEnd"/>
      <w:r w:rsidRPr="00ED3D7A">
        <w:rPr>
          <w:b/>
          <w:bCs/>
        </w:rPr>
        <w:t xml:space="preserve"> 1 — Method &amp; Assumptions</w:t>
      </w:r>
    </w:p>
    <w:p w14:paraId="06500138" w14:textId="77777777" w:rsidR="00ED3D7A" w:rsidRDefault="00ED3D7A" w:rsidP="00ED3D7A">
      <w:pPr>
        <w:spacing w:before="60" w:after="100"/>
        <w:jc w:val="both"/>
      </w:pPr>
      <w:r>
        <w:rPr>
          <w:i/>
          <w:iCs/>
          <w:color w:val="444444"/>
        </w:rPr>
        <w:t>“Are we asking the right sensory question, and what does this result mean for consumers?”</w:t>
      </w:r>
    </w:p>
    <w:p w14:paraId="464B683B" w14:textId="77777777" w:rsidR="00ED3D7A" w:rsidRDefault="00ED3D7A" w:rsidP="00ED3D7A">
      <w:pPr>
        <w:pStyle w:val="Heading3"/>
      </w:pPr>
      <w:r>
        <w:t>What you see</w:t>
      </w:r>
    </w:p>
    <w:p w14:paraId="55EA83B0" w14:textId="77777777" w:rsidR="00ED3D7A" w:rsidRDefault="00ED3D7A" w:rsidP="00ED3D7A">
      <w:pPr>
        <w:spacing w:before="60" w:after="80"/>
        <w:jc w:val="both"/>
      </w:pPr>
      <w:r>
        <w:t>Tab 1 presents four main areas: a context banner at the top, a Consumer-Relevant Verdict tile, a Signal Detection Model plot, and a When to Use This Method panel. A collapsible Technical Statistics section is available beneath the verdict tile for those who need the full numbers.</w:t>
      </w:r>
    </w:p>
    <w:p w14:paraId="20CAD221" w14:textId="77777777" w:rsidR="00ED3D7A" w:rsidRDefault="00ED3D7A" w:rsidP="00ED3D7A">
      <w:pPr>
        <w:pStyle w:val="Heading3"/>
      </w:pPr>
      <w:r>
        <w:lastRenderedPageBreak/>
        <w:t>The Decision Context banner</w:t>
      </w:r>
    </w:p>
    <w:p w14:paraId="1FEBF1A4" w14:textId="77777777" w:rsidR="00ED3D7A" w:rsidRDefault="00ED3D7A" w:rsidP="00ED3D7A">
      <w:pPr>
        <w:spacing w:before="60" w:after="80"/>
        <w:jc w:val="both"/>
      </w:pPr>
      <w:r>
        <w:t xml:space="preserve">The blue banner at the top of every tab shows the active business context. It displays </w:t>
      </w:r>
      <w:proofErr w:type="spellStart"/>
      <w:r>
        <w:t>d_R</w:t>
      </w:r>
      <w:proofErr w:type="spellEnd"/>
      <w:r>
        <w:t xml:space="preserve"> (the consumer-relevant threshold), the alpha level, the target power percentage, and the asymmetric cost weights. These parameters come from the Decision Context you selected in the sidebar. Changing the context immediately updates all four tabs.</w:t>
      </w:r>
    </w:p>
    <w:p w14:paraId="39A1D627" w14:textId="77777777" w:rsidR="00ED3D7A" w:rsidRDefault="00ED3D7A" w:rsidP="00ED3D7A">
      <w:pPr>
        <w:pStyle w:val="Heading3"/>
      </w:pPr>
      <w:r>
        <w:t>The Consumer-Relevant Verdict tile</w:t>
      </w:r>
    </w:p>
    <w:p w14:paraId="10A16B24" w14:textId="77777777" w:rsidR="00ED3D7A" w:rsidRDefault="00ED3D7A" w:rsidP="00ED3D7A">
      <w:pPr>
        <w:spacing w:before="60" w:after="80"/>
        <w:jc w:val="both"/>
      </w:pPr>
      <w:r>
        <w:t xml:space="preserve">This is the most important output on the dashboard. It compares the 95% confidence interval for d' against </w:t>
      </w:r>
      <w:proofErr w:type="spellStart"/>
      <w:r>
        <w:t>d_R</w:t>
      </w:r>
      <w:proofErr w:type="spellEnd"/>
      <w:r>
        <w:t xml:space="preserve"> and returns one of three verdicts:</w:t>
      </w:r>
    </w:p>
    <w:p w14:paraId="1B97F6CF" w14:textId="77777777" w:rsidR="00ED3D7A" w:rsidRDefault="00ED3D7A" w:rsidP="00ED3D7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D7A" w14:paraId="127721F1" w14:textId="77777777" w:rsidTr="006A6515">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2FE4158D" w14:textId="77777777" w:rsidR="00ED3D7A" w:rsidRDefault="00ED3D7A" w:rsidP="00ED3D7A">
            <w:pPr>
              <w:pStyle w:val="ListParagraph"/>
              <w:numPr>
                <w:ilvl w:val="0"/>
                <w:numId w:val="1"/>
              </w:numPr>
              <w:spacing w:before="40" w:after="40"/>
              <w:contextualSpacing w:val="0"/>
            </w:pPr>
            <w:r>
              <w:rPr>
                <w:b/>
                <w:bCs/>
                <w:color w:val="1A6B1A"/>
              </w:rPr>
              <w:t xml:space="preserve">Within consumer </w:t>
            </w:r>
            <w:proofErr w:type="gramStart"/>
            <w:r>
              <w:rPr>
                <w:b/>
                <w:bCs/>
                <w:color w:val="1A6B1A"/>
              </w:rPr>
              <w:t xml:space="preserve">tolerance  </w:t>
            </w:r>
            <w:r>
              <w:t>(</w:t>
            </w:r>
            <w:proofErr w:type="gramEnd"/>
            <w:r>
              <w:t xml:space="preserve">green) — The entire 95% CI lies below </w:t>
            </w:r>
            <w:proofErr w:type="spellStart"/>
            <w:r>
              <w:t>d_R</w:t>
            </w:r>
            <w:proofErr w:type="spellEnd"/>
            <w:r>
              <w:t>. The observed difference is unlikely to be noticeable to consumers. Approval risk is low.</w:t>
            </w:r>
          </w:p>
          <w:p w14:paraId="5C1B9E75" w14:textId="77777777" w:rsidR="00ED3D7A" w:rsidRDefault="00ED3D7A" w:rsidP="00ED3D7A">
            <w:pPr>
              <w:pStyle w:val="ListParagraph"/>
              <w:numPr>
                <w:ilvl w:val="0"/>
                <w:numId w:val="1"/>
              </w:numPr>
              <w:spacing w:before="40" w:after="40"/>
              <w:contextualSpacing w:val="0"/>
            </w:pPr>
            <w:r>
              <w:rPr>
                <w:b/>
                <w:bCs/>
                <w:color w:val="8A6D00"/>
              </w:rPr>
              <w:t xml:space="preserve">Inconclusive around </w:t>
            </w:r>
            <w:proofErr w:type="spellStart"/>
            <w:r>
              <w:rPr>
                <w:b/>
                <w:bCs/>
                <w:color w:val="8A6D00"/>
              </w:rPr>
              <w:t>d_</w:t>
            </w:r>
            <w:proofErr w:type="gramStart"/>
            <w:r>
              <w:rPr>
                <w:b/>
                <w:bCs/>
                <w:color w:val="8A6D00"/>
              </w:rPr>
              <w:t>R</w:t>
            </w:r>
            <w:proofErr w:type="spellEnd"/>
            <w:r>
              <w:rPr>
                <w:b/>
                <w:bCs/>
                <w:color w:val="8A6D00"/>
              </w:rPr>
              <w:t xml:space="preserve">  </w:t>
            </w:r>
            <w:r>
              <w:t>(</w:t>
            </w:r>
            <w:proofErr w:type="gramEnd"/>
            <w:r>
              <w:t xml:space="preserve">amber) — The CI straddles </w:t>
            </w:r>
            <w:proofErr w:type="spellStart"/>
            <w:r>
              <w:t>d_R</w:t>
            </w:r>
            <w:proofErr w:type="spellEnd"/>
            <w:r>
              <w:t xml:space="preserve">. You cannot yet say whether the difference is acceptable. More panelists or a more powerful method </w:t>
            </w:r>
            <w:proofErr w:type="gramStart"/>
            <w:r>
              <w:t>are</w:t>
            </w:r>
            <w:proofErr w:type="gramEnd"/>
            <w:r>
              <w:t xml:space="preserve"> needed.</w:t>
            </w:r>
          </w:p>
          <w:p w14:paraId="2A9ADF59" w14:textId="77777777" w:rsidR="00ED3D7A" w:rsidRDefault="00ED3D7A" w:rsidP="00ED3D7A">
            <w:pPr>
              <w:pStyle w:val="ListParagraph"/>
              <w:numPr>
                <w:ilvl w:val="0"/>
                <w:numId w:val="1"/>
              </w:numPr>
              <w:spacing w:before="40" w:after="40"/>
              <w:contextualSpacing w:val="0"/>
            </w:pPr>
            <w:r>
              <w:rPr>
                <w:b/>
                <w:bCs/>
                <w:color w:val="A00000"/>
              </w:rPr>
              <w:t xml:space="preserve">Exceeds consumer </w:t>
            </w:r>
            <w:proofErr w:type="gramStart"/>
            <w:r>
              <w:rPr>
                <w:b/>
                <w:bCs/>
                <w:color w:val="A00000"/>
              </w:rPr>
              <w:t xml:space="preserve">tolerance  </w:t>
            </w:r>
            <w:r>
              <w:t>(</w:t>
            </w:r>
            <w:proofErr w:type="gramEnd"/>
            <w:r>
              <w:t xml:space="preserve">red) — The lower bound of the CI already exceeds </w:t>
            </w:r>
            <w:proofErr w:type="spellStart"/>
            <w:r>
              <w:t>d_R</w:t>
            </w:r>
            <w:proofErr w:type="spellEnd"/>
            <w:r>
              <w:t>. The difference is likely noticeable and poses brand risk.</w:t>
            </w:r>
          </w:p>
        </w:tc>
      </w:tr>
    </w:tbl>
    <w:p w14:paraId="7F5DCE66" w14:textId="77777777" w:rsidR="00ED3D7A" w:rsidRDefault="00ED3D7A" w:rsidP="00ED3D7A">
      <w:pPr>
        <w:spacing w:before="120"/>
      </w:pPr>
    </w:p>
    <w:p w14:paraId="4CC41391" w14:textId="77777777" w:rsidR="00ED3D7A" w:rsidRDefault="00ED3D7A" w:rsidP="00ED3D7A">
      <w:pPr>
        <w:spacing w:before="60" w:after="80"/>
        <w:jc w:val="both"/>
      </w:pPr>
      <w:r>
        <w:t xml:space="preserve">The tile also shows </w:t>
      </w:r>
      <w:proofErr w:type="gramStart"/>
      <w:r>
        <w:t>P(</w:t>
      </w:r>
      <w:proofErr w:type="gramEnd"/>
      <w:r>
        <w:t xml:space="preserve">true d' &lt; </w:t>
      </w:r>
      <w:proofErr w:type="spellStart"/>
      <w:r>
        <w:t>d_R</w:t>
      </w:r>
      <w:proofErr w:type="spellEnd"/>
      <w:r>
        <w:t xml:space="preserve"> | data), expressed as a percentage. This is the probability that the true sensory difference is smaller than the consumer-relevant threshold, given what the panelists observed. It is computed under a flat (uninformative) prior on d', so it is purely </w:t>
      </w:r>
      <w:proofErr w:type="gramStart"/>
      <w:r>
        <w:t>data-driven</w:t>
      </w:r>
      <w:proofErr w:type="gramEnd"/>
      <w:r>
        <w:t>. [5, 11]</w:t>
      </w:r>
    </w:p>
    <w:p w14:paraId="192F8CE7" w14:textId="77777777" w:rsidR="00ED3D7A" w:rsidRDefault="00ED3D7A" w:rsidP="00ED3D7A">
      <w:pPr>
        <w:spacing w:before="120"/>
      </w:pPr>
    </w:p>
    <w:p w14:paraId="503D2A9F" w14:textId="77777777" w:rsidR="00ED3D7A" w:rsidRDefault="00ED3D7A" w:rsidP="00ED3D7A">
      <w:pPr>
        <w:spacing w:before="60" w:after="80"/>
        <w:jc w:val="both"/>
      </w:pPr>
      <w:r>
        <w:t xml:space="preserve">Below the verdict headline, the detailed text explains whether the CI lies entirely below, above, or straddles </w:t>
      </w:r>
      <w:proofErr w:type="spellStart"/>
      <w:r>
        <w:t>d_R</w:t>
      </w:r>
      <w:proofErr w:type="spellEnd"/>
      <w:r>
        <w:t>, and what that means practically.</w:t>
      </w:r>
    </w:p>
    <w:p w14:paraId="5598F226" w14:textId="77777777" w:rsidR="00ED3D7A" w:rsidRDefault="00ED3D7A" w:rsidP="00ED3D7A">
      <w:pPr>
        <w:pStyle w:val="Heading3"/>
      </w:pPr>
      <w:r>
        <w:t>The Signal Detection Model plot</w:t>
      </w:r>
    </w:p>
    <w:p w14:paraId="678E7438" w14:textId="77777777" w:rsidR="00ED3D7A" w:rsidRDefault="00ED3D7A" w:rsidP="00ED3D7A">
      <w:pPr>
        <w:spacing w:before="60" w:after="80"/>
        <w:jc w:val="both"/>
      </w:pPr>
      <w:r>
        <w:t xml:space="preserve">For A-not-A (SDT method), this plot shows an exact representation of the two normal distributions — noise (reference distribution, blue) and signal (test sample distribution, red) — separated by d'. The purple dashed line marks </w:t>
      </w:r>
      <w:proofErr w:type="spellStart"/>
      <w:r>
        <w:t>d_R</w:t>
      </w:r>
      <w:proofErr w:type="spellEnd"/>
      <w:r>
        <w:t xml:space="preserve">. The further right the signal distribution sits relative to </w:t>
      </w:r>
      <w:proofErr w:type="spellStart"/>
      <w:r>
        <w:t>d_R</w:t>
      </w:r>
      <w:proofErr w:type="spellEnd"/>
      <w:r>
        <w:t>, the more the difference exceeds consumer tolerance.</w:t>
      </w:r>
    </w:p>
    <w:p w14:paraId="5F0D6F12" w14:textId="77777777" w:rsidR="00ED3D7A" w:rsidRDefault="00ED3D7A" w:rsidP="00ED3D7A">
      <w:pPr>
        <w:spacing w:before="120"/>
      </w:pPr>
    </w:p>
    <w:p w14:paraId="216AE081" w14:textId="77777777" w:rsidR="00ED3D7A" w:rsidRDefault="00ED3D7A" w:rsidP="00ED3D7A">
      <w:pPr>
        <w:spacing w:before="60" w:after="80"/>
        <w:jc w:val="both"/>
      </w:pPr>
      <w:r>
        <w:t xml:space="preserve">For </w:t>
      </w:r>
      <w:proofErr w:type="spellStart"/>
      <w:r>
        <w:t>Thurstonian</w:t>
      </w:r>
      <w:proofErr w:type="spellEnd"/>
      <w:r>
        <w:t xml:space="preserve"> methods (2-AFC, 3-AFC, Triangle, Tetrad, Duo-Trio), this is a simplified illustration only. The true </w:t>
      </w:r>
      <w:proofErr w:type="spellStart"/>
      <w:r>
        <w:t>Thurstonian</w:t>
      </w:r>
      <w:proofErr w:type="spellEnd"/>
      <w:r>
        <w:t xml:space="preserve"> decision space is more complex — for example, 2-AFC involves the difference of two normal variables, while Triangle involves a max-of-differences decision rule. The plot is useful for intuition but should not be taken as an exact representation for these methods. [2, 3]</w:t>
      </w:r>
    </w:p>
    <w:p w14:paraId="1C337BF9" w14:textId="77777777" w:rsidR="00ED3D7A" w:rsidRDefault="00ED3D7A" w:rsidP="00ED3D7A">
      <w:pPr>
        <w:pStyle w:val="Heading3"/>
      </w:pPr>
      <w:r>
        <w:t>The Method Table and Fit Note</w:t>
      </w:r>
    </w:p>
    <w:p w14:paraId="7E27C164" w14:textId="77777777" w:rsidR="00ED3D7A" w:rsidRDefault="00ED3D7A" w:rsidP="00ED3D7A">
      <w:pPr>
        <w:spacing w:before="60" w:after="80"/>
        <w:jc w:val="both"/>
      </w:pPr>
      <w:r>
        <w:t>The table on the right summarises the selected method: whether it requires a physical reference product, how many samples per trial, the number of possible presentation sequences, the variance and memory burden on assessors, the chance level expressed as a plain fraction (e.g. 1 in 3 by chance for Triangle), and the underlying statistical model.</w:t>
      </w:r>
    </w:p>
    <w:p w14:paraId="56331389" w14:textId="77777777" w:rsidR="00ED3D7A" w:rsidRDefault="00ED3D7A" w:rsidP="00ED3D7A">
      <w:pPr>
        <w:spacing w:before="120"/>
      </w:pPr>
    </w:p>
    <w:p w14:paraId="00815281" w14:textId="77777777" w:rsidR="00ED3D7A" w:rsidRDefault="00ED3D7A" w:rsidP="00ED3D7A">
      <w:pPr>
        <w:spacing w:before="60" w:after="80"/>
        <w:jc w:val="both"/>
      </w:pPr>
      <w:r>
        <w:t>Below the table, a Method Fit note gives a concise recommendation: which decision contexts this method is best suited to, and which to avoid. For example, Triangle is flagged as unsuitable for copy-exact because cognitive strategy shifts (from Tau-COD to Beta) inflate Type I error and make d' estimates unreliable for subtle differences. [2, 4]</w:t>
      </w:r>
    </w:p>
    <w:p w14:paraId="7C46C945" w14:textId="77777777" w:rsidR="00ED3D7A" w:rsidRDefault="00ED3D7A" w:rsidP="00ED3D7A">
      <w:pPr>
        <w:pStyle w:val="Heading3"/>
      </w:pPr>
      <w:r>
        <w:lastRenderedPageBreak/>
        <w:t>The Technical Statistics panel</w:t>
      </w:r>
    </w:p>
    <w:p w14:paraId="42A454ED" w14:textId="77777777" w:rsidR="00ED3D7A" w:rsidRDefault="00ED3D7A" w:rsidP="00ED3D7A">
      <w:pPr>
        <w:spacing w:before="60" w:after="80"/>
        <w:jc w:val="both"/>
      </w:pPr>
      <w:r>
        <w:t xml:space="preserve">This collapsible section shows the full numerical output: d', SE, 95% CI for d', Pa (proportion correct), Pd = Pa - Pc (probability of discrimination, i.e. the proportion of assessors who are truly discriminating beyond chance), the 95% CI for Pd, and P(d' &lt; </w:t>
      </w:r>
      <w:proofErr w:type="spellStart"/>
      <w:r>
        <w:t>d_R</w:t>
      </w:r>
      <w:proofErr w:type="spellEnd"/>
      <w:r>
        <w:t>) with a flat-prior qualifier.</w:t>
      </w:r>
    </w:p>
    <w:p w14:paraId="355AED07" w14:textId="77777777" w:rsidR="00ED3D7A" w:rsidRDefault="00ED3D7A" w:rsidP="00ED3D7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D7A" w14:paraId="4265835F" w14:textId="77777777" w:rsidTr="006A6515">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200" w:type="dxa"/>
              <w:bottom w:w="120" w:type="dxa"/>
              <w:right w:w="200" w:type="dxa"/>
            </w:tcMar>
          </w:tcPr>
          <w:p w14:paraId="7C43F2B7" w14:textId="77777777" w:rsidR="00ED3D7A" w:rsidRDefault="00ED3D7A" w:rsidP="006A6515">
            <w:pPr>
              <w:spacing w:after="60"/>
            </w:pPr>
            <w:r>
              <w:rPr>
                <w:b/>
                <w:bCs/>
              </w:rPr>
              <w:t>What is Pd?</w:t>
            </w:r>
          </w:p>
          <w:p w14:paraId="55C35A21" w14:textId="77777777" w:rsidR="00ED3D7A" w:rsidRDefault="00ED3D7A" w:rsidP="006A6515">
            <w:pPr>
              <w:spacing w:before="60" w:after="80"/>
              <w:jc w:val="both"/>
            </w:pPr>
            <w:r>
              <w:t xml:space="preserve">Pd = Pa - Pc is the excess proportion correct above chance. It estimates what fraction of consumers in the panel population would </w:t>
            </w:r>
            <w:proofErr w:type="gramStart"/>
            <w:r>
              <w:t>actually detect</w:t>
            </w:r>
            <w:proofErr w:type="gramEnd"/>
            <w:r>
              <w:t xml:space="preserve"> the difference. For example, Pa = 0.70 with pc = 0.50 (2-AFC) gives Pd = 0.20 — 20% of panelists are truly discriminating. This is a population-level interpretation of the sensory difference. [5, 2]</w:t>
            </w:r>
          </w:p>
        </w:tc>
      </w:tr>
    </w:tbl>
    <w:p w14:paraId="4B6DB61E" w14:textId="77777777" w:rsidR="00ED3D7A" w:rsidRDefault="00ED3D7A" w:rsidP="00ED3D7A">
      <w:pPr>
        <w:pStyle w:val="Heading3"/>
      </w:pPr>
      <w:r>
        <w:t>The Cognitive Strategy panel</w:t>
      </w:r>
    </w:p>
    <w:p w14:paraId="507C476F" w14:textId="43A54019" w:rsidR="00452418" w:rsidRDefault="00ED3D7A" w:rsidP="00452418">
      <w:pPr>
        <w:spacing w:before="60" w:after="80"/>
        <w:jc w:val="both"/>
      </w:pPr>
      <w:r>
        <w:t>At the bottom of Tab 1, the cognitive strategy text explains how assessors are expected to make their decisions in this method. The distinction between Beta strategy (compare to an internal standard) and Tau-COD (compare the odd one) is psychophysically important: strategy shifts change the effective sensitivity of the test and the reliability of d'. For Triangle and Duo-Trio, re-tasting can trigger unwanted strategy shifts that inflate apparent differences. [4]</w:t>
      </w:r>
    </w:p>
    <w:p w14:paraId="4336EDDF" w14:textId="77777777" w:rsidR="00452418" w:rsidRPr="00452418" w:rsidRDefault="00452418" w:rsidP="00452418">
      <w:pPr>
        <w:spacing w:before="60" w:after="80"/>
        <w:jc w:val="both"/>
      </w:pPr>
    </w:p>
    <w:p w14:paraId="25607959" w14:textId="37298FBE" w:rsidR="00ED3D7A" w:rsidRPr="00ED3D7A" w:rsidRDefault="00ED3D7A" w:rsidP="00ED3D7A">
      <w:pPr>
        <w:pStyle w:val="Heading2"/>
        <w:rPr>
          <w:b/>
          <w:bCs/>
        </w:rPr>
      </w:pPr>
      <w:proofErr w:type="gramStart"/>
      <w:r w:rsidRPr="00ED3D7A">
        <w:rPr>
          <w:b/>
          <w:bCs/>
        </w:rPr>
        <w:t>2.2  Tab</w:t>
      </w:r>
      <w:proofErr w:type="gramEnd"/>
      <w:r w:rsidRPr="00ED3D7A">
        <w:rPr>
          <w:b/>
          <w:bCs/>
        </w:rPr>
        <w:t xml:space="preserve"> 2 — Design &amp; Power</w:t>
      </w:r>
    </w:p>
    <w:p w14:paraId="011C1D62" w14:textId="77777777" w:rsidR="00ED3D7A" w:rsidRDefault="00ED3D7A" w:rsidP="00ED3D7A">
      <w:pPr>
        <w:spacing w:before="60" w:after="100"/>
        <w:jc w:val="both"/>
      </w:pPr>
      <w:r>
        <w:rPr>
          <w:i/>
          <w:iCs/>
          <w:color w:val="444444"/>
        </w:rPr>
        <w:t>“Is this test design strong enough to catch the differences that matter?”</w:t>
      </w:r>
    </w:p>
    <w:p w14:paraId="2E9FE81C" w14:textId="77777777" w:rsidR="00ED3D7A" w:rsidRDefault="00ED3D7A" w:rsidP="00ED3D7A">
      <w:pPr>
        <w:pStyle w:val="Heading3"/>
      </w:pPr>
      <w:r>
        <w:t>The core question this tab answers</w:t>
      </w:r>
    </w:p>
    <w:p w14:paraId="479833CB" w14:textId="77777777" w:rsidR="00ED3D7A" w:rsidRDefault="00ED3D7A" w:rsidP="00ED3D7A">
      <w:pPr>
        <w:spacing w:before="60" w:after="80"/>
        <w:jc w:val="both"/>
      </w:pPr>
      <w:r>
        <w:t>Having established what your result means, Tab 2 asks whether the study design was adequate to find the consumer-relevant difference in the first place. A test that lacks statistical power may miss a meaningful difference — a particularly costly error in copy-exact or supplier-change scenarios. [7, 12]</w:t>
      </w:r>
    </w:p>
    <w:p w14:paraId="3507CBE0" w14:textId="77777777" w:rsidR="00ED3D7A" w:rsidRDefault="00ED3D7A" w:rsidP="00ED3D7A">
      <w:pPr>
        <w:pStyle w:val="Heading3"/>
      </w:pPr>
      <w:r>
        <w:t>Power Inputs panel</w:t>
      </w:r>
    </w:p>
    <w:p w14:paraId="0725195C" w14:textId="77777777" w:rsidR="00ED3D7A" w:rsidRDefault="00ED3D7A" w:rsidP="00ED3D7A">
      <w:pPr>
        <w:pStyle w:val="ListParagraph"/>
        <w:numPr>
          <w:ilvl w:val="0"/>
          <w:numId w:val="1"/>
        </w:numPr>
        <w:spacing w:before="40" w:after="40"/>
        <w:contextualSpacing w:val="0"/>
      </w:pPr>
      <w:r>
        <w:t xml:space="preserve">Alpha slider (exploration) — The Type I error rate used for the power curves and the manual N box. Note: adjusting this slider does NOT change the 'Min N at context </w:t>
      </w:r>
      <w:proofErr w:type="spellStart"/>
      <w:r>
        <w:t>d_R</w:t>
      </w:r>
      <w:proofErr w:type="spellEnd"/>
      <w:r>
        <w:t>' box, which is always anchored to the context alpha. This separation lets you explore sensitivity without losing the business anchor.</w:t>
      </w:r>
    </w:p>
    <w:p w14:paraId="354A8EC0" w14:textId="77777777" w:rsidR="00ED3D7A" w:rsidRDefault="00ED3D7A" w:rsidP="00ED3D7A">
      <w:pPr>
        <w:pStyle w:val="ListParagraph"/>
        <w:numPr>
          <w:ilvl w:val="0"/>
          <w:numId w:val="1"/>
        </w:numPr>
        <w:spacing w:before="40" w:after="40"/>
        <w:contextualSpacing w:val="0"/>
      </w:pPr>
      <w:r>
        <w:t xml:space="preserve">Target power slider — The desired probability of detecting a true difference equal to </w:t>
      </w:r>
      <w:proofErr w:type="spellStart"/>
      <w:r>
        <w:t>d_R</w:t>
      </w:r>
      <w:proofErr w:type="spellEnd"/>
      <w:r>
        <w:t>.</w:t>
      </w:r>
    </w:p>
    <w:p w14:paraId="08533BA9" w14:textId="77777777" w:rsidR="00ED3D7A" w:rsidRDefault="00ED3D7A" w:rsidP="00ED3D7A">
      <w:pPr>
        <w:pStyle w:val="ListParagraph"/>
        <w:numPr>
          <w:ilvl w:val="0"/>
          <w:numId w:val="1"/>
        </w:numPr>
        <w:spacing w:before="40" w:after="40"/>
        <w:contextualSpacing w:val="0"/>
      </w:pPr>
      <w:r>
        <w:t>True d' (manual) — Available in Expert Mode. Used for the manual N calculation only.</w:t>
      </w:r>
    </w:p>
    <w:p w14:paraId="7C24890C" w14:textId="77777777" w:rsidR="00ED3D7A" w:rsidRDefault="00ED3D7A" w:rsidP="00ED3D7A">
      <w:pPr>
        <w:pStyle w:val="ListParagraph"/>
        <w:numPr>
          <w:ilvl w:val="0"/>
          <w:numId w:val="1"/>
        </w:numPr>
        <w:spacing w:before="40" w:after="40"/>
        <w:contextualSpacing w:val="0"/>
      </w:pPr>
      <w:r>
        <w:t>Compare methods checkboxes — Select which methods to overlay on the power curve for comparison.</w:t>
      </w:r>
    </w:p>
    <w:p w14:paraId="20AA9C94" w14:textId="77777777" w:rsidR="00ED3D7A" w:rsidRDefault="00ED3D7A" w:rsidP="00ED3D7A">
      <w:pPr>
        <w:pStyle w:val="Heading3"/>
      </w:pPr>
      <w:r>
        <w:t xml:space="preserve">Min N at context </w:t>
      </w:r>
      <w:proofErr w:type="spellStart"/>
      <w:r>
        <w:t>d_R</w:t>
      </w:r>
      <w:proofErr w:type="spellEnd"/>
    </w:p>
    <w:p w14:paraId="4C45A01F" w14:textId="77777777" w:rsidR="00ED3D7A" w:rsidRDefault="00ED3D7A" w:rsidP="00ED3D7A">
      <w:pPr>
        <w:spacing w:before="60" w:after="80"/>
        <w:jc w:val="both"/>
      </w:pPr>
      <w:r>
        <w:t xml:space="preserve">The blue box beneath the inputs shows the minimum number of panelists required to reach the context's target power at </w:t>
      </w:r>
      <w:proofErr w:type="spellStart"/>
      <w:r>
        <w:t>d_R</w:t>
      </w:r>
      <w:proofErr w:type="spellEnd"/>
      <w:r>
        <w:t>, for each selected method. This uses the context's alpha (not the slider), so it always answers the business question: 'How many panelists do I need to be adequately protected at the consumer-relevant difference?'</w:t>
      </w:r>
    </w:p>
    <w:p w14:paraId="261CB49B" w14:textId="77777777" w:rsidR="00ED3D7A" w:rsidRDefault="00ED3D7A" w:rsidP="00ED3D7A">
      <w:pPr>
        <w:pStyle w:val="Heading3"/>
      </w:pPr>
      <w:r>
        <w:lastRenderedPageBreak/>
        <w:t>Power Curve plot</w:t>
      </w:r>
    </w:p>
    <w:p w14:paraId="36497500" w14:textId="77777777" w:rsidR="00ED3D7A" w:rsidRDefault="00ED3D7A" w:rsidP="00ED3D7A">
      <w:pPr>
        <w:spacing w:before="60" w:after="80"/>
        <w:jc w:val="both"/>
      </w:pPr>
      <w:r>
        <w:t>The main chart shows statistical power (y-axis, 0 to 100%) as a function of the true d' (x-axis) for each selected method at the current N. Key reference lines:</w:t>
      </w:r>
    </w:p>
    <w:p w14:paraId="3B1A60E9" w14:textId="77777777" w:rsidR="00ED3D7A" w:rsidRDefault="00ED3D7A" w:rsidP="00ED3D7A">
      <w:pPr>
        <w:pStyle w:val="ListParagraph"/>
        <w:numPr>
          <w:ilvl w:val="0"/>
          <w:numId w:val="1"/>
        </w:numPr>
        <w:spacing w:before="40" w:after="40"/>
        <w:contextualSpacing w:val="0"/>
      </w:pPr>
      <w:r>
        <w:t>Horizontal dashed line — target power level from context or slider</w:t>
      </w:r>
    </w:p>
    <w:p w14:paraId="7E04914C" w14:textId="77777777" w:rsidR="00ED3D7A" w:rsidRDefault="00ED3D7A" w:rsidP="00ED3D7A">
      <w:pPr>
        <w:pStyle w:val="ListParagraph"/>
        <w:numPr>
          <w:ilvl w:val="0"/>
          <w:numId w:val="1"/>
        </w:numPr>
        <w:spacing w:before="40" w:after="40"/>
        <w:contextualSpacing w:val="0"/>
      </w:pPr>
      <w:r>
        <w:t xml:space="preserve">Vertical purple dotted line — consumer-relevant difference </w:t>
      </w:r>
      <w:proofErr w:type="spellStart"/>
      <w:r>
        <w:t>d_R</w:t>
      </w:r>
      <w:proofErr w:type="spellEnd"/>
    </w:p>
    <w:p w14:paraId="10471BD4" w14:textId="77777777" w:rsidR="00ED3D7A" w:rsidRDefault="00ED3D7A" w:rsidP="00ED3D7A">
      <w:pPr>
        <w:pStyle w:val="ListParagraph"/>
        <w:numPr>
          <w:ilvl w:val="0"/>
          <w:numId w:val="1"/>
        </w:numPr>
        <w:spacing w:before="40" w:after="40"/>
        <w:contextualSpacing w:val="0"/>
      </w:pPr>
      <w:r>
        <w:t xml:space="preserve">Shaded purple region — the zone where d' &lt; </w:t>
      </w:r>
      <w:proofErr w:type="spellStart"/>
      <w:r>
        <w:t>d_R</w:t>
      </w:r>
      <w:proofErr w:type="spellEnd"/>
      <w:r>
        <w:t xml:space="preserve"> (differences below consumer tolerance)</w:t>
      </w:r>
    </w:p>
    <w:p w14:paraId="13035A60" w14:textId="77777777" w:rsidR="00ED3D7A" w:rsidRDefault="00ED3D7A" w:rsidP="00ED3D7A">
      <w:pPr>
        <w:spacing w:before="120"/>
      </w:pPr>
    </w:p>
    <w:p w14:paraId="02AEDDDC" w14:textId="77777777" w:rsidR="00ED3D7A" w:rsidRDefault="00ED3D7A" w:rsidP="00ED3D7A">
      <w:pPr>
        <w:spacing w:before="60" w:after="80"/>
        <w:jc w:val="both"/>
      </w:pPr>
      <w:r>
        <w:t xml:space="preserve">Read the chart by finding where your method's curve crosses the </w:t>
      </w:r>
      <w:proofErr w:type="spellStart"/>
      <w:r>
        <w:t>d_R</w:t>
      </w:r>
      <w:proofErr w:type="spellEnd"/>
      <w:r>
        <w:t xml:space="preserve"> line. The power sentence below the chart reads off the exact values so you don't need to eyeball it.</w:t>
      </w:r>
    </w:p>
    <w:p w14:paraId="0981F141" w14:textId="77777777" w:rsidR="00ED3D7A" w:rsidRDefault="00ED3D7A" w:rsidP="00ED3D7A">
      <w:pPr>
        <w:pStyle w:val="Heading3"/>
      </w:pPr>
      <w:r>
        <w:t>Minimum N by d' target table</w:t>
      </w:r>
    </w:p>
    <w:p w14:paraId="59110429" w14:textId="77777777" w:rsidR="00ED3D7A" w:rsidRDefault="00ED3D7A" w:rsidP="00ED3D7A">
      <w:pPr>
        <w:spacing w:before="60" w:after="80"/>
        <w:jc w:val="both"/>
      </w:pPr>
      <w:r>
        <w:t xml:space="preserve">This table shows, for each selected method, the minimum N required to achieve the context's target power at a range of d' values. The column corresponding to </w:t>
      </w:r>
      <w:proofErr w:type="spellStart"/>
      <w:r>
        <w:t>d_R</w:t>
      </w:r>
      <w:proofErr w:type="spellEnd"/>
      <w:r>
        <w:t xml:space="preserve"> is highlighted in blue — this is the operationally critical column for your current context. Use this table to compare methods for planning a new study.</w:t>
      </w:r>
    </w:p>
    <w:p w14:paraId="7CD9768B" w14:textId="77777777" w:rsidR="00ED3D7A" w:rsidRDefault="00ED3D7A" w:rsidP="00ED3D7A">
      <w:pPr>
        <w:pStyle w:val="Heading3"/>
      </w:pPr>
      <w:r>
        <w:t>Power vs N curve</w:t>
      </w:r>
    </w:p>
    <w:p w14:paraId="3DA5A55D" w14:textId="77777777" w:rsidR="00ED3D7A" w:rsidRDefault="00ED3D7A" w:rsidP="00ED3D7A">
      <w:pPr>
        <w:spacing w:before="60" w:after="80"/>
        <w:jc w:val="both"/>
      </w:pPr>
      <w:r>
        <w:t xml:space="preserve">The lower chart shows how power increases as N increases, evaluated at </w:t>
      </w:r>
      <w:proofErr w:type="spellStart"/>
      <w:r>
        <w:t>d_R</w:t>
      </w:r>
      <w:proofErr w:type="spellEnd"/>
      <w:r>
        <w:t xml:space="preserve"> for each method. Use this to answer: 'If I run 80 versus 100 panelists, how much does my power improve at the consumer-relevant difference?'</w:t>
      </w:r>
    </w:p>
    <w:p w14:paraId="16C5A5CC" w14:textId="77777777" w:rsidR="00ED3D7A" w:rsidRDefault="00ED3D7A" w:rsidP="00ED3D7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D7A" w14:paraId="7ED7C85A" w14:textId="77777777" w:rsidTr="006A6515">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200" w:type="dxa"/>
              <w:bottom w:w="120" w:type="dxa"/>
              <w:right w:w="200" w:type="dxa"/>
            </w:tcMar>
          </w:tcPr>
          <w:p w14:paraId="377641C0" w14:textId="77777777" w:rsidR="00ED3D7A" w:rsidRDefault="00ED3D7A" w:rsidP="006A6515">
            <w:pPr>
              <w:spacing w:after="60"/>
            </w:pPr>
            <w:r>
              <w:rPr>
                <w:b/>
                <w:bCs/>
              </w:rPr>
              <w:t>Why exact binomial power?</w:t>
            </w:r>
          </w:p>
          <w:p w14:paraId="4EC536E5" w14:textId="77777777" w:rsidR="00ED3D7A" w:rsidRDefault="00ED3D7A" w:rsidP="006A6515">
            <w:pPr>
              <w:spacing w:before="60" w:after="80"/>
              <w:jc w:val="both"/>
            </w:pPr>
            <w:r>
              <w:t xml:space="preserve">The dashboard uses exact binomial power calculations rather than normal approximations. For each method and d', the expected proportion correct pa is derived from the </w:t>
            </w:r>
            <w:proofErr w:type="spellStart"/>
            <w:r>
              <w:t>Thurstonian</w:t>
            </w:r>
            <w:proofErr w:type="spellEnd"/>
            <w:r>
              <w:t xml:space="preserve"> mapping. Power is then computed as 1 - </w:t>
            </w:r>
            <w:proofErr w:type="spellStart"/>
            <w:proofErr w:type="gramStart"/>
            <w:r>
              <w:t>pbinom</w:t>
            </w:r>
            <w:proofErr w:type="spellEnd"/>
            <w:r>
              <w:t>(</w:t>
            </w:r>
            <w:proofErr w:type="spellStart"/>
            <w:proofErr w:type="gramEnd"/>
            <w:r>
              <w:t>x_crit</w:t>
            </w:r>
            <w:proofErr w:type="spellEnd"/>
            <w:r>
              <w:t xml:space="preserve"> - 1, N, </w:t>
            </w:r>
            <w:proofErr w:type="spellStart"/>
            <w:r>
              <w:t>pa_true</w:t>
            </w:r>
            <w:proofErr w:type="spellEnd"/>
            <w:r>
              <w:t xml:space="preserve">), where </w:t>
            </w:r>
            <w:proofErr w:type="spellStart"/>
            <w:r>
              <w:t>x_crit</w:t>
            </w:r>
            <w:proofErr w:type="spellEnd"/>
            <w:r>
              <w:t xml:space="preserve"> is the smallest X that would be significant at alpha. This matches the </w:t>
            </w:r>
            <w:proofErr w:type="spellStart"/>
            <w:r>
              <w:t>sensR</w:t>
            </w:r>
            <w:proofErr w:type="spellEnd"/>
            <w:r>
              <w:t xml:space="preserve"> package's </w:t>
            </w:r>
            <w:proofErr w:type="spellStart"/>
            <w:r>
              <w:t>discrimPwr</w:t>
            </w:r>
            <w:proofErr w:type="spellEnd"/>
            <w:r>
              <w:t xml:space="preserve"> and </w:t>
            </w:r>
            <w:proofErr w:type="spellStart"/>
            <w:r>
              <w:t>discrimSS</w:t>
            </w:r>
            <w:proofErr w:type="spellEnd"/>
            <w:r>
              <w:t xml:space="preserve"> functions under 'exact' settings. [9, 3]</w:t>
            </w:r>
          </w:p>
        </w:tc>
      </w:tr>
    </w:tbl>
    <w:p w14:paraId="0C47E140" w14:textId="77777777" w:rsidR="00ED3D7A" w:rsidRPr="00ED3D7A" w:rsidRDefault="00ED3D7A" w:rsidP="00ED3D7A"/>
    <w:p w14:paraId="46FCECBF" w14:textId="77777777" w:rsidR="00ED3D7A" w:rsidRDefault="00ED3D7A" w:rsidP="00ED3D7A">
      <w:pPr>
        <w:spacing w:before="40" w:after="40"/>
      </w:pPr>
    </w:p>
    <w:p w14:paraId="4403011F" w14:textId="77777777" w:rsidR="00ED3D7A" w:rsidRPr="00ED3D7A" w:rsidRDefault="00ED3D7A" w:rsidP="00ED3D7A">
      <w:pPr>
        <w:pStyle w:val="Heading2"/>
        <w:rPr>
          <w:b/>
          <w:bCs/>
        </w:rPr>
      </w:pPr>
      <w:proofErr w:type="gramStart"/>
      <w:r w:rsidRPr="00ED3D7A">
        <w:rPr>
          <w:b/>
          <w:bCs/>
        </w:rPr>
        <w:t>2.3  Tab</w:t>
      </w:r>
      <w:proofErr w:type="gramEnd"/>
      <w:r w:rsidRPr="00ED3D7A">
        <w:rPr>
          <w:b/>
          <w:bCs/>
        </w:rPr>
        <w:t xml:space="preserve"> 3 — Decision Strategy</w:t>
      </w:r>
    </w:p>
    <w:p w14:paraId="424EDF19" w14:textId="77777777" w:rsidR="00ED3D7A" w:rsidRDefault="00ED3D7A" w:rsidP="00ED3D7A">
      <w:pPr>
        <w:spacing w:before="60" w:after="100"/>
        <w:jc w:val="both"/>
      </w:pPr>
      <w:r>
        <w:rPr>
          <w:i/>
          <w:iCs/>
          <w:color w:val="444444"/>
        </w:rPr>
        <w:t>“Given these data and assumptions, which decision rule best protects the brand?”</w:t>
      </w:r>
    </w:p>
    <w:p w14:paraId="66D19DF1" w14:textId="77777777" w:rsidR="00ED3D7A" w:rsidRDefault="00ED3D7A" w:rsidP="00ED3D7A">
      <w:pPr>
        <w:pStyle w:val="Heading3"/>
      </w:pPr>
      <w:r>
        <w:t>Why you need three frameworks</w:t>
      </w:r>
    </w:p>
    <w:p w14:paraId="12A51AEB" w14:textId="77777777" w:rsidR="00ED3D7A" w:rsidRDefault="00ED3D7A" w:rsidP="00ED3D7A">
      <w:pPr>
        <w:spacing w:before="60" w:after="80"/>
        <w:jc w:val="both"/>
      </w:pPr>
      <w:r>
        <w:t>Two researchers can look at the same d' and CI and reach different conclusions if they use different decision frameworks. Tab 3 makes these frameworks explicit, computes the consequences of each, and recommends the one that minimises expected brand risk given your cost assumptions. [5, 10, 11]</w:t>
      </w:r>
    </w:p>
    <w:p w14:paraId="63066037" w14:textId="77777777" w:rsidR="00ED3D7A" w:rsidRDefault="00ED3D7A" w:rsidP="00ED3D7A">
      <w:pPr>
        <w:pStyle w:val="Heading3"/>
      </w:pPr>
      <w:r>
        <w:t>The three decision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3D7A" w14:paraId="051BACF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61CB0" w14:textId="77777777" w:rsidR="00ED3D7A" w:rsidRDefault="00ED3D7A" w:rsidP="006A6515">
            <w:r>
              <w:rPr>
                <w:b/>
                <w:bCs/>
                <w:color w:val="FFFFFF"/>
                <w:sz w:val="20"/>
                <w:szCs w:val="20"/>
              </w:rPr>
              <w:t>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A74556" w14:textId="77777777" w:rsidR="00ED3D7A" w:rsidRDefault="00ED3D7A" w:rsidP="006A6515">
            <w:r>
              <w:rPr>
                <w:b/>
                <w:bCs/>
                <w:color w:val="FFFFFF"/>
                <w:sz w:val="20"/>
                <w:szCs w:val="20"/>
              </w:rPr>
              <w:t>What it asks</w:t>
            </w:r>
          </w:p>
        </w:tc>
      </w:tr>
      <w:tr w:rsidR="00ED3D7A" w14:paraId="4E453063"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74677" w14:textId="77777777" w:rsidR="00ED3D7A" w:rsidRDefault="00ED3D7A" w:rsidP="006A6515">
            <w:r>
              <w:rPr>
                <w:color w:val="000000"/>
                <w:sz w:val="20"/>
                <w:szCs w:val="20"/>
              </w:rPr>
              <w:t>NHST (no significant difference)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708B1" w14:textId="77777777" w:rsidR="00ED3D7A" w:rsidRDefault="00ED3D7A" w:rsidP="006A6515">
            <w:r>
              <w:rPr>
                <w:color w:val="000000"/>
                <w:sz w:val="20"/>
                <w:szCs w:val="20"/>
              </w:rPr>
              <w:t xml:space="preserve">Is d' significantly different from zero? Ignores </w:t>
            </w:r>
            <w:proofErr w:type="spellStart"/>
            <w:r>
              <w:rPr>
                <w:color w:val="000000"/>
                <w:sz w:val="20"/>
                <w:szCs w:val="20"/>
              </w:rPr>
              <w:t>d_R</w:t>
            </w:r>
            <w:proofErr w:type="spellEnd"/>
            <w:r>
              <w:rPr>
                <w:color w:val="000000"/>
                <w:sz w:val="20"/>
                <w:szCs w:val="20"/>
              </w:rPr>
              <w:t xml:space="preserve"> entirely. Approves when the lower 95% CI does not exceed zero.</w:t>
            </w:r>
          </w:p>
        </w:tc>
      </w:tr>
      <w:tr w:rsidR="00ED3D7A" w14:paraId="0E107408"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E27BF" w14:textId="77777777" w:rsidR="00ED3D7A" w:rsidRDefault="00ED3D7A" w:rsidP="006A6515">
            <w:r>
              <w:rPr>
                <w:color w:val="000000"/>
                <w:sz w:val="20"/>
                <w:szCs w:val="20"/>
              </w:rPr>
              <w:t>Equivalence (TOST)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7A5CC" w14:textId="77777777" w:rsidR="00ED3D7A" w:rsidRDefault="00ED3D7A" w:rsidP="006A6515">
            <w:r>
              <w:rPr>
                <w:color w:val="000000"/>
                <w:sz w:val="20"/>
                <w:szCs w:val="20"/>
              </w:rPr>
              <w:t xml:space="preserve">Is the full 95% CI entirely below </w:t>
            </w:r>
            <w:proofErr w:type="spellStart"/>
            <w:r>
              <w:rPr>
                <w:color w:val="000000"/>
                <w:sz w:val="20"/>
                <w:szCs w:val="20"/>
              </w:rPr>
              <w:t>d_R</w:t>
            </w:r>
            <w:proofErr w:type="spellEnd"/>
            <w:r>
              <w:rPr>
                <w:color w:val="000000"/>
                <w:sz w:val="20"/>
                <w:szCs w:val="20"/>
              </w:rPr>
              <w:t>? A TOST-style test that directly uses the consumer-relevant threshold. Stricter than NHST for approvals.</w:t>
            </w:r>
          </w:p>
        </w:tc>
      </w:tr>
      <w:tr w:rsidR="00ED3D7A" w14:paraId="5D3662CC"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0001E" w14:textId="77777777" w:rsidR="00ED3D7A" w:rsidRDefault="00ED3D7A" w:rsidP="006A6515">
            <w:r>
              <w:rPr>
                <w:color w:val="000000"/>
                <w:sz w:val="20"/>
                <w:szCs w:val="20"/>
              </w:rPr>
              <w:lastRenderedPageBreak/>
              <w:t>Bayesian (flat prior)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154FE" w14:textId="77777777" w:rsidR="00ED3D7A" w:rsidRDefault="00ED3D7A" w:rsidP="006A6515">
            <w:proofErr w:type="gramStart"/>
            <w:r>
              <w:rPr>
                <w:color w:val="000000"/>
                <w:sz w:val="20"/>
                <w:szCs w:val="20"/>
              </w:rPr>
              <w:t>P(</w:t>
            </w:r>
            <w:proofErr w:type="gramEnd"/>
            <w:r>
              <w:rPr>
                <w:color w:val="000000"/>
                <w:sz w:val="20"/>
                <w:szCs w:val="20"/>
              </w:rPr>
              <w:t xml:space="preserve">true d' &lt; </w:t>
            </w:r>
            <w:proofErr w:type="spellStart"/>
            <w:r>
              <w:rPr>
                <w:color w:val="000000"/>
                <w:sz w:val="20"/>
                <w:szCs w:val="20"/>
              </w:rPr>
              <w:t>d_R</w:t>
            </w:r>
            <w:proofErr w:type="spellEnd"/>
            <w:r>
              <w:rPr>
                <w:color w:val="000000"/>
                <w:sz w:val="20"/>
                <w:szCs w:val="20"/>
              </w:rPr>
              <w:t xml:space="preserve"> | data). The probability that the difference is consumer-acceptable, computed under an uninformative flat prior on d'. Soft and continuous.</w:t>
            </w:r>
          </w:p>
        </w:tc>
      </w:tr>
    </w:tbl>
    <w:p w14:paraId="0A7913BD" w14:textId="77777777" w:rsidR="00ED3D7A" w:rsidRDefault="00ED3D7A" w:rsidP="00ED3D7A">
      <w:pPr>
        <w:spacing w:before="120"/>
      </w:pPr>
    </w:p>
    <w:p w14:paraId="61F6F527" w14:textId="77777777" w:rsidR="00ED3D7A" w:rsidRDefault="00ED3D7A" w:rsidP="00ED3D7A">
      <w:pPr>
        <w:spacing w:before="60" w:after="80"/>
        <w:jc w:val="both"/>
      </w:pPr>
      <w:r>
        <w:t xml:space="preserve">The smooth approval probabilities visible in the strategy table are derived from logistic functions applied to decision margins, rather than hard 0/1 thresholds. This ensures that the expected-loss curves are continuous near decision boundaries — a sharp boundary at d' = </w:t>
      </w:r>
      <w:proofErr w:type="spellStart"/>
      <w:r>
        <w:t>d_R</w:t>
      </w:r>
      <w:proofErr w:type="spellEnd"/>
      <w:r>
        <w:t xml:space="preserve"> would make the expected-loss landscape jagged and numerically unstable. [5]</w:t>
      </w:r>
    </w:p>
    <w:p w14:paraId="5A27BB8C" w14:textId="77777777" w:rsidR="00ED3D7A" w:rsidRDefault="00ED3D7A" w:rsidP="00ED3D7A">
      <w:pPr>
        <w:pStyle w:val="Heading3"/>
      </w:pPr>
      <w:r>
        <w:t>The green Recommendation Box</w:t>
      </w:r>
    </w:p>
    <w:p w14:paraId="4152D6A8" w14:textId="77777777" w:rsidR="00ED3D7A" w:rsidRDefault="00ED3D7A" w:rsidP="00ED3D7A">
      <w:pPr>
        <w:spacing w:before="60" w:after="80"/>
        <w:jc w:val="both"/>
      </w:pPr>
      <w:r>
        <w:t>This box at the top right of Tab 3 identifies the framework with the lowest expected loss under the current cost weights and context. It shows:</w:t>
      </w:r>
    </w:p>
    <w:p w14:paraId="2201BAFB" w14:textId="77777777" w:rsidR="00ED3D7A" w:rsidRDefault="00ED3D7A" w:rsidP="00ED3D7A">
      <w:pPr>
        <w:pStyle w:val="ListParagraph"/>
        <w:numPr>
          <w:ilvl w:val="0"/>
          <w:numId w:val="1"/>
        </w:numPr>
        <w:spacing w:before="40" w:after="40"/>
        <w:contextualSpacing w:val="0"/>
      </w:pPr>
      <w:r>
        <w:t>The recommended framework name</w:t>
      </w:r>
    </w:p>
    <w:p w14:paraId="376F01C1" w14:textId="77777777" w:rsidR="00ED3D7A" w:rsidRDefault="00ED3D7A" w:rsidP="00ED3D7A">
      <w:pPr>
        <w:pStyle w:val="ListParagraph"/>
        <w:numPr>
          <w:ilvl w:val="0"/>
          <w:numId w:val="1"/>
        </w:numPr>
        <w:spacing w:before="40" w:after="40"/>
        <w:contextualSpacing w:val="0"/>
      </w:pPr>
      <w:r>
        <w:t>Its expected loss value</w:t>
      </w:r>
    </w:p>
    <w:p w14:paraId="38A32966" w14:textId="77777777" w:rsidR="00ED3D7A" w:rsidRDefault="00ED3D7A" w:rsidP="00ED3D7A">
      <w:pPr>
        <w:pStyle w:val="ListParagraph"/>
        <w:numPr>
          <w:ilvl w:val="0"/>
          <w:numId w:val="1"/>
        </w:numPr>
        <w:spacing w:before="40" w:after="40"/>
        <w:contextualSpacing w:val="0"/>
      </w:pPr>
      <w:proofErr w:type="gramStart"/>
      <w:r>
        <w:t>P(</w:t>
      </w:r>
      <w:proofErr w:type="gramEnd"/>
      <w:r>
        <w:t xml:space="preserve">d' &lt; </w:t>
      </w:r>
      <w:proofErr w:type="spellStart"/>
      <w:r>
        <w:t>d_R</w:t>
      </w:r>
      <w:proofErr w:type="spellEnd"/>
      <w:r>
        <w:t xml:space="preserve"> | data) as a percentage (flat prior), giving you the consumer-relevant confidence</w:t>
      </w:r>
    </w:p>
    <w:p w14:paraId="6677F130" w14:textId="77777777" w:rsidR="00ED3D7A" w:rsidRDefault="00ED3D7A" w:rsidP="00ED3D7A">
      <w:pPr>
        <w:spacing w:before="120"/>
      </w:pPr>
    </w:p>
    <w:p w14:paraId="226CB50D" w14:textId="77777777" w:rsidR="00ED3D7A" w:rsidRDefault="00ED3D7A" w:rsidP="00ED3D7A">
      <w:pPr>
        <w:spacing w:before="60" w:after="80"/>
        <w:jc w:val="both"/>
      </w:pPr>
      <w:r>
        <w:t>This is the primary takeaway from Tab 3. The recommendation changes if you adjust the cost weights (missed difference vs false alarm) in the Strategy Inputs panel.</w:t>
      </w:r>
    </w:p>
    <w:p w14:paraId="3F6A7BCE" w14:textId="77777777" w:rsidR="00ED3D7A" w:rsidRDefault="00ED3D7A" w:rsidP="00ED3D7A">
      <w:pPr>
        <w:pStyle w:val="Heading3"/>
      </w:pPr>
      <w:r>
        <w:t>The Current Decision box</w:t>
      </w:r>
    </w:p>
    <w:p w14:paraId="731C5DA2" w14:textId="45A0DFE9" w:rsidR="00ED3D7A" w:rsidRDefault="001F0409" w:rsidP="00ED3D7A">
      <w:pPr>
        <w:spacing w:before="60" w:after="80"/>
        <w:jc w:val="both"/>
      </w:pPr>
      <w:r w:rsidRPr="001F0409">
        <w:t xml:space="preserve">For the observed d' and CI, this box shows the hard decision for each framework, alongside the smooth approval probability in grey. For the Bayesian rule there are three zones: APPROVE when </w:t>
      </w:r>
      <w:proofErr w:type="gramStart"/>
      <w:r w:rsidRPr="001F0409">
        <w:t>P(</w:t>
      </w:r>
      <w:proofErr w:type="gramEnd"/>
      <w:r w:rsidRPr="001F0409">
        <w:t xml:space="preserve">d' &lt; </w:t>
      </w:r>
      <w:proofErr w:type="spellStart"/>
      <w:r w:rsidRPr="001F0409">
        <w:t>d_R</w:t>
      </w:r>
      <w:proofErr w:type="spellEnd"/>
      <w:r w:rsidRPr="001F0409">
        <w:t xml:space="preserve"> | data) exceeds the chosen cutoff, BORDERLINE when it lies between 50% and the cutoff, and REJECT when it falls below 50%. The grey probability reconciles the text with the strategy table — when d' sits close to a boundary, the probability will be near 50%, reflecting genuine uncertainty.</w:t>
      </w:r>
      <w:r w:rsidRPr="001F0409">
        <w:t xml:space="preserve"> </w:t>
      </w:r>
      <w:r w:rsidR="00ED3D7A">
        <w:t>[5]</w:t>
      </w:r>
    </w:p>
    <w:p w14:paraId="2240FADA" w14:textId="77777777" w:rsidR="00ED3D7A" w:rsidRDefault="00ED3D7A" w:rsidP="00ED3D7A">
      <w:pPr>
        <w:pStyle w:val="Heading3"/>
      </w:pPr>
      <w:r>
        <w:t>The Decision Boundary plot</w:t>
      </w:r>
    </w:p>
    <w:p w14:paraId="31E43F5C" w14:textId="77777777" w:rsidR="00ED3D7A" w:rsidRDefault="00ED3D7A" w:rsidP="00ED3D7A">
      <w:pPr>
        <w:spacing w:before="60" w:after="80"/>
        <w:jc w:val="both"/>
      </w:pPr>
      <w:r>
        <w:t xml:space="preserve">This chart shows how each framework's approval probability changes across a range of hypothetical d' values. Legend labels are explicit: 'NHST (no sig. diff. from 0)', 'Equivalence (CI &lt; </w:t>
      </w:r>
      <w:proofErr w:type="spellStart"/>
      <w:r>
        <w:t>d_R</w:t>
      </w:r>
      <w:proofErr w:type="spellEnd"/>
      <w:r>
        <w:t xml:space="preserve">)', and 'Bayesian </w:t>
      </w:r>
      <w:proofErr w:type="gramStart"/>
      <w:r>
        <w:t>P(</w:t>
      </w:r>
      <w:proofErr w:type="gramEnd"/>
      <w:r>
        <w:t xml:space="preserve">d' &lt; </w:t>
      </w:r>
      <w:proofErr w:type="spellStart"/>
      <w:r>
        <w:t>d_R</w:t>
      </w:r>
      <w:proofErr w:type="spellEnd"/>
      <w:r>
        <w:t>) — flat prior'. Use it to understand:</w:t>
      </w:r>
    </w:p>
    <w:p w14:paraId="1C5F6ED0" w14:textId="77777777" w:rsidR="00ED3D7A" w:rsidRDefault="00ED3D7A" w:rsidP="00ED3D7A">
      <w:pPr>
        <w:pStyle w:val="ListParagraph"/>
        <w:numPr>
          <w:ilvl w:val="0"/>
          <w:numId w:val="1"/>
        </w:numPr>
        <w:spacing w:before="40" w:after="40"/>
        <w:contextualSpacing w:val="0"/>
      </w:pPr>
      <w:r>
        <w:t>Where NHST and Equivalence cross each other — NHST can approve a value that Equivalence rejects because their decision criteria are on different questions</w:t>
      </w:r>
    </w:p>
    <w:p w14:paraId="142AD27E" w14:textId="77777777" w:rsidR="00ED3D7A" w:rsidRDefault="00ED3D7A" w:rsidP="00ED3D7A">
      <w:pPr>
        <w:pStyle w:val="ListParagraph"/>
        <w:numPr>
          <w:ilvl w:val="0"/>
          <w:numId w:val="1"/>
        </w:numPr>
        <w:spacing w:before="40" w:after="40"/>
        <w:contextualSpacing w:val="0"/>
      </w:pPr>
      <w:r>
        <w:t xml:space="preserve">The Bayesian curve's gradual sigmoid — it never jumps discontinuously at </w:t>
      </w:r>
      <w:proofErr w:type="spellStart"/>
      <w:r>
        <w:t>d_R</w:t>
      </w:r>
      <w:proofErr w:type="spellEnd"/>
    </w:p>
    <w:p w14:paraId="49D9F6B4" w14:textId="77777777" w:rsidR="00ED3D7A" w:rsidRDefault="00ED3D7A" w:rsidP="00ED3D7A">
      <w:pPr>
        <w:pStyle w:val="ListParagraph"/>
        <w:numPr>
          <w:ilvl w:val="0"/>
          <w:numId w:val="1"/>
        </w:numPr>
        <w:spacing w:before="40" w:after="40"/>
        <w:contextualSpacing w:val="0"/>
      </w:pPr>
      <w:r>
        <w:t>How your observed d' (current vertical position) sits relative to all three boundaries</w:t>
      </w:r>
    </w:p>
    <w:p w14:paraId="49DA2371" w14:textId="77777777" w:rsidR="00ED3D7A" w:rsidRDefault="00ED3D7A" w:rsidP="00ED3D7A">
      <w:pPr>
        <w:pStyle w:val="Heading3"/>
      </w:pPr>
      <w:r>
        <w:t>The Strategy Comparison Table</w:t>
      </w:r>
    </w:p>
    <w:p w14:paraId="508E8DE7" w14:textId="77777777" w:rsidR="00ED3D7A" w:rsidRDefault="00ED3D7A" w:rsidP="00ED3D7A">
      <w:pPr>
        <w:spacing w:before="60" w:after="80"/>
        <w:jc w:val="both"/>
      </w:pPr>
      <w:r>
        <w:t xml:space="preserve">The table summarises, for each framework: </w:t>
      </w:r>
      <w:proofErr w:type="gramStart"/>
      <w:r>
        <w:t>P(</w:t>
      </w:r>
      <w:proofErr w:type="gramEnd"/>
      <w:r>
        <w:t xml:space="preserve">d' &lt; </w:t>
      </w:r>
      <w:proofErr w:type="spellStart"/>
      <w:r>
        <w:t>d_R</w:t>
      </w:r>
      <w:proofErr w:type="spellEnd"/>
      <w:r>
        <w:t xml:space="preserve">) [flat prior], P(Approve), </w:t>
      </w:r>
      <w:proofErr w:type="gramStart"/>
      <w:r>
        <w:t>P(</w:t>
      </w:r>
      <w:proofErr w:type="gramEnd"/>
      <w:r>
        <w:t xml:space="preserve">Approve and truly different), </w:t>
      </w:r>
      <w:proofErr w:type="gramStart"/>
      <w:r>
        <w:t>P(</w:t>
      </w:r>
      <w:proofErr w:type="gramEnd"/>
      <w:r>
        <w:t>Reject and truly similar), and the Expected Loss. The row with the lowest expected loss is highlighted green and marked with a star.</w:t>
      </w:r>
    </w:p>
    <w:p w14:paraId="07E6A752" w14:textId="77777777" w:rsidR="00ED3D7A" w:rsidRDefault="00ED3D7A" w:rsidP="00ED3D7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3D7A" w14:paraId="31B16F03" w14:textId="77777777" w:rsidTr="006A6515">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20" w:type="dxa"/>
              <w:left w:w="200" w:type="dxa"/>
              <w:bottom w:w="120" w:type="dxa"/>
              <w:right w:w="200" w:type="dxa"/>
            </w:tcMar>
          </w:tcPr>
          <w:p w14:paraId="36ADA472" w14:textId="77777777" w:rsidR="00ED3D7A" w:rsidRDefault="00ED3D7A" w:rsidP="006A6515">
            <w:pPr>
              <w:spacing w:after="60"/>
            </w:pPr>
            <w:r>
              <w:rPr>
                <w:b/>
                <w:bCs/>
              </w:rPr>
              <w:t>How Expected Loss is calculated</w:t>
            </w:r>
          </w:p>
          <w:p w14:paraId="3E8A70F9" w14:textId="77777777" w:rsidR="00ED3D7A" w:rsidRDefault="00ED3D7A" w:rsidP="006A6515">
            <w:pPr>
              <w:spacing w:before="60" w:after="80"/>
              <w:jc w:val="both"/>
            </w:pPr>
            <w:proofErr w:type="spellStart"/>
            <w:r>
              <w:t>p_sim</w:t>
            </w:r>
            <w:proofErr w:type="spellEnd"/>
            <w:r>
              <w:t xml:space="preserve"> = </w:t>
            </w:r>
            <w:proofErr w:type="gramStart"/>
            <w:r>
              <w:t>P(</w:t>
            </w:r>
            <w:proofErr w:type="gramEnd"/>
            <w:r>
              <w:t xml:space="preserve">d' &lt; </w:t>
            </w:r>
            <w:proofErr w:type="spellStart"/>
            <w:r>
              <w:t>d_R</w:t>
            </w:r>
            <w:proofErr w:type="spellEnd"/>
            <w:r>
              <w:t xml:space="preserve"> | data) — probability the product is consumer-acceptable</w:t>
            </w:r>
          </w:p>
          <w:p w14:paraId="601CC5D7" w14:textId="77777777" w:rsidR="00ED3D7A" w:rsidRDefault="00ED3D7A" w:rsidP="006A6515">
            <w:pPr>
              <w:spacing w:before="60" w:after="80"/>
              <w:jc w:val="both"/>
            </w:pPr>
            <w:proofErr w:type="spellStart"/>
            <w:r>
              <w:t>p_diff</w:t>
            </w:r>
            <w:proofErr w:type="spellEnd"/>
            <w:r>
              <w:t xml:space="preserve"> = 1 - </w:t>
            </w:r>
            <w:proofErr w:type="spellStart"/>
            <w:r>
              <w:t>p_sim</w:t>
            </w:r>
            <w:proofErr w:type="spellEnd"/>
            <w:r>
              <w:t xml:space="preserve"> — probability it is not</w:t>
            </w:r>
          </w:p>
          <w:p w14:paraId="4ADEAA96" w14:textId="77777777" w:rsidR="00ED3D7A" w:rsidRDefault="00ED3D7A" w:rsidP="006A6515">
            <w:pPr>
              <w:spacing w:before="60" w:after="80"/>
              <w:jc w:val="both"/>
            </w:pPr>
            <w:r>
              <w:t xml:space="preserve">Expected Loss = </w:t>
            </w:r>
            <w:proofErr w:type="spellStart"/>
            <w:r>
              <w:t>cost_miss</w:t>
            </w:r>
            <w:proofErr w:type="spellEnd"/>
            <w:r>
              <w:t xml:space="preserve"> x </w:t>
            </w:r>
            <w:proofErr w:type="spellStart"/>
            <w:r>
              <w:t>p_diff</w:t>
            </w:r>
            <w:proofErr w:type="spellEnd"/>
            <w:r>
              <w:t xml:space="preserve"> x P(Approve) + </w:t>
            </w:r>
            <w:proofErr w:type="spellStart"/>
            <w:r>
              <w:t>cost_alarm</w:t>
            </w:r>
            <w:proofErr w:type="spellEnd"/>
            <w:r>
              <w:t xml:space="preserve"> x </w:t>
            </w:r>
            <w:proofErr w:type="spellStart"/>
            <w:r>
              <w:t>p_sim</w:t>
            </w:r>
            <w:proofErr w:type="spellEnd"/>
            <w:r>
              <w:t xml:space="preserve"> x P(Reject)</w:t>
            </w:r>
          </w:p>
          <w:p w14:paraId="5B432265" w14:textId="77777777" w:rsidR="00ED3D7A" w:rsidRDefault="00ED3D7A" w:rsidP="006A6515">
            <w:pPr>
              <w:spacing w:before="40"/>
            </w:pPr>
          </w:p>
          <w:p w14:paraId="398B57BB" w14:textId="77777777" w:rsidR="00ED3D7A" w:rsidRDefault="00ED3D7A" w:rsidP="006A6515">
            <w:pPr>
              <w:spacing w:before="60" w:after="80"/>
              <w:jc w:val="both"/>
            </w:pPr>
            <w:proofErr w:type="spellStart"/>
            <w:r>
              <w:lastRenderedPageBreak/>
              <w:t>cost_miss</w:t>
            </w:r>
            <w:proofErr w:type="spellEnd"/>
            <w:r>
              <w:t xml:space="preserve"> is the relative cost of approving a product change that consumers will </w:t>
            </w:r>
            <w:proofErr w:type="gramStart"/>
            <w:r>
              <w:t>actually notice</w:t>
            </w:r>
            <w:proofErr w:type="gramEnd"/>
            <w:r>
              <w:t xml:space="preserve"> (a missed difference). </w:t>
            </w:r>
            <w:proofErr w:type="spellStart"/>
            <w:r>
              <w:t>cost_alarm</w:t>
            </w:r>
            <w:proofErr w:type="spellEnd"/>
            <w:r>
              <w:t xml:space="preserve"> is the cost of rejecting a change that consumers would not have noticed (a false alarm). These defaults are set by the decision context but can be adjusted manually. [5, 10, 11]</w:t>
            </w:r>
          </w:p>
        </w:tc>
      </w:tr>
    </w:tbl>
    <w:p w14:paraId="7EFC83E7" w14:textId="77777777" w:rsidR="00ED3D7A" w:rsidRDefault="00ED3D7A" w:rsidP="00ED3D7A">
      <w:pPr>
        <w:pStyle w:val="Heading3"/>
      </w:pPr>
      <w:r>
        <w:lastRenderedPageBreak/>
        <w:t>The Expected Loss vs N curve</w:t>
      </w:r>
    </w:p>
    <w:p w14:paraId="3467F0A6" w14:textId="43D251AB" w:rsidR="00ED3D7A" w:rsidRDefault="001D4F91" w:rsidP="00ED3D7A">
      <w:r w:rsidRPr="001D4F91">
        <w:t>This plot simulates, for the active method and context, how the expected loss of each framework would change if N were varied between 10 and 250 panelists, assuming an assumed true d' set by the slider in the Strategy Inputs panel. The loss is always evaluated relative to the consumer</w:t>
      </w:r>
      <w:r w:rsidRPr="001D4F91">
        <w:rPr>
          <w:rFonts w:ascii="Cambria Math" w:hAnsi="Cambria Math" w:cs="Cambria Math"/>
        </w:rPr>
        <w:t>‑</w:t>
      </w:r>
      <w:r w:rsidRPr="001D4F91">
        <w:t xml:space="preserve">relevant threshold </w:t>
      </w:r>
      <w:proofErr w:type="spellStart"/>
      <w:r w:rsidRPr="001D4F91">
        <w:t>d_R</w:t>
      </w:r>
      <w:proofErr w:type="spellEnd"/>
      <w:r w:rsidRPr="001D4F91">
        <w:t xml:space="preserve">, but you can choose whether the true effect is smaller or larger than </w:t>
      </w:r>
      <w:proofErr w:type="spellStart"/>
      <w:r w:rsidRPr="001D4F91">
        <w:t>d_R</w:t>
      </w:r>
      <w:proofErr w:type="spellEnd"/>
      <w:r w:rsidRPr="001D4F91">
        <w:t>. It helps you visualise how much extra N reduces brand risk under each framework for different plausible true effect sizes.</w:t>
      </w:r>
    </w:p>
    <w:p w14:paraId="057980FD" w14:textId="77777777" w:rsidR="00ED3D7A" w:rsidRPr="00ED3D7A" w:rsidRDefault="00ED3D7A" w:rsidP="00ED3D7A">
      <w:pPr>
        <w:pStyle w:val="Heading2"/>
        <w:rPr>
          <w:b/>
          <w:bCs/>
        </w:rPr>
      </w:pPr>
      <w:proofErr w:type="gramStart"/>
      <w:r w:rsidRPr="00ED3D7A">
        <w:rPr>
          <w:b/>
          <w:bCs/>
        </w:rPr>
        <w:t>2.4  Tab</w:t>
      </w:r>
      <w:proofErr w:type="gramEnd"/>
      <w:r w:rsidRPr="00ED3D7A">
        <w:rPr>
          <w:b/>
          <w:bCs/>
        </w:rPr>
        <w:t xml:space="preserve"> 4 — Scenario Projector</w:t>
      </w:r>
    </w:p>
    <w:p w14:paraId="21561AB1" w14:textId="77777777" w:rsidR="00ED3D7A" w:rsidRDefault="00ED3D7A" w:rsidP="00ED3D7A">
      <w:pPr>
        <w:spacing w:before="60" w:after="100"/>
        <w:jc w:val="both"/>
      </w:pPr>
      <w:r>
        <w:rPr>
          <w:i/>
          <w:iCs/>
          <w:color w:val="444444"/>
        </w:rPr>
        <w:t>“Across all our ongoing tests, where are we exposed to brand risk?”</w:t>
      </w:r>
    </w:p>
    <w:p w14:paraId="7F4AB54A" w14:textId="77777777" w:rsidR="00ED3D7A" w:rsidRDefault="00ED3D7A" w:rsidP="00ED3D7A">
      <w:pPr>
        <w:pStyle w:val="Heading3"/>
      </w:pPr>
      <w:r>
        <w:t>The executive question</w:t>
      </w:r>
    </w:p>
    <w:p w14:paraId="7019D28A" w14:textId="77777777" w:rsidR="00ED3D7A" w:rsidRDefault="00ED3D7A" w:rsidP="00ED3D7A">
      <w:pPr>
        <w:spacing w:before="60" w:after="80"/>
        <w:jc w:val="both"/>
      </w:pPr>
      <w:r>
        <w:t>The first three tabs analyse a single test. Tab 4 zooms out to your entire sensory programme — a portfolio of concurrent projects — and gives a single integrated view of where brand risk is concentrated, how many tests are underpowered, and what it would cost in panel hours to improve the risk profile.</w:t>
      </w:r>
    </w:p>
    <w:p w14:paraId="29AEDF50" w14:textId="77777777" w:rsidR="00ED3D7A" w:rsidRDefault="00ED3D7A" w:rsidP="00ED3D7A">
      <w:pPr>
        <w:pStyle w:val="Heading3"/>
      </w:pPr>
      <w:r>
        <w:t>Adding projects</w:t>
      </w:r>
    </w:p>
    <w:p w14:paraId="34B9B82F" w14:textId="77777777" w:rsidR="00ED3D7A" w:rsidRDefault="00ED3D7A" w:rsidP="00ED3D7A">
      <w:pPr>
        <w:spacing w:before="60" w:after="80"/>
        <w:jc w:val="both"/>
      </w:pPr>
      <w:r>
        <w:t>Click 'Add Project' in the left panel. For each project, enter:</w:t>
      </w:r>
    </w:p>
    <w:p w14:paraId="53DBBEC9" w14:textId="77777777" w:rsidR="00ED3D7A" w:rsidRDefault="00ED3D7A" w:rsidP="00ED3D7A">
      <w:pPr>
        <w:pStyle w:val="ListParagraph"/>
        <w:numPr>
          <w:ilvl w:val="0"/>
          <w:numId w:val="1"/>
        </w:numPr>
        <w:spacing w:before="40" w:after="40"/>
        <w:contextualSpacing w:val="0"/>
      </w:pPr>
      <w:r>
        <w:t>Project name</w:t>
      </w:r>
    </w:p>
    <w:p w14:paraId="30330B73" w14:textId="77777777" w:rsidR="00ED3D7A" w:rsidRDefault="00ED3D7A" w:rsidP="00ED3D7A">
      <w:pPr>
        <w:pStyle w:val="ListParagraph"/>
        <w:numPr>
          <w:ilvl w:val="0"/>
          <w:numId w:val="1"/>
        </w:numPr>
        <w:spacing w:before="40" w:after="40"/>
        <w:contextualSpacing w:val="0"/>
      </w:pPr>
      <w:r>
        <w:t>Discrimination method</w:t>
      </w:r>
    </w:p>
    <w:p w14:paraId="314AF9DE" w14:textId="77777777" w:rsidR="00ED3D7A" w:rsidRDefault="00ED3D7A" w:rsidP="00ED3D7A">
      <w:pPr>
        <w:pStyle w:val="ListParagraph"/>
        <w:numPr>
          <w:ilvl w:val="0"/>
          <w:numId w:val="1"/>
        </w:numPr>
        <w:spacing w:before="40" w:after="40"/>
        <w:contextualSpacing w:val="0"/>
      </w:pPr>
      <w:r>
        <w:t>N and X (panelists and correct responses)</w:t>
      </w:r>
    </w:p>
    <w:p w14:paraId="2460913E" w14:textId="77777777" w:rsidR="00ED3D7A" w:rsidRDefault="00ED3D7A" w:rsidP="00ED3D7A">
      <w:pPr>
        <w:pStyle w:val="ListParagraph"/>
        <w:numPr>
          <w:ilvl w:val="0"/>
          <w:numId w:val="1"/>
        </w:numPr>
        <w:spacing w:before="40" w:after="40"/>
        <w:contextualSpacing w:val="0"/>
      </w:pPr>
      <w:r>
        <w:t xml:space="preserve">Decision context (this imports </w:t>
      </w:r>
      <w:proofErr w:type="spellStart"/>
      <w:r>
        <w:t>d_R</w:t>
      </w:r>
      <w:proofErr w:type="spellEnd"/>
      <w:r>
        <w:t>, alpha, target power, and cost weights)</w:t>
      </w:r>
    </w:p>
    <w:p w14:paraId="27B0B7F7" w14:textId="77777777" w:rsidR="00ED3D7A" w:rsidRDefault="00ED3D7A" w:rsidP="00ED3D7A">
      <w:pPr>
        <w:pStyle w:val="ListParagraph"/>
        <w:numPr>
          <w:ilvl w:val="0"/>
          <w:numId w:val="1"/>
        </w:numPr>
        <w:spacing w:before="40" w:after="40"/>
        <w:contextualSpacing w:val="0"/>
      </w:pPr>
      <w:r>
        <w:t>Strategic importance — High, Medium, or Low</w:t>
      </w:r>
    </w:p>
    <w:p w14:paraId="418E3A4C" w14:textId="77777777" w:rsidR="00ED3D7A" w:rsidRDefault="00ED3D7A" w:rsidP="00ED3D7A">
      <w:pPr>
        <w:pStyle w:val="ListParagraph"/>
        <w:numPr>
          <w:ilvl w:val="0"/>
          <w:numId w:val="1"/>
        </w:numPr>
        <w:spacing w:before="40" w:after="40"/>
        <w:contextualSpacing w:val="0"/>
      </w:pPr>
      <w:r>
        <w:t>Panel hours for this study</w:t>
      </w:r>
    </w:p>
    <w:p w14:paraId="085F5EF6" w14:textId="77777777" w:rsidR="00ED3D7A" w:rsidRDefault="00ED3D7A" w:rsidP="00ED3D7A">
      <w:pPr>
        <w:spacing w:before="120"/>
      </w:pPr>
    </w:p>
    <w:p w14:paraId="4DCAC5AE" w14:textId="77777777" w:rsidR="00ED3D7A" w:rsidRDefault="00ED3D7A" w:rsidP="00ED3D7A">
      <w:pPr>
        <w:spacing w:before="60" w:after="80"/>
        <w:jc w:val="both"/>
      </w:pPr>
      <w:r>
        <w:t>Press Add to insert the row. Press Clear to reset the entire portfolio. You can add as many projects as needed.</w:t>
      </w:r>
    </w:p>
    <w:p w14:paraId="770E7488" w14:textId="77777777" w:rsidR="00ED3D7A" w:rsidRDefault="00ED3D7A" w:rsidP="00ED3D7A">
      <w:pPr>
        <w:pStyle w:val="Heading3"/>
      </w:pPr>
      <w:r>
        <w:t>The Portfolio Risk Grid</w:t>
      </w:r>
    </w:p>
    <w:p w14:paraId="00997AD3" w14:textId="77777777" w:rsidR="00ED3D7A" w:rsidRDefault="00ED3D7A" w:rsidP="00ED3D7A">
      <w:pPr>
        <w:spacing w:before="60" w:after="80"/>
        <w:jc w:val="both"/>
      </w:pPr>
      <w:r>
        <w:t>The main table shows every project with the following computed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3D7A" w14:paraId="4C7C0FD7"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9960B" w14:textId="77777777" w:rsidR="00ED3D7A" w:rsidRDefault="00ED3D7A" w:rsidP="006A6515">
            <w:r>
              <w:rPr>
                <w:b/>
                <w:bCs/>
                <w:color w:val="FFFFFF"/>
                <w:sz w:val="20"/>
                <w:szCs w:val="20"/>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CDEFF9" w14:textId="77777777" w:rsidR="00ED3D7A" w:rsidRDefault="00ED3D7A" w:rsidP="006A6515">
            <w:r>
              <w:rPr>
                <w:b/>
                <w:bCs/>
                <w:color w:val="FFFFFF"/>
                <w:sz w:val="20"/>
                <w:szCs w:val="20"/>
              </w:rPr>
              <w:t>Meaning</w:t>
            </w:r>
          </w:p>
        </w:tc>
      </w:tr>
      <w:tr w:rsidR="00ED3D7A" w14:paraId="2F8B4D37"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88E4F" w14:textId="77777777" w:rsidR="00ED3D7A" w:rsidRDefault="00ED3D7A" w:rsidP="006A6515">
            <w:r>
              <w:rPr>
                <w:color w:val="000000"/>
                <w:sz w:val="20"/>
                <w:szCs w:val="20"/>
              </w:rPr>
              <w:t>Observed 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8596D" w14:textId="77777777" w:rsidR="00ED3D7A" w:rsidRDefault="00ED3D7A" w:rsidP="006A6515">
            <w:r>
              <w:rPr>
                <w:color w:val="000000"/>
                <w:sz w:val="20"/>
                <w:szCs w:val="20"/>
              </w:rPr>
              <w:t>Sensitivity index from the entered N and X</w:t>
            </w:r>
          </w:p>
        </w:tc>
      </w:tr>
      <w:tr w:rsidR="00ED3D7A" w14:paraId="306DE4A6"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0DAE" w14:textId="77777777" w:rsidR="00ED3D7A" w:rsidRDefault="00ED3D7A" w:rsidP="006A6515">
            <w:r>
              <w:rPr>
                <w:color w:val="000000"/>
                <w:sz w:val="20"/>
                <w:szCs w:val="20"/>
              </w:rPr>
              <w:t xml:space="preserve">Power at </w:t>
            </w:r>
            <w:proofErr w:type="spellStart"/>
            <w:r>
              <w:rPr>
                <w:color w:val="000000"/>
                <w:sz w:val="20"/>
                <w:szCs w:val="20"/>
              </w:rPr>
              <w:t>d_R</w:t>
            </w:r>
            <w:proofErr w:type="spellEnd"/>
            <w:r>
              <w:rPr>
                <w:color w:val="000000"/>
                <w:sz w:val="20"/>
                <w:szCs w:val="20"/>
              </w:rPr>
              <w:t xml:space="preserve"> (%)</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7666" w14:textId="77777777" w:rsidR="00ED3D7A" w:rsidRDefault="00ED3D7A" w:rsidP="006A6515">
            <w:r>
              <w:rPr>
                <w:color w:val="000000"/>
                <w:sz w:val="20"/>
                <w:szCs w:val="20"/>
              </w:rPr>
              <w:t xml:space="preserve">Statistical power to detect </w:t>
            </w:r>
            <w:proofErr w:type="spellStart"/>
            <w:r>
              <w:rPr>
                <w:color w:val="000000"/>
                <w:sz w:val="20"/>
                <w:szCs w:val="20"/>
              </w:rPr>
              <w:t>d_R</w:t>
            </w:r>
            <w:proofErr w:type="spellEnd"/>
            <w:r>
              <w:rPr>
                <w:color w:val="000000"/>
                <w:sz w:val="20"/>
                <w:szCs w:val="20"/>
              </w:rPr>
              <w:t xml:space="preserve"> with the current N and context alpha</w:t>
            </w:r>
          </w:p>
        </w:tc>
      </w:tr>
      <w:tr w:rsidR="00ED3D7A" w14:paraId="56630BA2"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973A0" w14:textId="77777777" w:rsidR="00ED3D7A" w:rsidRDefault="00ED3D7A" w:rsidP="006A6515">
            <w:r>
              <w:rPr>
                <w:color w:val="000000"/>
                <w:sz w:val="20"/>
                <w:szCs w:val="20"/>
              </w:rPr>
              <w:t>Brand safety score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560E5" w14:textId="77777777" w:rsidR="00ED3D7A" w:rsidRDefault="00ED3D7A" w:rsidP="006A6515">
            <w:proofErr w:type="gramStart"/>
            <w:r>
              <w:rPr>
                <w:color w:val="000000"/>
                <w:sz w:val="20"/>
                <w:szCs w:val="20"/>
              </w:rPr>
              <w:t>P(</w:t>
            </w:r>
            <w:proofErr w:type="gramEnd"/>
            <w:r>
              <w:rPr>
                <w:color w:val="000000"/>
                <w:sz w:val="20"/>
                <w:szCs w:val="20"/>
              </w:rPr>
              <w:t xml:space="preserve">true d' &lt; </w:t>
            </w:r>
            <w:proofErr w:type="spellStart"/>
            <w:r>
              <w:rPr>
                <w:color w:val="000000"/>
                <w:sz w:val="20"/>
                <w:szCs w:val="20"/>
              </w:rPr>
              <w:t>d_R</w:t>
            </w:r>
            <w:proofErr w:type="spellEnd"/>
            <w:r>
              <w:rPr>
                <w:color w:val="000000"/>
                <w:sz w:val="20"/>
                <w:szCs w:val="20"/>
              </w:rPr>
              <w:t xml:space="preserve"> | data), the consumer-relevant confidence</w:t>
            </w:r>
          </w:p>
        </w:tc>
      </w:tr>
      <w:tr w:rsidR="00ED3D7A" w14:paraId="372630D0"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2198C" w14:textId="77777777" w:rsidR="00ED3D7A" w:rsidRDefault="00ED3D7A" w:rsidP="006A6515">
            <w:r>
              <w:rPr>
                <w:color w:val="000000"/>
                <w:sz w:val="20"/>
                <w:szCs w:val="20"/>
              </w:rPr>
              <w:t>Brand risk (exp. loss)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E594" w14:textId="77777777" w:rsidR="00ED3D7A" w:rsidRDefault="00ED3D7A" w:rsidP="006A6515">
            <w:r>
              <w:rPr>
                <w:color w:val="000000"/>
                <w:sz w:val="20"/>
                <w:szCs w:val="20"/>
              </w:rPr>
              <w:t>Expected loss under the best-strategy framework for this project</w:t>
            </w:r>
          </w:p>
        </w:tc>
      </w:tr>
      <w:tr w:rsidR="00ED3D7A" w14:paraId="5AE5D98A" w14:textId="77777777" w:rsidTr="006A6515">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B716E" w14:textId="77777777" w:rsidR="00ED3D7A" w:rsidRDefault="00ED3D7A" w:rsidP="006A6515">
            <w:r>
              <w:rPr>
                <w:color w:val="000000"/>
                <w:sz w:val="20"/>
                <w:szCs w:val="20"/>
              </w:rPr>
              <w:t>Risk status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B68F2" w14:textId="77777777" w:rsidR="00ED3D7A" w:rsidRDefault="00ED3D7A" w:rsidP="006A6515">
            <w:r>
              <w:rPr>
                <w:color w:val="000000"/>
                <w:sz w:val="20"/>
                <w:szCs w:val="20"/>
              </w:rPr>
              <w:t>Green / Amber / Red flag (see below)</w:t>
            </w:r>
          </w:p>
        </w:tc>
      </w:tr>
    </w:tbl>
    <w:p w14:paraId="3ED763DE" w14:textId="77777777" w:rsidR="00ED3D7A" w:rsidRDefault="00ED3D7A" w:rsidP="00ED3D7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ED3D7A" w14:paraId="69FCCAEE" w14:textId="77777777" w:rsidTr="006A6515">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1F023B" w14:textId="77777777" w:rsidR="00ED3D7A" w:rsidRDefault="00ED3D7A" w:rsidP="006A6515">
            <w:r>
              <w:rPr>
                <w:b/>
                <w:bCs/>
                <w:color w:val="FFFFFF"/>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A56F53" w14:textId="77777777" w:rsidR="00ED3D7A" w:rsidRDefault="00ED3D7A" w:rsidP="006A6515">
            <w:r>
              <w:rPr>
                <w:b/>
                <w:bCs/>
                <w:color w:val="FFFFFF"/>
                <w:sz w:val="20"/>
                <w:szCs w:val="20"/>
              </w:rPr>
              <w:t>Meaning</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AC671E" w14:textId="77777777" w:rsidR="00ED3D7A" w:rsidRDefault="00ED3D7A" w:rsidP="006A6515">
            <w:r>
              <w:rPr>
                <w:b/>
                <w:bCs/>
                <w:color w:val="FFFFFF"/>
                <w:sz w:val="20"/>
                <w:szCs w:val="20"/>
              </w:rPr>
              <w:t>Condition</w:t>
            </w:r>
          </w:p>
        </w:tc>
      </w:tr>
      <w:tr w:rsidR="00ED3D7A" w14:paraId="64E1EA6C" w14:textId="77777777" w:rsidTr="006A6515">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01EEEB" w14:textId="77777777" w:rsidR="00ED3D7A" w:rsidRDefault="00ED3D7A" w:rsidP="006A6515">
            <w:r>
              <w:rPr>
                <w:color w:val="000000"/>
                <w:sz w:val="20"/>
                <w:szCs w:val="20"/>
              </w:rPr>
              <w:lastRenderedPageBreak/>
              <w:t>Green — Low Risk</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377AC6" w14:textId="77777777" w:rsidR="00ED3D7A" w:rsidRDefault="00ED3D7A" w:rsidP="006A6515">
            <w:r>
              <w:rPr>
                <w:color w:val="000000"/>
                <w:sz w:val="20"/>
                <w:szCs w:val="20"/>
              </w:rPr>
              <w:t>Safe to proceed</w:t>
            </w:r>
          </w:p>
        </w:tc>
        <w:tc>
          <w:tcPr>
            <w:tcW w:w="4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6DC9C2" w14:textId="77777777" w:rsidR="00ED3D7A" w:rsidRDefault="00ED3D7A" w:rsidP="006A6515">
            <w:r>
              <w:rPr>
                <w:color w:val="000000"/>
                <w:sz w:val="20"/>
                <w:szCs w:val="20"/>
              </w:rPr>
              <w:t>Power &gt;= target AND Brand safety score &gt;= 0.80</w:t>
            </w:r>
          </w:p>
        </w:tc>
      </w:tr>
      <w:tr w:rsidR="00ED3D7A" w14:paraId="6DB482E0" w14:textId="77777777" w:rsidTr="006A6515">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EB0DFF" w14:textId="77777777" w:rsidR="00ED3D7A" w:rsidRDefault="00ED3D7A" w:rsidP="006A6515">
            <w:r>
              <w:rPr>
                <w:color w:val="000000"/>
                <w:sz w:val="20"/>
                <w:szCs w:val="20"/>
              </w:rPr>
              <w:t>Amber — Moderate Risk</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84C487" w14:textId="77777777" w:rsidR="00ED3D7A" w:rsidRDefault="00ED3D7A" w:rsidP="006A6515">
            <w:r>
              <w:rPr>
                <w:color w:val="000000"/>
                <w:sz w:val="20"/>
                <w:szCs w:val="20"/>
              </w:rPr>
              <w:t>Monitor closely</w:t>
            </w:r>
          </w:p>
        </w:tc>
        <w:tc>
          <w:tcPr>
            <w:tcW w:w="4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746787" w14:textId="77777777" w:rsidR="00ED3D7A" w:rsidRDefault="00ED3D7A" w:rsidP="006A6515">
            <w:r>
              <w:rPr>
                <w:color w:val="000000"/>
                <w:sz w:val="20"/>
                <w:szCs w:val="20"/>
              </w:rPr>
              <w:t>Power OK but safety score 0.60-0.80</w:t>
            </w:r>
          </w:p>
        </w:tc>
      </w:tr>
      <w:tr w:rsidR="00ED3D7A" w14:paraId="53131EBF" w14:textId="77777777" w:rsidTr="006A6515">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10DCD9A" w14:textId="77777777" w:rsidR="00ED3D7A" w:rsidRDefault="00ED3D7A" w:rsidP="006A6515">
            <w:r>
              <w:rPr>
                <w:color w:val="000000"/>
                <w:sz w:val="20"/>
                <w:szCs w:val="20"/>
              </w:rPr>
              <w:t>Red — High Risk</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9955B18" w14:textId="77777777" w:rsidR="00ED3D7A" w:rsidRDefault="00ED3D7A" w:rsidP="006A6515">
            <w:r>
              <w:rPr>
                <w:color w:val="000000"/>
                <w:sz w:val="20"/>
                <w:szCs w:val="20"/>
              </w:rPr>
              <w:t>Action needed</w:t>
            </w:r>
          </w:p>
        </w:tc>
        <w:tc>
          <w:tcPr>
            <w:tcW w:w="4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D492DF" w14:textId="77777777" w:rsidR="00ED3D7A" w:rsidRDefault="00ED3D7A" w:rsidP="006A6515">
            <w:r>
              <w:rPr>
                <w:color w:val="000000"/>
                <w:sz w:val="20"/>
                <w:szCs w:val="20"/>
              </w:rPr>
              <w:t>Underpowered OR safety score &lt; 0.60</w:t>
            </w:r>
          </w:p>
        </w:tc>
      </w:tr>
    </w:tbl>
    <w:p w14:paraId="1F8F65E6" w14:textId="77777777" w:rsidR="00ED3D7A" w:rsidRDefault="00ED3D7A" w:rsidP="00ED3D7A">
      <w:pPr>
        <w:spacing w:before="120"/>
      </w:pPr>
    </w:p>
    <w:p w14:paraId="5B44F13C" w14:textId="77777777" w:rsidR="00ED3D7A" w:rsidRDefault="00ED3D7A" w:rsidP="00ED3D7A">
      <w:pPr>
        <w:pStyle w:val="Heading3"/>
      </w:pPr>
      <w:r>
        <w:t>What-If Controls</w:t>
      </w:r>
    </w:p>
    <w:p w14:paraId="7EE76BFA" w14:textId="77777777" w:rsidR="00ED3D7A" w:rsidRDefault="00ED3D7A" w:rsidP="00ED3D7A">
      <w:pPr>
        <w:spacing w:before="60" w:after="80"/>
        <w:jc w:val="both"/>
      </w:pPr>
      <w:r>
        <w:t>Two sliders let you run prospective planning scenarios on the entire portfolio at once:</w:t>
      </w:r>
    </w:p>
    <w:p w14:paraId="0F264637" w14:textId="77777777" w:rsidR="00ED3D7A" w:rsidRDefault="00ED3D7A" w:rsidP="00ED3D7A">
      <w:pPr>
        <w:pStyle w:val="ListParagraph"/>
        <w:numPr>
          <w:ilvl w:val="0"/>
          <w:numId w:val="1"/>
        </w:numPr>
        <w:spacing w:before="40" w:after="40"/>
        <w:contextualSpacing w:val="0"/>
      </w:pPr>
      <w:r>
        <w:rPr>
          <w:b/>
          <w:bCs/>
        </w:rPr>
        <w:t>Increase all N by (</w:t>
      </w:r>
      <w:proofErr w:type="gramStart"/>
      <w:r>
        <w:rPr>
          <w:b/>
          <w:bCs/>
        </w:rPr>
        <w:t xml:space="preserve">%)  </w:t>
      </w:r>
      <w:r>
        <w:t>—</w:t>
      </w:r>
      <w:proofErr w:type="gramEnd"/>
      <w:r>
        <w:t xml:space="preserve"> Applies a percentage increase to every project's N. Crucially, this recalculates statistical power only. Observed d' and the brand safety score remain anchored to the original data. This is a forward-looking power question, not a re-analysis of existing data.</w:t>
      </w:r>
    </w:p>
    <w:p w14:paraId="4A607124" w14:textId="77777777" w:rsidR="00ED3D7A" w:rsidRDefault="00ED3D7A" w:rsidP="00ED3D7A">
      <w:pPr>
        <w:pStyle w:val="ListParagraph"/>
        <w:numPr>
          <w:ilvl w:val="0"/>
          <w:numId w:val="1"/>
        </w:numPr>
        <w:spacing w:before="40" w:after="40"/>
        <w:contextualSpacing w:val="0"/>
      </w:pPr>
      <w:r>
        <w:rPr>
          <w:b/>
          <w:bCs/>
        </w:rPr>
        <w:t xml:space="preserve">Tighten alpha </w:t>
      </w:r>
      <w:proofErr w:type="gramStart"/>
      <w:r>
        <w:rPr>
          <w:b/>
          <w:bCs/>
        </w:rPr>
        <w:t xml:space="preserve">to  </w:t>
      </w:r>
      <w:r>
        <w:t>—</w:t>
      </w:r>
      <w:proofErr w:type="gramEnd"/>
      <w:r>
        <w:t xml:space="preserve"> Reduces the significance threshold across all projects, showing the power cost of a more conservative decision policy.</w:t>
      </w:r>
    </w:p>
    <w:p w14:paraId="70E13EA7" w14:textId="77777777" w:rsidR="00ED3D7A" w:rsidRDefault="00ED3D7A" w:rsidP="00ED3D7A">
      <w:pPr>
        <w:pStyle w:val="Heading3"/>
      </w:pPr>
      <w:r>
        <w:t>Portfolio summary metrics</w:t>
      </w:r>
    </w:p>
    <w:p w14:paraId="0C2D7EF0" w14:textId="77777777" w:rsidR="00ED3D7A" w:rsidRDefault="00ED3D7A" w:rsidP="00ED3D7A">
      <w:pPr>
        <w:spacing w:before="60" w:after="80"/>
        <w:jc w:val="both"/>
      </w:pPr>
      <w:r>
        <w:t>Three headline numbers update in real time as you adjust the what-if sliders:</w:t>
      </w:r>
    </w:p>
    <w:p w14:paraId="486B70D0" w14:textId="77777777" w:rsidR="00ED3D7A" w:rsidRDefault="00ED3D7A" w:rsidP="00ED3D7A">
      <w:pPr>
        <w:pStyle w:val="ListParagraph"/>
        <w:numPr>
          <w:ilvl w:val="0"/>
          <w:numId w:val="1"/>
        </w:numPr>
        <w:spacing w:before="40" w:after="40"/>
        <w:contextualSpacing w:val="0"/>
      </w:pPr>
      <w:r>
        <w:t>Total Panel Hours — the sum of all panel hours entered, useful for resource planning</w:t>
      </w:r>
    </w:p>
    <w:p w14:paraId="5CD3BB2B" w14:textId="77777777" w:rsidR="00ED3D7A" w:rsidRDefault="00ED3D7A" w:rsidP="00ED3D7A">
      <w:pPr>
        <w:pStyle w:val="ListParagraph"/>
        <w:numPr>
          <w:ilvl w:val="0"/>
          <w:numId w:val="1"/>
        </w:numPr>
        <w:spacing w:before="40" w:after="40"/>
        <w:contextualSpacing w:val="0"/>
      </w:pPr>
      <w:r>
        <w:t xml:space="preserve">Tests Below Target Power — number of projects currently underpowered at their context </w:t>
      </w:r>
      <w:proofErr w:type="spellStart"/>
      <w:r>
        <w:t>d_R</w:t>
      </w:r>
      <w:proofErr w:type="spellEnd"/>
    </w:p>
    <w:p w14:paraId="41C05822" w14:textId="77777777" w:rsidR="00ED3D7A" w:rsidRDefault="00ED3D7A" w:rsidP="00ED3D7A">
      <w:pPr>
        <w:pStyle w:val="ListParagraph"/>
        <w:numPr>
          <w:ilvl w:val="0"/>
          <w:numId w:val="1"/>
        </w:numPr>
        <w:spacing w:before="40" w:after="40"/>
        <w:contextualSpacing w:val="0"/>
      </w:pPr>
      <w:r>
        <w:t>Portfolio Brand Risk (High-importance) — the sum of expected loss across High-importance projects only. This is the KPI most relevant to senior stakeholders.</w:t>
      </w:r>
    </w:p>
    <w:p w14:paraId="6E90C844" w14:textId="77777777" w:rsidR="00ED3D7A" w:rsidRDefault="00ED3D7A" w:rsidP="00ED3D7A"/>
    <w:p w14:paraId="4E11399D" w14:textId="77777777" w:rsidR="00ED3D7A" w:rsidRDefault="00ED3D7A" w:rsidP="00ED3D7A"/>
    <w:p w14:paraId="3B877CAB" w14:textId="77777777" w:rsidR="00ED3D7A" w:rsidRPr="00ED3D7A" w:rsidRDefault="00ED3D7A" w:rsidP="00ED3D7A">
      <w:pPr>
        <w:pStyle w:val="Heading2"/>
        <w:rPr>
          <w:b/>
          <w:bCs/>
          <w:sz w:val="44"/>
          <w:szCs w:val="44"/>
        </w:rPr>
      </w:pPr>
      <w:r w:rsidRPr="00ED3D7A">
        <w:rPr>
          <w:b/>
          <w:bCs/>
          <w:sz w:val="44"/>
          <w:szCs w:val="44"/>
        </w:rPr>
        <w:t>Key Assumptions</w:t>
      </w:r>
    </w:p>
    <w:p w14:paraId="57C68FD9" w14:textId="77777777" w:rsidR="00ED3D7A" w:rsidRDefault="00ED3D7A" w:rsidP="00ED3D7A">
      <w:pPr>
        <w:spacing w:before="60" w:after="80"/>
        <w:jc w:val="both"/>
      </w:pPr>
      <w:r>
        <w:t xml:space="preserve">The dashboard operates under the following statistical and psychophysical assumptions. Users should verify </w:t>
      </w:r>
      <w:proofErr w:type="gramStart"/>
      <w:r>
        <w:t>these hold</w:t>
      </w:r>
      <w:proofErr w:type="gramEnd"/>
      <w:r>
        <w:t xml:space="preserve"> for their specific study design:</w:t>
      </w:r>
    </w:p>
    <w:p w14:paraId="77896EF7" w14:textId="77777777" w:rsidR="00ED3D7A" w:rsidRDefault="00ED3D7A" w:rsidP="00ED3D7A">
      <w:pPr>
        <w:pStyle w:val="ListParagraph"/>
        <w:numPr>
          <w:ilvl w:val="0"/>
          <w:numId w:val="1"/>
        </w:numPr>
        <w:spacing w:before="40" w:after="40"/>
        <w:contextualSpacing w:val="0"/>
      </w:pPr>
      <w:r>
        <w:t xml:space="preserve">Equal-variance </w:t>
      </w:r>
      <w:proofErr w:type="spellStart"/>
      <w:r>
        <w:t>Thurstonian</w:t>
      </w:r>
      <w:proofErr w:type="spellEnd"/>
      <w:r>
        <w:t xml:space="preserve"> model — both reference and test product distributions have the same standard deviation on the latent sensory dimension. [1, 2]</w:t>
      </w:r>
    </w:p>
    <w:p w14:paraId="6E72F296" w14:textId="77777777" w:rsidR="00ED3D7A" w:rsidRDefault="00ED3D7A" w:rsidP="00ED3D7A">
      <w:pPr>
        <w:pStyle w:val="ListParagraph"/>
        <w:numPr>
          <w:ilvl w:val="0"/>
          <w:numId w:val="1"/>
        </w:numPr>
        <w:spacing w:before="40" w:after="40"/>
        <w:contextualSpacing w:val="0"/>
      </w:pPr>
      <w:r>
        <w:t xml:space="preserve">Independent Bernoulli trials — each </w:t>
      </w:r>
      <w:proofErr w:type="spellStart"/>
      <w:r>
        <w:t>panelist's</w:t>
      </w:r>
      <w:proofErr w:type="spellEnd"/>
      <w:r>
        <w:t xml:space="preserve"> response is independent, with constant probability pc under H0. No fatigue, order, or carry-over effects. [1]</w:t>
      </w:r>
    </w:p>
    <w:p w14:paraId="4AD1643F" w14:textId="77777777" w:rsidR="00ED3D7A" w:rsidRDefault="00ED3D7A" w:rsidP="00ED3D7A">
      <w:pPr>
        <w:pStyle w:val="ListParagraph"/>
        <w:numPr>
          <w:ilvl w:val="0"/>
          <w:numId w:val="1"/>
        </w:numPr>
        <w:spacing w:before="40" w:after="40"/>
        <w:contextualSpacing w:val="0"/>
      </w:pPr>
      <w:r>
        <w:t>Method-specific protocol correctly implemented — in particular: Duo-Trio uses the constant-reference variant (R always presented first); A-not-A panelists are trained and have an internalised reference; Triangle uses balanced sequences. [2, 3]</w:t>
      </w:r>
    </w:p>
    <w:p w14:paraId="5DFF932F" w14:textId="77777777" w:rsidR="00ED3D7A" w:rsidRDefault="00ED3D7A" w:rsidP="00ED3D7A">
      <w:pPr>
        <w:pStyle w:val="ListParagraph"/>
        <w:numPr>
          <w:ilvl w:val="0"/>
          <w:numId w:val="1"/>
        </w:numPr>
        <w:spacing w:before="40" w:after="40"/>
        <w:contextualSpacing w:val="0"/>
      </w:pPr>
      <w:r>
        <w:t>Normal approximation for d' CI — Wald confidence intervals are valid for N &gt; 30 and pa not too close to 0 or 1. Exact likelihood CIs may be preferable for small N. [8]</w:t>
      </w:r>
    </w:p>
    <w:p w14:paraId="30BE6B29" w14:textId="77777777" w:rsidR="00ED3D7A" w:rsidRDefault="00ED3D7A" w:rsidP="00ED3D7A">
      <w:pPr>
        <w:pStyle w:val="ListParagraph"/>
        <w:numPr>
          <w:ilvl w:val="0"/>
          <w:numId w:val="1"/>
        </w:numPr>
        <w:spacing w:before="40" w:after="40"/>
        <w:contextualSpacing w:val="0"/>
      </w:pPr>
      <w:r>
        <w:t xml:space="preserve">Flat prior for Bayesian confidence — </w:t>
      </w:r>
      <w:proofErr w:type="gramStart"/>
      <w:r>
        <w:t>P(</w:t>
      </w:r>
      <w:proofErr w:type="gramEnd"/>
      <w:r>
        <w:t xml:space="preserve">d' &lt; </w:t>
      </w:r>
      <w:proofErr w:type="spellStart"/>
      <w:r>
        <w:t>d_R</w:t>
      </w:r>
      <w:proofErr w:type="spellEnd"/>
      <w:r>
        <w:t xml:space="preserve"> | data) assumes no prior information about the true d'. If prior data exists, this can be replaced with an informative prior. [11]</w:t>
      </w:r>
    </w:p>
    <w:p w14:paraId="66BEA9DD" w14:textId="77777777" w:rsidR="00ED3D7A" w:rsidRDefault="00ED3D7A" w:rsidP="00ED3D7A"/>
    <w:p w14:paraId="42A0334C" w14:textId="77777777" w:rsidR="00ED3D7A" w:rsidRDefault="00ED3D7A" w:rsidP="00ED3D7A"/>
    <w:p w14:paraId="71919BA2" w14:textId="77777777" w:rsidR="008B1F8D" w:rsidRPr="008B1F8D" w:rsidRDefault="008B1F8D" w:rsidP="008B1F8D">
      <w:pPr>
        <w:pStyle w:val="Heading2"/>
        <w:rPr>
          <w:b/>
          <w:bCs/>
        </w:rPr>
      </w:pPr>
      <w:r w:rsidRPr="008B1F8D">
        <w:rPr>
          <w:b/>
          <w:bCs/>
        </w:rPr>
        <w:t>References</w:t>
      </w:r>
    </w:p>
    <w:p w14:paraId="7A0C9693" w14:textId="77777777" w:rsidR="008B1F8D" w:rsidRDefault="008B1F8D" w:rsidP="008B1F8D">
      <w:pPr>
        <w:spacing w:before="50" w:after="60"/>
        <w:ind w:left="360" w:hanging="360"/>
      </w:pPr>
      <w:r>
        <w:rPr>
          <w:b/>
          <w:bCs/>
          <w:color w:val="2E75B6"/>
          <w:sz w:val="20"/>
          <w:szCs w:val="20"/>
        </w:rPr>
        <w:t>[1</w:t>
      </w:r>
      <w:proofErr w:type="gramStart"/>
      <w:r>
        <w:rPr>
          <w:b/>
          <w:bCs/>
          <w:color w:val="2E75B6"/>
          <w:sz w:val="20"/>
          <w:szCs w:val="20"/>
        </w:rPr>
        <w:t xml:space="preserve">]  </w:t>
      </w:r>
      <w:r>
        <w:rPr>
          <w:sz w:val="20"/>
          <w:szCs w:val="20"/>
        </w:rPr>
        <w:t>Ennis</w:t>
      </w:r>
      <w:proofErr w:type="gramEnd"/>
      <w:r>
        <w:rPr>
          <w:sz w:val="20"/>
          <w:szCs w:val="20"/>
        </w:rPr>
        <w:t>, D.M. (1993). The power of sensory discrimination methods. Journal of Sensory Studies, 8(4), 353-370. doi:10.1111/j.1745-459X.1993.tb00262.x</w:t>
      </w:r>
    </w:p>
    <w:p w14:paraId="4FF98800" w14:textId="77777777" w:rsidR="008B1F8D" w:rsidRDefault="008B1F8D" w:rsidP="008B1F8D">
      <w:pPr>
        <w:spacing w:before="50" w:after="60"/>
        <w:ind w:left="360" w:hanging="360"/>
      </w:pPr>
      <w:r>
        <w:rPr>
          <w:b/>
          <w:bCs/>
          <w:color w:val="2E75B6"/>
          <w:sz w:val="20"/>
          <w:szCs w:val="20"/>
        </w:rPr>
        <w:lastRenderedPageBreak/>
        <w:t>[2</w:t>
      </w:r>
      <w:proofErr w:type="gramStart"/>
      <w:r>
        <w:rPr>
          <w:b/>
          <w:bCs/>
          <w:color w:val="2E75B6"/>
          <w:sz w:val="20"/>
          <w:szCs w:val="20"/>
        </w:rPr>
        <w:t xml:space="preserve">]  </w:t>
      </w:r>
      <w:r>
        <w:rPr>
          <w:sz w:val="20"/>
          <w:szCs w:val="20"/>
        </w:rPr>
        <w:t>Christensen</w:t>
      </w:r>
      <w:proofErr w:type="gramEnd"/>
      <w:r>
        <w:rPr>
          <w:sz w:val="20"/>
          <w:szCs w:val="20"/>
        </w:rPr>
        <w:t xml:space="preserve">, R.H.B., &amp; Brockhoff, P.B. </w:t>
      </w:r>
      <w:proofErr w:type="spellStart"/>
      <w:r>
        <w:rPr>
          <w:sz w:val="20"/>
          <w:szCs w:val="20"/>
        </w:rPr>
        <w:t>sensR</w:t>
      </w:r>
      <w:proofErr w:type="spellEnd"/>
      <w:r>
        <w:rPr>
          <w:sz w:val="20"/>
          <w:szCs w:val="20"/>
        </w:rPr>
        <w:t xml:space="preserve">: An R-package for </w:t>
      </w:r>
      <w:proofErr w:type="spellStart"/>
      <w:r>
        <w:rPr>
          <w:sz w:val="20"/>
          <w:szCs w:val="20"/>
        </w:rPr>
        <w:t>Thurstonian</w:t>
      </w:r>
      <w:proofErr w:type="spellEnd"/>
      <w:r>
        <w:rPr>
          <w:sz w:val="20"/>
          <w:szCs w:val="20"/>
        </w:rPr>
        <w:t xml:space="preserve"> modelling of sensory discrimination experiments. CRAN. https://cran.r-project.org/web/packages/sensR/sensR.pdf</w:t>
      </w:r>
    </w:p>
    <w:p w14:paraId="32E358EB" w14:textId="77777777" w:rsidR="008B1F8D" w:rsidRDefault="008B1F8D" w:rsidP="008B1F8D">
      <w:pPr>
        <w:spacing w:before="50" w:after="60"/>
        <w:ind w:left="360" w:hanging="360"/>
      </w:pPr>
      <w:r>
        <w:rPr>
          <w:b/>
          <w:bCs/>
          <w:color w:val="2E75B6"/>
          <w:sz w:val="20"/>
          <w:szCs w:val="20"/>
        </w:rPr>
        <w:t>[3</w:t>
      </w:r>
      <w:proofErr w:type="gramStart"/>
      <w:r>
        <w:rPr>
          <w:b/>
          <w:bCs/>
          <w:color w:val="2E75B6"/>
          <w:sz w:val="20"/>
          <w:szCs w:val="20"/>
        </w:rPr>
        <w:t xml:space="preserve">]  </w:t>
      </w:r>
      <w:r>
        <w:rPr>
          <w:sz w:val="20"/>
          <w:szCs w:val="20"/>
        </w:rPr>
        <w:t>Brockhoff</w:t>
      </w:r>
      <w:proofErr w:type="gramEnd"/>
      <w:r>
        <w:rPr>
          <w:sz w:val="20"/>
          <w:szCs w:val="20"/>
        </w:rPr>
        <w:t xml:space="preserve">, P.B., &amp; Christensen, R.H.B. (2010). </w:t>
      </w:r>
      <w:proofErr w:type="spellStart"/>
      <w:r>
        <w:rPr>
          <w:sz w:val="20"/>
          <w:szCs w:val="20"/>
        </w:rPr>
        <w:t>Thurstonian</w:t>
      </w:r>
      <w:proofErr w:type="spellEnd"/>
      <w:r>
        <w:rPr>
          <w:sz w:val="20"/>
          <w:szCs w:val="20"/>
        </w:rPr>
        <w:t xml:space="preserve"> models for sensory discrimination tests as generalized linear models. Food Quality and Preference, 21(3), 330-338. </w:t>
      </w:r>
      <w:proofErr w:type="gramStart"/>
      <w:r>
        <w:rPr>
          <w:sz w:val="20"/>
          <w:szCs w:val="20"/>
        </w:rPr>
        <w:t>doi:10.1016/j.foodqual</w:t>
      </w:r>
      <w:proofErr w:type="gramEnd"/>
      <w:r>
        <w:rPr>
          <w:sz w:val="20"/>
          <w:szCs w:val="20"/>
        </w:rPr>
        <w:t>.2009.04.003</w:t>
      </w:r>
    </w:p>
    <w:p w14:paraId="56D6FEF2" w14:textId="77777777" w:rsidR="008B1F8D" w:rsidRDefault="008B1F8D" w:rsidP="008B1F8D">
      <w:pPr>
        <w:spacing w:before="50" w:after="60"/>
        <w:ind w:left="360" w:hanging="360"/>
      </w:pPr>
      <w:r>
        <w:rPr>
          <w:b/>
          <w:bCs/>
          <w:color w:val="2E75B6"/>
          <w:sz w:val="20"/>
          <w:szCs w:val="20"/>
        </w:rPr>
        <w:t>[4</w:t>
      </w:r>
      <w:proofErr w:type="gramStart"/>
      <w:r>
        <w:rPr>
          <w:b/>
          <w:bCs/>
          <w:color w:val="2E75B6"/>
          <w:sz w:val="20"/>
          <w:szCs w:val="20"/>
        </w:rPr>
        <w:t xml:space="preserve">]  </w:t>
      </w:r>
      <w:r>
        <w:rPr>
          <w:sz w:val="20"/>
          <w:szCs w:val="20"/>
        </w:rPr>
        <w:t>Ennis</w:t>
      </w:r>
      <w:proofErr w:type="gramEnd"/>
      <w:r>
        <w:rPr>
          <w:sz w:val="20"/>
          <w:szCs w:val="20"/>
        </w:rPr>
        <w:t xml:space="preserve">, D.M., &amp; </w:t>
      </w:r>
      <w:proofErr w:type="spellStart"/>
      <w:r>
        <w:rPr>
          <w:sz w:val="20"/>
          <w:szCs w:val="20"/>
        </w:rPr>
        <w:t>Jesionka</w:t>
      </w:r>
      <w:proofErr w:type="spellEnd"/>
      <w:r>
        <w:rPr>
          <w:sz w:val="20"/>
          <w:szCs w:val="20"/>
        </w:rPr>
        <w:t>, V. (2011). The power of sensory discrimination methods revisited. Journal of Sensory Studies, 26(5), 371-382. doi:10.1111/j.1745-459X.</w:t>
      </w:r>
      <w:proofErr w:type="gramStart"/>
      <w:r>
        <w:rPr>
          <w:sz w:val="20"/>
          <w:szCs w:val="20"/>
        </w:rPr>
        <w:t>2011.00353.x</w:t>
      </w:r>
      <w:proofErr w:type="gramEnd"/>
    </w:p>
    <w:p w14:paraId="10FF6003" w14:textId="77777777" w:rsidR="008B1F8D" w:rsidRDefault="008B1F8D" w:rsidP="008B1F8D">
      <w:pPr>
        <w:spacing w:before="50" w:after="60"/>
        <w:ind w:left="360" w:hanging="360"/>
      </w:pPr>
      <w:r>
        <w:rPr>
          <w:b/>
          <w:bCs/>
          <w:color w:val="2E75B6"/>
          <w:sz w:val="20"/>
          <w:szCs w:val="20"/>
        </w:rPr>
        <w:t>[5</w:t>
      </w:r>
      <w:proofErr w:type="gramStart"/>
      <w:r>
        <w:rPr>
          <w:b/>
          <w:bCs/>
          <w:color w:val="2E75B6"/>
          <w:sz w:val="20"/>
          <w:szCs w:val="20"/>
        </w:rPr>
        <w:t xml:space="preserve">]  </w:t>
      </w:r>
      <w:proofErr w:type="spellStart"/>
      <w:r>
        <w:rPr>
          <w:sz w:val="20"/>
          <w:szCs w:val="20"/>
        </w:rPr>
        <w:t>Meyners</w:t>
      </w:r>
      <w:proofErr w:type="spellEnd"/>
      <w:proofErr w:type="gramEnd"/>
      <w:r>
        <w:rPr>
          <w:sz w:val="20"/>
          <w:szCs w:val="20"/>
        </w:rPr>
        <w:t xml:space="preserve">, M., &amp; </w:t>
      </w:r>
      <w:proofErr w:type="spellStart"/>
      <w:r>
        <w:rPr>
          <w:sz w:val="20"/>
          <w:szCs w:val="20"/>
        </w:rPr>
        <w:t>Castura</w:t>
      </w:r>
      <w:proofErr w:type="spellEnd"/>
      <w:r>
        <w:rPr>
          <w:sz w:val="20"/>
          <w:szCs w:val="20"/>
        </w:rPr>
        <w:t xml:space="preserve">, J.C. (2014). Check-All-That-Apply questions — Efficient or superfluous? A comparison with paired preference questions, Eu. Food Res. Technol. Comprehensive review of consumer-relevant decision context. Food Quality and Preference, 42, 41-54. </w:t>
      </w:r>
      <w:proofErr w:type="gramStart"/>
      <w:r>
        <w:rPr>
          <w:sz w:val="20"/>
          <w:szCs w:val="20"/>
        </w:rPr>
        <w:t>doi:10.1016/j.foodqual</w:t>
      </w:r>
      <w:proofErr w:type="gramEnd"/>
      <w:r>
        <w:rPr>
          <w:sz w:val="20"/>
          <w:szCs w:val="20"/>
        </w:rPr>
        <w:t>.2015.01.012</w:t>
      </w:r>
    </w:p>
    <w:p w14:paraId="3012FB41" w14:textId="77777777" w:rsidR="008B1F8D" w:rsidRDefault="008B1F8D" w:rsidP="008B1F8D">
      <w:pPr>
        <w:spacing w:before="50" w:after="60"/>
        <w:ind w:left="360" w:hanging="360"/>
      </w:pPr>
      <w:r>
        <w:rPr>
          <w:b/>
          <w:bCs/>
          <w:color w:val="2E75B6"/>
          <w:sz w:val="20"/>
          <w:szCs w:val="20"/>
        </w:rPr>
        <w:t>[6</w:t>
      </w:r>
      <w:proofErr w:type="gramStart"/>
      <w:r>
        <w:rPr>
          <w:b/>
          <w:bCs/>
          <w:color w:val="2E75B6"/>
          <w:sz w:val="20"/>
          <w:szCs w:val="20"/>
        </w:rPr>
        <w:t xml:space="preserve">]  </w:t>
      </w:r>
      <w:r>
        <w:rPr>
          <w:sz w:val="20"/>
          <w:szCs w:val="20"/>
        </w:rPr>
        <w:t>Linander</w:t>
      </w:r>
      <w:proofErr w:type="gramEnd"/>
      <w:r>
        <w:rPr>
          <w:sz w:val="20"/>
          <w:szCs w:val="20"/>
        </w:rPr>
        <w:t>, C.B. (2018). Sensory Discrimination and Sensory Threshold. PhD thesis, DTU Compute, Denmark. https://orbit.dtu.dk/files/158810348/phd480_Linander_CB.pdf</w:t>
      </w:r>
    </w:p>
    <w:p w14:paraId="633DADE0" w14:textId="77777777" w:rsidR="008B1F8D" w:rsidRDefault="008B1F8D" w:rsidP="008B1F8D">
      <w:pPr>
        <w:spacing w:before="50" w:after="60"/>
        <w:ind w:left="360" w:hanging="360"/>
      </w:pPr>
      <w:r>
        <w:rPr>
          <w:b/>
          <w:bCs/>
          <w:color w:val="2E75B6"/>
          <w:sz w:val="20"/>
          <w:szCs w:val="20"/>
        </w:rPr>
        <w:t>[7</w:t>
      </w:r>
      <w:proofErr w:type="gramStart"/>
      <w:r>
        <w:rPr>
          <w:b/>
          <w:bCs/>
          <w:color w:val="2E75B6"/>
          <w:sz w:val="20"/>
          <w:szCs w:val="20"/>
        </w:rPr>
        <w:t xml:space="preserve">]  </w:t>
      </w:r>
      <w:r>
        <w:rPr>
          <w:sz w:val="20"/>
          <w:szCs w:val="20"/>
        </w:rPr>
        <w:t>Macmillan</w:t>
      </w:r>
      <w:proofErr w:type="gramEnd"/>
      <w:r>
        <w:rPr>
          <w:sz w:val="20"/>
          <w:szCs w:val="20"/>
        </w:rPr>
        <w:t>, N.A., &amp; Creelman, C.D. (2005). Detection Theory: A User's Guide (2nd ed.). Lawrence Erlbaum Associates.</w:t>
      </w:r>
    </w:p>
    <w:p w14:paraId="50444C3B" w14:textId="77777777" w:rsidR="008B1F8D" w:rsidRDefault="008B1F8D" w:rsidP="008B1F8D">
      <w:pPr>
        <w:spacing w:before="50" w:after="60"/>
        <w:ind w:left="360" w:hanging="360"/>
      </w:pPr>
      <w:r>
        <w:rPr>
          <w:b/>
          <w:bCs/>
          <w:color w:val="2E75B6"/>
          <w:sz w:val="20"/>
          <w:szCs w:val="20"/>
        </w:rPr>
        <w:t>[8</w:t>
      </w:r>
      <w:proofErr w:type="gramStart"/>
      <w:r>
        <w:rPr>
          <w:b/>
          <w:bCs/>
          <w:color w:val="2E75B6"/>
          <w:sz w:val="20"/>
          <w:szCs w:val="20"/>
        </w:rPr>
        <w:t xml:space="preserve">]  </w:t>
      </w:r>
      <w:r>
        <w:rPr>
          <w:sz w:val="20"/>
          <w:szCs w:val="20"/>
        </w:rPr>
        <w:t>Stanislaw</w:t>
      </w:r>
      <w:proofErr w:type="gramEnd"/>
      <w:r>
        <w:rPr>
          <w:sz w:val="20"/>
          <w:szCs w:val="20"/>
        </w:rPr>
        <w:t xml:space="preserve">, H., &amp; Todorov, N. (1999). Calculation of signal detection theory measures. </w:t>
      </w:r>
      <w:proofErr w:type="spellStart"/>
      <w:r>
        <w:rPr>
          <w:sz w:val="20"/>
          <w:szCs w:val="20"/>
        </w:rPr>
        <w:t>Behavior</w:t>
      </w:r>
      <w:proofErr w:type="spellEnd"/>
      <w:r>
        <w:rPr>
          <w:sz w:val="20"/>
          <w:szCs w:val="20"/>
        </w:rPr>
        <w:t xml:space="preserve"> Research Methods, Instruments, &amp; Computers, 31(1), 137-149. doi:10.3758/BF03207704</w:t>
      </w:r>
    </w:p>
    <w:p w14:paraId="672D55D0" w14:textId="77777777" w:rsidR="008B1F8D" w:rsidRDefault="008B1F8D" w:rsidP="008B1F8D">
      <w:pPr>
        <w:spacing w:before="50" w:after="60"/>
        <w:ind w:left="360" w:hanging="360"/>
      </w:pPr>
      <w:r>
        <w:rPr>
          <w:b/>
          <w:bCs/>
          <w:color w:val="2E75B6"/>
          <w:sz w:val="20"/>
          <w:szCs w:val="20"/>
        </w:rPr>
        <w:t>[9</w:t>
      </w:r>
      <w:proofErr w:type="gramStart"/>
      <w:r>
        <w:rPr>
          <w:b/>
          <w:bCs/>
          <w:color w:val="2E75B6"/>
          <w:sz w:val="20"/>
          <w:szCs w:val="20"/>
        </w:rPr>
        <w:t xml:space="preserve">]  </w:t>
      </w:r>
      <w:r>
        <w:rPr>
          <w:sz w:val="20"/>
          <w:szCs w:val="20"/>
        </w:rPr>
        <w:t>Christensen</w:t>
      </w:r>
      <w:proofErr w:type="gramEnd"/>
      <w:r>
        <w:rPr>
          <w:sz w:val="20"/>
          <w:szCs w:val="20"/>
        </w:rPr>
        <w:t xml:space="preserve">, R.H.B. </w:t>
      </w:r>
      <w:proofErr w:type="spellStart"/>
      <w:r>
        <w:rPr>
          <w:sz w:val="20"/>
          <w:szCs w:val="20"/>
        </w:rPr>
        <w:t>discrimSS</w:t>
      </w:r>
      <w:proofErr w:type="spellEnd"/>
      <w:r>
        <w:rPr>
          <w:sz w:val="20"/>
          <w:szCs w:val="20"/>
        </w:rPr>
        <w:t>: Sample size for sensory discrimination. https://rdrr.io/cran/sensR/man/discrimSS.html</w:t>
      </w:r>
    </w:p>
    <w:p w14:paraId="5141F95C" w14:textId="77777777" w:rsidR="008B1F8D" w:rsidRDefault="008B1F8D" w:rsidP="008B1F8D">
      <w:pPr>
        <w:spacing w:before="50" w:after="60"/>
        <w:ind w:left="360" w:hanging="360"/>
      </w:pPr>
      <w:r>
        <w:rPr>
          <w:b/>
          <w:bCs/>
          <w:color w:val="2E75B6"/>
          <w:sz w:val="20"/>
          <w:szCs w:val="20"/>
        </w:rPr>
        <w:t>[10</w:t>
      </w:r>
      <w:proofErr w:type="gramStart"/>
      <w:r>
        <w:rPr>
          <w:b/>
          <w:bCs/>
          <w:color w:val="2E75B6"/>
          <w:sz w:val="20"/>
          <w:szCs w:val="20"/>
        </w:rPr>
        <w:t xml:space="preserve">]  </w:t>
      </w:r>
      <w:r>
        <w:rPr>
          <w:sz w:val="20"/>
          <w:szCs w:val="20"/>
        </w:rPr>
        <w:t>Bi</w:t>
      </w:r>
      <w:proofErr w:type="gramEnd"/>
      <w:r>
        <w:rPr>
          <w:sz w:val="20"/>
          <w:szCs w:val="20"/>
        </w:rPr>
        <w:t>, J. (2015). Sensory Discrimination Tests and Measurements: Fundamentals, Procedures and Tables (2nd ed.). Wiley-Blackwell. doi:10.1002/9781118764671</w:t>
      </w:r>
    </w:p>
    <w:p w14:paraId="6B080E5E" w14:textId="77777777" w:rsidR="008B1F8D" w:rsidRDefault="008B1F8D" w:rsidP="008B1F8D">
      <w:pPr>
        <w:spacing w:before="50" w:after="60"/>
        <w:ind w:left="360" w:hanging="360"/>
      </w:pPr>
      <w:r>
        <w:rPr>
          <w:b/>
          <w:bCs/>
          <w:color w:val="2E75B6"/>
          <w:sz w:val="20"/>
          <w:szCs w:val="20"/>
        </w:rPr>
        <w:t>[11</w:t>
      </w:r>
      <w:proofErr w:type="gramStart"/>
      <w:r>
        <w:rPr>
          <w:b/>
          <w:bCs/>
          <w:color w:val="2E75B6"/>
          <w:sz w:val="20"/>
          <w:szCs w:val="20"/>
        </w:rPr>
        <w:t xml:space="preserve">]  </w:t>
      </w:r>
      <w:r>
        <w:rPr>
          <w:sz w:val="20"/>
          <w:szCs w:val="20"/>
        </w:rPr>
        <w:t>The</w:t>
      </w:r>
      <w:proofErr w:type="gramEnd"/>
      <w:r>
        <w:rPr>
          <w:sz w:val="20"/>
          <w:szCs w:val="20"/>
        </w:rPr>
        <w:t xml:space="preserve"> Institute for Perception (2024). Consumer-relevant confidence in sensory difference tests. Technical Report TR-21-2. https://www.ifpress.com/tr-21-2</w:t>
      </w:r>
    </w:p>
    <w:p w14:paraId="2F1B796F" w14:textId="77777777" w:rsidR="00ED3D7A" w:rsidRDefault="00ED3D7A" w:rsidP="00ED3D7A"/>
    <w:sectPr w:rsidR="00ED3D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DAD8" w14:textId="77777777" w:rsidR="00F64282" w:rsidRDefault="00F64282" w:rsidP="00452418">
      <w:r>
        <w:separator/>
      </w:r>
    </w:p>
  </w:endnote>
  <w:endnote w:type="continuationSeparator" w:id="0">
    <w:p w14:paraId="3B24BB63" w14:textId="77777777" w:rsidR="00F64282" w:rsidRDefault="00F64282" w:rsidP="00452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64651" w14:textId="77777777" w:rsidR="00F64282" w:rsidRDefault="00F64282" w:rsidP="00452418">
      <w:r>
        <w:separator/>
      </w:r>
    </w:p>
  </w:footnote>
  <w:footnote w:type="continuationSeparator" w:id="0">
    <w:p w14:paraId="1A68B2C4" w14:textId="77777777" w:rsidR="00F64282" w:rsidRDefault="00F64282" w:rsidP="00452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B2C"/>
    <w:multiLevelType w:val="hybridMultilevel"/>
    <w:tmpl w:val="D45A2368"/>
    <w:lvl w:ilvl="0" w:tplc="AAA89C84">
      <w:start w:val="1"/>
      <w:numFmt w:val="bullet"/>
      <w:lvlText w:val="•"/>
      <w:lvlJc w:val="left"/>
      <w:pPr>
        <w:ind w:left="720" w:hanging="360"/>
      </w:pPr>
    </w:lvl>
    <w:lvl w:ilvl="1" w:tplc="DAC65D7A">
      <w:numFmt w:val="decimal"/>
      <w:lvlText w:val=""/>
      <w:lvlJc w:val="left"/>
    </w:lvl>
    <w:lvl w:ilvl="2" w:tplc="9FF02352">
      <w:numFmt w:val="decimal"/>
      <w:lvlText w:val=""/>
      <w:lvlJc w:val="left"/>
    </w:lvl>
    <w:lvl w:ilvl="3" w:tplc="7ED67A9E">
      <w:numFmt w:val="decimal"/>
      <w:lvlText w:val=""/>
      <w:lvlJc w:val="left"/>
    </w:lvl>
    <w:lvl w:ilvl="4" w:tplc="937A25F0">
      <w:numFmt w:val="decimal"/>
      <w:lvlText w:val=""/>
      <w:lvlJc w:val="left"/>
    </w:lvl>
    <w:lvl w:ilvl="5" w:tplc="D136A034">
      <w:numFmt w:val="decimal"/>
      <w:lvlText w:val=""/>
      <w:lvlJc w:val="left"/>
    </w:lvl>
    <w:lvl w:ilvl="6" w:tplc="97506628">
      <w:numFmt w:val="decimal"/>
      <w:lvlText w:val=""/>
      <w:lvlJc w:val="left"/>
    </w:lvl>
    <w:lvl w:ilvl="7" w:tplc="63F4EC00">
      <w:numFmt w:val="decimal"/>
      <w:lvlText w:val=""/>
      <w:lvlJc w:val="left"/>
    </w:lvl>
    <w:lvl w:ilvl="8" w:tplc="3B268EA0">
      <w:numFmt w:val="decimal"/>
      <w:lvlText w:val=""/>
      <w:lvlJc w:val="left"/>
    </w:lvl>
  </w:abstractNum>
  <w:abstractNum w:abstractNumId="1" w15:restartNumberingAfterBreak="0">
    <w:nsid w:val="71726117"/>
    <w:multiLevelType w:val="hybridMultilevel"/>
    <w:tmpl w:val="0BC60FD0"/>
    <w:lvl w:ilvl="0" w:tplc="DAC8B464">
      <w:start w:val="1"/>
      <w:numFmt w:val="decimal"/>
      <w:lvlText w:val="%1."/>
      <w:lvlJc w:val="left"/>
      <w:pPr>
        <w:ind w:left="720" w:hanging="360"/>
      </w:pPr>
    </w:lvl>
    <w:lvl w:ilvl="1" w:tplc="F866F766">
      <w:numFmt w:val="decimal"/>
      <w:lvlText w:val=""/>
      <w:lvlJc w:val="left"/>
    </w:lvl>
    <w:lvl w:ilvl="2" w:tplc="D102FA92">
      <w:numFmt w:val="decimal"/>
      <w:lvlText w:val=""/>
      <w:lvlJc w:val="left"/>
    </w:lvl>
    <w:lvl w:ilvl="3" w:tplc="48EABC66">
      <w:numFmt w:val="decimal"/>
      <w:lvlText w:val=""/>
      <w:lvlJc w:val="left"/>
    </w:lvl>
    <w:lvl w:ilvl="4" w:tplc="19A6578C">
      <w:numFmt w:val="decimal"/>
      <w:lvlText w:val=""/>
      <w:lvlJc w:val="left"/>
    </w:lvl>
    <w:lvl w:ilvl="5" w:tplc="25B6114C">
      <w:numFmt w:val="decimal"/>
      <w:lvlText w:val=""/>
      <w:lvlJc w:val="left"/>
    </w:lvl>
    <w:lvl w:ilvl="6" w:tplc="0EFA036C">
      <w:numFmt w:val="decimal"/>
      <w:lvlText w:val=""/>
      <w:lvlJc w:val="left"/>
    </w:lvl>
    <w:lvl w:ilvl="7" w:tplc="BC04974A">
      <w:numFmt w:val="decimal"/>
      <w:lvlText w:val=""/>
      <w:lvlJc w:val="left"/>
    </w:lvl>
    <w:lvl w:ilvl="8" w:tplc="7DA2561E">
      <w:numFmt w:val="decimal"/>
      <w:lvlText w:val=""/>
      <w:lvlJc w:val="left"/>
    </w:lvl>
  </w:abstractNum>
  <w:num w:numId="1" w16cid:durableId="1742484153">
    <w:abstractNumId w:val="0"/>
    <w:lvlOverride w:ilvl="0">
      <w:startOverride w:val="1"/>
    </w:lvlOverride>
  </w:num>
  <w:num w:numId="2" w16cid:durableId="739327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7A"/>
    <w:rsid w:val="001D4F91"/>
    <w:rsid w:val="001F0409"/>
    <w:rsid w:val="003340EC"/>
    <w:rsid w:val="00452418"/>
    <w:rsid w:val="00760A17"/>
    <w:rsid w:val="008B1F8D"/>
    <w:rsid w:val="00997D48"/>
    <w:rsid w:val="00BC3A7E"/>
    <w:rsid w:val="00EB223F"/>
    <w:rsid w:val="00ED3D7A"/>
    <w:rsid w:val="00F273FD"/>
    <w:rsid w:val="00F6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608A"/>
  <w15:chartTrackingRefBased/>
  <w15:docId w15:val="{2787EB87-5310-493B-9890-434C4DC3C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7A"/>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ED3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D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D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D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D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D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D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D7A"/>
    <w:rPr>
      <w:rFonts w:eastAsiaTheme="majorEastAsia" w:cstheme="majorBidi"/>
      <w:color w:val="272727" w:themeColor="text1" w:themeTint="D8"/>
    </w:rPr>
  </w:style>
  <w:style w:type="paragraph" w:styleId="Title">
    <w:name w:val="Title"/>
    <w:basedOn w:val="Normal"/>
    <w:next w:val="Normal"/>
    <w:link w:val="TitleChar"/>
    <w:uiPriority w:val="10"/>
    <w:qFormat/>
    <w:rsid w:val="00ED3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D7A"/>
    <w:pPr>
      <w:spacing w:before="160"/>
      <w:jc w:val="center"/>
    </w:pPr>
    <w:rPr>
      <w:i/>
      <w:iCs/>
      <w:color w:val="404040" w:themeColor="text1" w:themeTint="BF"/>
    </w:rPr>
  </w:style>
  <w:style w:type="character" w:customStyle="1" w:styleId="QuoteChar">
    <w:name w:val="Quote Char"/>
    <w:basedOn w:val="DefaultParagraphFont"/>
    <w:link w:val="Quote"/>
    <w:uiPriority w:val="29"/>
    <w:rsid w:val="00ED3D7A"/>
    <w:rPr>
      <w:i/>
      <w:iCs/>
      <w:color w:val="404040" w:themeColor="text1" w:themeTint="BF"/>
    </w:rPr>
  </w:style>
  <w:style w:type="paragraph" w:styleId="ListParagraph">
    <w:name w:val="List Paragraph"/>
    <w:basedOn w:val="Normal"/>
    <w:qFormat/>
    <w:rsid w:val="00ED3D7A"/>
    <w:pPr>
      <w:ind w:left="720"/>
      <w:contextualSpacing/>
    </w:pPr>
  </w:style>
  <w:style w:type="character" w:styleId="IntenseEmphasis">
    <w:name w:val="Intense Emphasis"/>
    <w:basedOn w:val="DefaultParagraphFont"/>
    <w:uiPriority w:val="21"/>
    <w:qFormat/>
    <w:rsid w:val="00ED3D7A"/>
    <w:rPr>
      <w:i/>
      <w:iCs/>
      <w:color w:val="2F5496" w:themeColor="accent1" w:themeShade="BF"/>
    </w:rPr>
  </w:style>
  <w:style w:type="paragraph" w:styleId="IntenseQuote">
    <w:name w:val="Intense Quote"/>
    <w:basedOn w:val="Normal"/>
    <w:next w:val="Normal"/>
    <w:link w:val="IntenseQuoteChar"/>
    <w:uiPriority w:val="30"/>
    <w:qFormat/>
    <w:rsid w:val="00ED3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D7A"/>
    <w:rPr>
      <w:i/>
      <w:iCs/>
      <w:color w:val="2F5496" w:themeColor="accent1" w:themeShade="BF"/>
    </w:rPr>
  </w:style>
  <w:style w:type="character" w:styleId="IntenseReference">
    <w:name w:val="Intense Reference"/>
    <w:basedOn w:val="DefaultParagraphFont"/>
    <w:uiPriority w:val="32"/>
    <w:qFormat/>
    <w:rsid w:val="00ED3D7A"/>
    <w:rPr>
      <w:b/>
      <w:bCs/>
      <w:smallCaps/>
      <w:color w:val="2F5496" w:themeColor="accent1" w:themeShade="BF"/>
      <w:spacing w:val="5"/>
    </w:rPr>
  </w:style>
  <w:style w:type="paragraph" w:styleId="Header">
    <w:name w:val="header"/>
    <w:basedOn w:val="Normal"/>
    <w:link w:val="HeaderChar"/>
    <w:uiPriority w:val="99"/>
    <w:unhideWhenUsed/>
    <w:rsid w:val="00452418"/>
    <w:pPr>
      <w:tabs>
        <w:tab w:val="center" w:pos="4513"/>
        <w:tab w:val="right" w:pos="9026"/>
      </w:tabs>
    </w:pPr>
  </w:style>
  <w:style w:type="character" w:customStyle="1" w:styleId="HeaderChar">
    <w:name w:val="Header Char"/>
    <w:basedOn w:val="DefaultParagraphFont"/>
    <w:link w:val="Header"/>
    <w:uiPriority w:val="99"/>
    <w:rsid w:val="00452418"/>
    <w:rPr>
      <w:rFonts w:ascii="Arial" w:eastAsia="Arial" w:hAnsi="Arial" w:cs="Arial"/>
      <w:kern w:val="0"/>
      <w:lang w:eastAsia="en-IN"/>
      <w14:ligatures w14:val="none"/>
    </w:rPr>
  </w:style>
  <w:style w:type="paragraph" w:styleId="Footer">
    <w:name w:val="footer"/>
    <w:basedOn w:val="Normal"/>
    <w:link w:val="FooterChar"/>
    <w:uiPriority w:val="99"/>
    <w:unhideWhenUsed/>
    <w:rsid w:val="00452418"/>
    <w:pPr>
      <w:tabs>
        <w:tab w:val="center" w:pos="4513"/>
        <w:tab w:val="right" w:pos="9026"/>
      </w:tabs>
    </w:pPr>
  </w:style>
  <w:style w:type="character" w:customStyle="1" w:styleId="FooterChar">
    <w:name w:val="Footer Char"/>
    <w:basedOn w:val="DefaultParagraphFont"/>
    <w:link w:val="Footer"/>
    <w:uiPriority w:val="99"/>
    <w:rsid w:val="00452418"/>
    <w:rPr>
      <w:rFonts w:ascii="Arial" w:eastAsia="Arial" w:hAnsi="Arial" w:cs="Arial"/>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3101</Words>
  <Characters>17681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Dhirendra Gehlot</dc:creator>
  <cp:keywords/>
  <dc:description/>
  <cp:lastModifiedBy>Dhirendra Gehlot</cp:lastModifiedBy>
  <cp:revision>3</cp:revision>
  <cp:lastPrinted>2026-03-03T15:50:00Z</cp:lastPrinted>
  <dcterms:created xsi:type="dcterms:W3CDTF">2026-03-03T15:25:00Z</dcterms:created>
  <dcterms:modified xsi:type="dcterms:W3CDTF">2026-03-03T17:56:00Z</dcterms:modified>
</cp:coreProperties>
</file>