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8b2d9ec482bff936ecce254950ea9cfaca00e3"/>
    <w:p>
      <w:pPr>
        <w:pStyle w:val="Heading1"/>
      </w:pPr>
      <w:r>
        <w:t xml:space="preserve">Documentación del Sitio Web Semillero GEIPER</w:t>
      </w:r>
    </w:p>
    <w:p>
      <w:pPr>
        <w:pStyle w:val="FirstParagraph"/>
      </w:pPr>
      <w:r>
        <w:t xml:space="preserve">El sitio web del Semillero de Investigación</w:t>
      </w:r>
      <w:r>
        <w:t xml:space="preserve"> </w:t>
      </w:r>
      <w:r>
        <w:rPr>
          <w:b/>
          <w:bCs/>
        </w:rPr>
        <w:t xml:space="preserve">GEIPER</w:t>
      </w:r>
      <w:r>
        <w:t xml:space="preserve"> </w:t>
      </w:r>
      <w:r>
        <w:t xml:space="preserve">se estructura para servir como plataforma de divulgación científica y pilar académico. Su diseño tiene un</w:t>
      </w:r>
      <w:r>
        <w:t xml:space="preserve"> </w:t>
      </w:r>
      <w:r>
        <w:rPr>
          <w:b/>
          <w:bCs/>
        </w:rPr>
        <w:t xml:space="preserve">enfoque central en la Investigación en Sistemas de Información Geográfica (SIG), Geomática y Percepción Remota</w:t>
      </w:r>
      <w:r>
        <w:t xml:space="preserve">, buscando impulsar la gestión territorial y la investigación académica de primer nivel.</w:t>
      </w:r>
    </w:p>
    <w:bookmarkStart w:id="9" w:name="X918f41c01de933842f136e02b10fd5ebc38d9a3"/>
    <w:p>
      <w:pPr>
        <w:pStyle w:val="Heading2"/>
      </w:pPr>
      <w:r>
        <w:t xml:space="preserve">1. Inicio y Contexto del Semillero (</w:t>
      </w:r>
      <w:r>
        <w:rPr>
          <w:rStyle w:val="VerbatimChar"/>
        </w:rPr>
        <w:t xml:space="preserve">index.html</w:t>
      </w:r>
      <w:r>
        <w:t xml:space="preserve">)</w:t>
      </w:r>
    </w:p>
    <w:p>
      <w:pPr>
        <w:pStyle w:val="FirstParagraph"/>
      </w:pPr>
      <w:r>
        <w:t xml:space="preserve">La página principal del sitio actúa como la carta de presentación institucional.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Importancia de la Investigación Académica:</w:t>
      </w:r>
      <w:r>
        <w:t xml:space="preserve"> </w:t>
      </w:r>
      <w:r>
        <w:t xml:space="preserve">El semillero actúa como un motor para la Universidad Distrital Francisco José de Caldas en el marco del grupo de investigación NIDE. Se fomenta desde tempranas etapas la rigurosidad investigativa y la aplicación del método científico. El inicio del portal muestra estadísticas (líneas activas, miembros, años de investigación) que reafirman la madurez académica del semillero y su constancia en la producción de conocimiento SIG.</w:t>
      </w:r>
    </w:p>
    <w:bookmarkEnd w:id="9"/>
    <w:bookmarkStart w:id="10" w:name="líneas-de-investigación-pageslineas.html"/>
    <w:p>
      <w:pPr>
        <w:pStyle w:val="Heading2"/>
      </w:pPr>
      <w:r>
        <w:t xml:space="preserve">2. Líneas de Investigación (</w:t>
      </w:r>
      <w:r>
        <w:rPr>
          <w:rStyle w:val="VerbatimChar"/>
        </w:rPr>
        <w:t xml:space="preserve">pages/lineas.html</w:t>
      </w:r>
      <w:r>
        <w:t xml:space="preserve">)</w:t>
      </w:r>
    </w:p>
    <w:p>
      <w:pPr>
        <w:pStyle w:val="FirstParagraph"/>
      </w:pPr>
      <w:r>
        <w:t xml:space="preserve">Esta sección expone los ejes centrales sobre los cuales trabaja el semillero.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Enfoque Académico:</w:t>
      </w:r>
      <w:r>
        <w:t xml:space="preserve"> </w:t>
      </w:r>
      <w:r>
        <w:t xml:space="preserve">Cada línea de investigación responde a problemáticas actuales del país y de la comunidad internacional en cuanto a procesamiento digital de imágenes, monitoreo ambiental y geoinformática. Aquí convergen las metodologías teóricas y las aplicaciones prácticas que dan vida a los proyectos formales del semillero.</w:t>
      </w:r>
    </w:p>
    <w:bookmarkEnd w:id="10"/>
    <w:bookmarkStart w:id="11" w:name="integrantes-pagesintegrantes.html"/>
    <w:p>
      <w:pPr>
        <w:pStyle w:val="Heading2"/>
      </w:pPr>
      <w:r>
        <w:t xml:space="preserve">3. Integrantes (</w:t>
      </w:r>
      <w:r>
        <w:rPr>
          <w:rStyle w:val="VerbatimChar"/>
        </w:rPr>
        <w:t xml:space="preserve">pages/integrantes.html</w:t>
      </w:r>
      <w:r>
        <w:t xml:space="preserve">)</w:t>
      </w:r>
    </w:p>
    <w:p>
      <w:pPr>
        <w:pStyle w:val="FirstParagraph"/>
      </w:pPr>
      <w:r>
        <w:t xml:space="preserve">Un repositorio de talento humano que visualiza tanto a Profesores Vinculados como a Estudiantes y Profesionales que integran las investigaciones.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Formación Continua:</w:t>
      </w:r>
      <w:r>
        <w:t xml:space="preserve"> </w:t>
      </w:r>
      <w:r>
        <w:t xml:space="preserve">Resalta el ecosistema colaborativo donde los directores guían a mentes jóvenes en la creación de artículos, uso avanzado de SIG, y desarrollo de modelos geoespaciales.</w:t>
      </w:r>
    </w:p>
    <w:bookmarkEnd w:id="11"/>
    <w:bookmarkStart w:id="12" w:name="X2e2a4710541e2dfd53e49370faeda95bb236d43"/>
    <w:p>
      <w:pPr>
        <w:pStyle w:val="Heading2"/>
      </w:pPr>
      <w:r>
        <w:t xml:space="preserve">4. Repositorios y Eventos (</w:t>
      </w:r>
      <w:r>
        <w:rPr>
          <w:rStyle w:val="VerbatimChar"/>
        </w:rPr>
        <w:t xml:space="preserve">pages/repositorios.html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pages/eventos.html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Repositorios:</w:t>
      </w:r>
      <w:r>
        <w:t xml:space="preserve"> </w:t>
      </w:r>
      <w:r>
        <w:t xml:space="preserve">Compartir código abierto, bases de datos geográficas y metodologías fomenta el modelo de</w:t>
      </w:r>
      <w:r>
        <w:t xml:space="preserve"> </w:t>
      </w:r>
      <w:r>
        <w:t xml:space="preserve">“ciencia abierta”</w:t>
      </w:r>
      <w:r>
        <w:t xml:space="preserve">. Es aquí donde el trabajo de meses se socializa para que otras instituciones puedan replicar y escalar algoritmos de percepción remota.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Eventos:</w:t>
      </w:r>
      <w:r>
        <w:t xml:space="preserve"> </w:t>
      </w:r>
      <w:r>
        <w:t xml:space="preserve">Registra la participación de GEIPER en ponencias y divulgaciones científicas de alcance local o internacional. Subraya la importancia del networking académico y de someter los resultados investigativos al debate científico con pares.</w:t>
      </w:r>
    </w:p>
    <w:bookmarkEnd w:id="12"/>
    <w:bookmarkStart w:id="13" w:name="X791a405bf8c618da674e8cd99d69d8e6ade9dc3"/>
    <w:p>
      <w:pPr>
        <w:pStyle w:val="Heading2"/>
      </w:pPr>
      <w:r>
        <w:t xml:space="preserve">5. Asistentes de Investigación IA (</w:t>
      </w:r>
      <w:r>
        <w:rPr>
          <w:rStyle w:val="VerbatimChar"/>
        </w:rPr>
        <w:t xml:space="preserve">pages/chatbots.html</w:t>
      </w:r>
      <w:r>
        <w:t xml:space="preserve">)</w:t>
      </w:r>
    </w:p>
    <w:p>
      <w:pPr>
        <w:pStyle w:val="FirstParagraph"/>
      </w:pPr>
      <w:r>
        <w:t xml:space="preserve">Esta pestaña representa el salto tecnológico del semillero frente a las nuevas tendencias informáticas.</w:t>
      </w:r>
      <w:r>
        <w:t xml:space="preserve"> </w:t>
      </w:r>
      <w:r>
        <w:rPr>
          <w:b/>
          <w:bCs/>
        </w:rPr>
        <w:t xml:space="preserve">La implementación de estos asistentes académicos de IA resulta imperativa para la agilización y mejora de la investigación contemporánea.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 Asistente Temático:</w:t>
      </w:r>
      <w:r>
        <w:t xml:space="preserve"> </w:t>
      </w:r>
      <w:r>
        <w:t xml:space="preserve">Su función principal es asistir en revisiones de literatura especializadas en Geomática y SIG. Permite que investigadores y estudiantes reduzcan dramáticamente el tiempo invertido en la estructuración de marcos teóricos. Al enfocarse en documentos precisos de la universidad y literatura del dominio geoespacial, entrega resultados curados libres de sesgos irrelevantes.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 Asistente de Investigación:</w:t>
      </w:r>
      <w:r>
        <w:t xml:space="preserve"> </w:t>
      </w:r>
      <w:r>
        <w:t xml:space="preserve">Facilita la comprensión de estructuras normativas de la universidad (como formatos de proyectos de grado), metodologías de investigación, y guías de redacción científica.</w:t>
      </w:r>
    </w:p>
    <w:p>
      <w:pPr>
        <w:pStyle w:val="FirstParagraph"/>
      </w:pPr>
      <w:r>
        <w:rPr>
          <w:b/>
          <w:bCs/>
        </w:rPr>
        <w:t xml:space="preserve">La Importancia de su Implementación: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Reducción de barreras técnicas:</w:t>
      </w:r>
      <w:r>
        <w:t xml:space="preserve"> </w:t>
      </w:r>
      <w:r>
        <w:t xml:space="preserve">Acelera la curva de aprendizaje de nuevos integrantes al momento de enfrentarse a conceptos densos sobre procesamiento digital de señales satelitales (SAR, InSAR, etc).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Eficiencia en la producción científica:</w:t>
      </w:r>
      <w:r>
        <w:t xml:space="preserve"> </w:t>
      </w:r>
      <w:r>
        <w:t xml:space="preserve">Permite que la labor principal del investigador se centre en el análisis crítico humano, mientras la IA estructura el esqueleto metodológico y acelera la recuperación de antecedentes.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Calidad y Acompañamiento:</w:t>
      </w:r>
      <w:r>
        <w:t xml:space="preserve"> </w:t>
      </w:r>
      <w:r>
        <w:t xml:space="preserve">En su conjunto, actúan como un co-piloto del semillerista 24/7, garantizando que todo el talento impulsado por GEIPER mantenga estándares académicos altos y que ninguna idea se estanque por dudas operativas o deficiencia bibliográfica.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2026-04-19T17:56:32Z</dcterms:created>
  <dcterms:modified xsi:type="dcterms:W3CDTF">2026-04-19T17:56:32Z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