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48"/>
        </w:rPr>
        <w:t>수수료 이벤트 정형화 플랫폼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32"/>
        </w:rPr>
        <w:t>업무 설계서</w:t>
      </w:r>
    </w:p>
    <w:p>
      <w:pPr>
        <w:jc w:val="center"/>
      </w:pPr>
      <w:r>
        <w:rPr>
          <w:rFonts w:ascii="맑은 고딕" w:hAnsi="맑은 고딕" w:eastAsia="맑은 고딕"/>
          <w:color w:val="555555"/>
          <w:sz w:val="21"/>
        </w:rPr>
        <w:t>버전 0.6  ·  2026-07-05  ·  업무개발팀 / 현업 공유용</w:t>
      </w:r>
    </w:p>
    <w:p/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목적</w:t>
      </w:r>
      <w:r>
        <w:rPr>
          <w:rFonts w:ascii="맑은 고딕" w:hAnsi="맑은 고딕" w:eastAsia="맑은 고딕"/>
        </w:rPr>
        <w:t xml:space="preserve"> — 수수료 우대(이벤트·협의)의 등록~체결 부과 전 과정을 업무 흐름·구조 중심으로 정리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대상</w:t>
      </w:r>
      <w:r>
        <w:rPr>
          <w:rFonts w:ascii="맑은 고딕" w:hAnsi="맑은 고딕" w:eastAsia="맑은 고딕"/>
        </w:rPr>
        <w:t xml:space="preserve"> — 현업(마케팅·PB)·업무개발 담당자 (개발 용어 배제)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구성</w:t>
      </w:r>
      <w:r>
        <w:rPr>
          <w:rFonts w:ascii="맑은 고딕" w:hAnsi="맑은 고딕" w:eastAsia="맑은 고딕"/>
        </w:rPr>
        <w:t xml:space="preserve"> — 업무 프로세스 / 데이터 구조 / 적용 방식 / 아키텍처 / 체결 적용 플로우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용어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용어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기본수수료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전 계좌 적용 상품군별 표준요율(우대 비교 기준선)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이벤트수수료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한시적 우대(일괄·신청·가입·휴면복귀로 대상 결정)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협의수수료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개별 고객 우대(자격 조건 충족 시)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적용범위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우대 적용 축 — 상품군·거래소·세션·채널(파생=품목)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수수료 구성 항목표(자사·유관기관·세금)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 시점에 계좌별 최저 수수료를 즉석 산출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1. 업무 프로세스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1.1 개요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현업이 우대를 규칙(룰)으로 등록 → 심사·승인 → 활성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고객 체결 순간, 계좌에 가장 유리한(최저) 수수료 자동 선택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핵심</w:t>
      </w:r>
      <w:r>
        <w:rPr>
          <w:rFonts w:ascii="맑은 고딕" w:hAnsi="맑은 고딕" w:eastAsia="맑은 고딕"/>
        </w:rPr>
        <w:t xml:space="preserve"> — 계좌 사전 전개 없음 — 규칙만 저장, 체결 시 해석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01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pro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1.2 수수료 3계층 · 최저가 자동 적용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계층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동률 우선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기본(BASE)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상품군별 표준요율(항상 후보)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3순위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이벤트(EVENT)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한시 우대(4유형)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2순위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협의(NEGOTIATED)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개별 고객 우대(조건 충족)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1순위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겹치는 후보 중 고객 부담 최저 자동 적용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동률 시 우선순위</w:t>
      </w:r>
      <w:r>
        <w:rPr>
          <w:rFonts w:ascii="맑은 고딕" w:hAnsi="맑은 고딕" w:eastAsia="맑은 고딕"/>
        </w:rPr>
        <w:t xml:space="preserve"> — 협의 &gt; 이벤트 &gt; 기본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1.3 이벤트 대상 편입 4유형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유형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대상 결정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예시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일괄적용형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적용범위 내 전 계좌 자동(신청 불필요)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NXT 거래 전 계좌 인하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 신청·승인 계좌만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온라인 약정 우대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가입형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 가입 계좌만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신규 가입 우대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휴면복귀형</w:t>
            </w:r>
          </w:p>
        </w:tc>
        <w:tc>
          <w:tcPr>
            <w:tcW w:type="dxa" w:w="5102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 복귀 계좌 자동</w:t>
            </w:r>
          </w:p>
        </w:tc>
        <w:tc>
          <w:tcPr>
            <w:tcW w:type="dxa" w:w="226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복귀 고객 면제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1.4 이벤트 기간 — 신청 가능기간 vs 적용기간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신청/유입 가능기간</w:t>
      </w:r>
      <w:r>
        <w:rPr>
          <w:rFonts w:ascii="맑은 고딕" w:hAnsi="맑은 고딕" w:eastAsia="맑은 고딕"/>
        </w:rPr>
        <w:t xml:space="preserve"> — 계좌가 이벤트에 들어올 수 있는 캘린더 구간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적용기간(혜택)</w:t>
      </w:r>
      <w:r>
        <w:rPr>
          <w:rFonts w:ascii="맑은 고딕" w:hAnsi="맑은 고딕" w:eastAsia="맑은 고딕"/>
        </w:rPr>
        <w:t xml:space="preserve"> — 실제 우대 적용 구간 — 룰마다 택1</w:t>
      </w:r>
    </w:p>
    <w:p>
      <w:pPr>
        <w:pStyle w:val="ListBullet2"/>
        <w:spacing w:after="40"/>
      </w:pPr>
      <w:r>
        <w:rPr>
          <w:rFonts w:ascii="맑은 고딕" w:hAnsi="맑은 고딕" w:eastAsia="맑은 고딕"/>
          <w:b/>
        </w:rPr>
        <w:t>캘린더 고정형</w:t>
      </w:r>
      <w:r>
        <w:rPr>
          <w:rFonts w:ascii="맑은 고딕" w:hAnsi="맑은 고딕" w:eastAsia="맑은 고딕"/>
        </w:rPr>
        <w:t xml:space="preserve"> — 룰 종료일까지(모두 같은 날 종료)</w:t>
      </w:r>
    </w:p>
    <w:p>
      <w:pPr>
        <w:pStyle w:val="ListBullet2"/>
        <w:spacing w:after="40"/>
      </w:pPr>
      <w:r>
        <w:rPr>
          <w:rFonts w:ascii="맑은 고딕" w:hAnsi="맑은 고딕" w:eastAsia="맑은 고딕"/>
          <w:b/>
        </w:rPr>
        <w:t>유입시점 상대형</w:t>
      </w:r>
      <w:r>
        <w:rPr>
          <w:rFonts w:ascii="맑은 고딕" w:hAnsi="맑은 고딕" w:eastAsia="맑은 고딕"/>
        </w:rPr>
        <w:t xml:space="preserve"> — 계좌별 “가입일 + N개월”</w:t>
      </w:r>
    </w:p>
    <w:p>
      <w:pPr>
        <w:pStyle w:val="ListBullet2"/>
        <w:spacing w:after="40"/>
      </w:pPr>
      <w:r>
        <w:rPr>
          <w:rFonts w:ascii="맑은 고딕" w:hAnsi="맑은 고딕" w:eastAsia="맑은 고딕"/>
        </w:rPr>
        <w:t>예: “가입 시 두 달 무료” → 6/20 가입 = 8/20까지, 신청 마감(6/30) 지나도 유지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상대형은 고객별 종료일 상이 → 체결 시 해석이 자동 반영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863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peri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1.5 등록 → 승인 → 활성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① 현업 기안</w:t>
      </w:r>
      <w:r>
        <w:rPr>
          <w:rFonts w:ascii="맑은 고딕" w:hAnsi="맑은 고딕" w:eastAsia="맑은 고딕"/>
        </w:rPr>
        <w:t xml:space="preserve"> — 적용범위·요율표·기간·대상 지정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② 시뮬레이션 검증</w:t>
      </w:r>
      <w:r>
        <w:rPr>
          <w:rFonts w:ascii="맑은 고딕" w:hAnsi="맑은 고딕" w:eastAsia="맑은 고딕"/>
        </w:rPr>
        <w:t xml:space="preserve"> — 지배관계(전 구간 기존요율 이하)·역마진 경고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③ 심사 승인</w:t>
      </w:r>
      <w:r>
        <w:rPr>
          <w:rFonts w:ascii="맑은 고딕" w:hAnsi="맑은 고딕" w:eastAsia="맑은 고딕"/>
        </w:rPr>
        <w:t xml:space="preserve"> — 검토 후 승인/반려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④ 활성</w:t>
      </w:r>
      <w:r>
        <w:rPr>
          <w:rFonts w:ascii="맑은 고딕" w:hAnsi="맑은 고딕" w:eastAsia="맑은 고딕"/>
        </w:rPr>
        <w:t xml:space="preserve"> — 이후 사전 전개 없이 체결 시 해석 반영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주의</w:t>
      </w:r>
      <w:r>
        <w:rPr>
          <w:rFonts w:ascii="맑은 고딕" w:hAnsi="맑은 고딕" w:eastAsia="맑은 고딕"/>
        </w:rPr>
        <w:t xml:space="preserve"> — 주식은 종목 단위 우대 없음 — 거래소·세션·채널로만 결정(시뮬레이션도 구간 단위). 종목 지정은 파생만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1.6 협의수수료 — 신청 · 연장 대상 산출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신청·승인</w:t>
      </w:r>
      <w:r>
        <w:rPr>
          <w:rFonts w:ascii="맑은 고딕" w:hAnsi="맑은 고딕" w:eastAsia="맑은 고딕"/>
        </w:rPr>
        <w:t xml:space="preserve"> — 계좌별 개별. 자격 조건(예: 6개월 평균자산 5억↑) 충족 시 부여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연장</w:t>
      </w:r>
      <w:r>
        <w:rPr>
          <w:rFonts w:ascii="맑은 고딕" w:hAnsi="맑은 고딕" w:eastAsia="맑은 고딕"/>
        </w:rPr>
        <w:t xml:space="preserve"> — 계좌별이 아니라 그룹 단위로 대상 일괄 산출</w:t>
      </w:r>
    </w:p>
    <w:p>
      <w:pPr>
        <w:pStyle w:val="ListBullet2"/>
        <w:spacing w:after="40"/>
      </w:pPr>
      <w:r>
        <w:rPr>
          <w:rFonts w:ascii="맑은 고딕" w:hAnsi="맑은 고딕" w:eastAsia="맑은 고딕"/>
          <w:b/>
        </w:rPr>
        <w:t>그룹 축</w:t>
      </w:r>
      <w:r>
        <w:rPr>
          <w:rFonts w:ascii="맑은 고딕" w:hAnsi="맑은 고딕" w:eastAsia="맑은 고딕"/>
        </w:rPr>
        <w:t xml:space="preserve"> — 주식형 = 상품군 / 파생 = 품목별</w:t>
      </w:r>
    </w:p>
    <w:p>
      <w:pPr>
        <w:pStyle w:val="ListBullet2"/>
        <w:spacing w:after="40"/>
      </w:pPr>
      <w:r>
        <w:rPr>
          <w:rFonts w:ascii="맑은 고딕" w:hAnsi="맑은 고딕" w:eastAsia="맑은 고딕"/>
          <w:b/>
        </w:rPr>
        <w:t>재평가 분류</w:t>
      </w:r>
      <w:r>
        <w:rPr>
          <w:rFonts w:ascii="맑은 고딕" w:hAnsi="맑은 고딕" w:eastAsia="맑은 고딕"/>
        </w:rPr>
        <w:t xml:space="preserve"> — 신규(새로 충족)·유지(계속 충족)·탈락(더는 미충족)</w:t>
      </w:r>
    </w:p>
    <w:p>
      <w:pPr>
        <w:pStyle w:val="ListBullet2"/>
        <w:spacing w:after="40"/>
      </w:pPr>
      <w:r>
        <w:rPr>
          <w:rFonts w:ascii="맑은 고딕" w:hAnsi="맑은 고딕" w:eastAsia="맑은 고딕"/>
        </w:rPr>
        <w:t>기존 대비 비교로 “탈락 대상”까지 함께 노출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수행</w:t>
      </w:r>
      <w:r>
        <w:rPr>
          <w:rFonts w:ascii="맑은 고딕" w:hAnsi="맑은 고딕" w:eastAsia="맑은 고딕"/>
        </w:rPr>
        <w:t xml:space="preserve"> — 만료 임박 자동 산출 → 담당자 확인·조정 → 일괄 승인(정기 배치 아님)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1863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ne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86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1.7 휴면복귀 적용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원장 휴면복귀 감지(시그널) → 휴면복귀형 이벤트 자동 적용(즉시)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1.8 역할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역할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책임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현업(마케팅·PB)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이벤트·협의 기안, 적용범위·요율표·기간 설계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심사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지배관계·역마진 검토 후 승인/반려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업무개발·시스템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해석·캐시·무효화, 원장 연계, 지표 적재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 처리, 지표 산정, 수수료 실제 부과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2. 데이터 구조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물리 테이블 명세가 아니라 “무엇을 어디에 저장하고 어떻게 연결되나” 중심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30608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06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2.1 핵심 정보 묶음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정보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내용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자사·유관기관·세금 항목과 요율 방식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이벤트·협의·기본이 참조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규칙(룰)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유형·상태·적용범위·기간(2축)·조건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이벤트/협의 공통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예외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계좌×요율표·유효기간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단위 저장(유일)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가입/신청 이력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계좌×규칙·가입일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상대형·협의 자격 근거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지표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6개월 평균자산·약정액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자격 판정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결과 보관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계좌×조회키 → 답(캐시)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읽기 지연 감소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이력·감사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변경·협의 부여/해지·조건 평가</w:t>
            </w:r>
          </w:p>
        </w:tc>
        <w:tc>
          <w:tcPr>
            <w:tcW w:type="dxa" w:w="2438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감사 추적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2.2 “전량 전개 테이블” 부재 이유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계좌×종목 사전 전개 = 수천만 계좌 × 수천 종목 → 저장 폭발, 대규모 불가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대안</w:t>
      </w:r>
      <w:r>
        <w:rPr>
          <w:rFonts w:ascii="맑은 고딕" w:hAnsi="맑은 고딕" w:eastAsia="맑은 고딕"/>
        </w:rPr>
        <w:t xml:space="preserve"> — 규칙만 저장 → 체결 시 해석. 계좌 단위 저장은 협의 예외뿐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2.3 핵심 테이블 (주요 컬럼)</w:t>
      </w: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요율표 계열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테이블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주요 컬럼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요율표(FEE_SCHEDULE)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schedule_id(PK) · name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규칙이 참조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구성요소(FEE_COMPONENT)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schedule_id(FK) · seq · name · kind[자사/유관기관/세금] · payer[고객부과/회사부담/면제] · rate_type[정률/정액/구간표] · rate_bp · flat_amount · min_fee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요율표 1:N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구간(FEE_RATE_BAND)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schedule_id·seq(FK) · from · to · rate_bp / flat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구간표일 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규칙 계열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테이블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주요 컬럼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규칙(FEE_RULE)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rule_id(PK) · name · type[BASE/EVENT/NEGOTIATED] · status · apply_mode[일괄/신청/가입/휴면복귀] · start_date · end_date · benefit_kind[캘린더/상대] · benefit_months · schedule_id(FK)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적용범위(FEE_RULE_SCOPE)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rule_id(FK) · asset_class · exchanges · sessions · channels · products · exclude_products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조건(FEE_RULE_CONDITION)</w:t>
            </w:r>
          </w:p>
        </w:tc>
        <w:tc>
          <w:tcPr>
            <w:tcW w:type="dxa" w:w="6803"/>
          </w:tcPr>
          <w:p>
            <w:r/>
            <w:r>
              <w:rPr>
                <w:rFonts w:ascii="맑은 고딕" w:hAnsi="맑은 고딕" w:eastAsia="맑은 고딕"/>
                <w:sz w:val="19"/>
              </w:rPr>
              <w:t>rule_id(FK) · metric[6개월평균자산/약정액] · threshold · action[자동연장/승인후연장]  (협의 전용)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계좌 관련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테이블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주요 컬럼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비고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예외(NEGO_GRANT)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account_id · schedule_id · asset_class 등 범위 · valid_from · valid_to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단위 저장(유일)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가입/신청(ENROLLMENT)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account_id · rule_id · enrolled_at · channel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상대형·협의 자격 근거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지표(ACCOUNT_METRIC)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account_id · avg_asset_6m · volume_6m · dormant_returned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 적재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캐시(RESOLVED_CACHE)</w:t>
            </w:r>
          </w:p>
        </w:tc>
        <w:tc>
          <w:tcPr>
            <w:tcW w:type="dxa" w:w="5669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account_id · fee_key · schedule_id · source_rule_id · source[협의/이벤트/기본] · computed_at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읽기 지연 감소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맑은 고딕" w:hAnsi="맑은 고딕" w:eastAsia="맑은 고딕"/>
          <w:i w:val="0"/>
          <w:sz w:val="21"/>
        </w:rPr>
        <w:t>조회키(FEE_KEY) — 계좌에 수수료를 매기는 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컬럼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값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주식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파생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asset_class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상품군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exchange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거래소(KRX/NXT/CME…)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session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세션(프리/정규/애프터)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channel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주문채널(HTS/MTS/API/ARS/센터/반대매매)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product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품목(종목/계약)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✗ (null)</w:t>
            </w:r>
          </w:p>
        </w:tc>
        <w:tc>
          <w:tcPr>
            <w:tcW w:type="dxa" w:w="1304"/>
          </w:tcPr>
          <w:p>
            <w:r/>
            <w:r>
              <w:rPr>
                <w:rFonts w:ascii="맑은 고딕" w:hAnsi="맑은 고딕" w:eastAsia="맑은 고딕"/>
                <w:sz w:val="19"/>
              </w:rPr>
              <w:t>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3. 적용 방식 — 배치 / 신청 / 시그널 즉시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778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appl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7785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업무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방식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트리거/주기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즉시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이벤트 발효·만료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기간 도래(일 점검)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배치 시점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일괄적용형 이벤트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활성 즉시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승인·발효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즉시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신청형·가입형 편입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 신청/가입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고객 행위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즉시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상대형 혜택 종료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시 판정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가입일+N 경과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조회 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휴면복귀 적용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시그널 즉시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 감지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즉시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계좌 지표 재산정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배치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주기(월/일)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배치 시점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자격 평가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지표 연동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지표 재산정 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갱신 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협의 연장 대상 산출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요청형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만료 임박→담당자 확인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 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해석 결과 무효화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변경 연동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승인/연장/지표 변경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즉시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정기 배치 필수</w:t>
      </w:r>
      <w:r>
        <w:rPr>
          <w:rFonts w:ascii="맑은 고딕" w:hAnsi="맑은 고딕" w:eastAsia="맑은 고딕"/>
        </w:rPr>
        <w:t xml:space="preserve"> — “기간 도래(발효·만료)” · “지표 재산정”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협의 연장</w:t>
      </w:r>
      <w:r>
        <w:rPr>
          <w:rFonts w:ascii="맑은 고딕" w:hAnsi="맑은 고딕" w:eastAsia="맑은 고딕"/>
        </w:rPr>
        <w:t xml:space="preserve"> — 고정 시각 배치 아님 — 만료 임박 자동 산출 후 담당자 확인(요청형)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신청·가입·휴면복귀·상대형 종료</w:t>
      </w:r>
      <w:r>
        <w:rPr>
          <w:rFonts w:ascii="맑은 고딕" w:hAnsi="맑은 고딕" w:eastAsia="맑은 고딕"/>
        </w:rPr>
        <w:t xml:space="preserve"> — 배치 없이 즉시/조회 시점 반영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4. 아키텍처 — 규칙은 저장, 금액은 체결 때 해석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76000" cy="2501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ar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501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4.1 기본 원리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금액 미저장</w:t>
      </w:r>
      <w:r>
        <w:rPr>
          <w:rFonts w:ascii="맑은 고딕" w:hAnsi="맑은 고딕" w:eastAsia="맑은 고딕"/>
        </w:rPr>
        <w:t xml:space="preserve"> — 규칙만 보관, 체결 시 해석해 즉석 계산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캐시</w:t>
      </w:r>
      <w:r>
        <w:rPr>
          <w:rFonts w:ascii="맑은 고딕" w:hAnsi="맑은 고딕" w:eastAsia="맑은 고딕"/>
        </w:rPr>
        <w:t xml:space="preserve"> — 해석 답을 (계좌, 조회키) 단위 보관 → 읽기 지연 감소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무효화</w:t>
      </w:r>
      <w:r>
        <w:rPr>
          <w:rFonts w:ascii="맑은 고딕" w:hAnsi="맑은 고딕" w:eastAsia="맑은 고딕"/>
        </w:rPr>
        <w:t xml:space="preserve"> — 규칙 변경 시 영향 범위만 무효화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4.2 플랫폼 / 원장 경계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영역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책임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플랫폼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규칙 등록·심사·승인, 적용범위·기간, 체결 시 해석, 협의 부여/연장, 캐시·무효화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원장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체결·잔고, 계좌 지표 산정·전달, 해석 결과로 실제 부과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4.3 규모 대응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전개형</w:t>
      </w:r>
      <w:r>
        <w:rPr>
          <w:rFonts w:ascii="맑은 고딕" w:hAnsi="맑은 고딕" w:eastAsia="맑은 고딕"/>
        </w:rPr>
        <w:t xml:space="preserve"> — 조회 빠르나 저장 폭증 → 대규모 불가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해석형+캐시</w:t>
      </w:r>
      <w:r>
        <w:rPr>
          <w:rFonts w:ascii="맑은 고딕" w:hAnsi="맑은 고딕" w:eastAsia="맑은 고딕"/>
        </w:rPr>
        <w:t xml:space="preserve"> — 저장은 규칙·예외뿐, 읽기=캐시, 변경=증분 무효화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주식 조회키에서 종목 제거(거래소·세션·채널) → 최대 카디널리티 제거. 파생만 품목 유지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4.4 조회키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상품군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b/>
                <w:sz w:val="19"/>
              </w:rPr>
              <w:t>조회키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국내·해외주식, 금현물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상품군·거래소·세션·채널 (종목 없음)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맑은 고딕" w:hAnsi="맑은 고딕" w:eastAsia="맑은 고딕"/>
                <w:sz w:val="19"/>
              </w:rPr>
              <w:t>국내·해외파생</w:t>
            </w:r>
          </w:p>
        </w:tc>
        <w:tc>
          <w:tcPr>
            <w:tcW w:type="dxa" w:w="6236"/>
          </w:tcPr>
          <w:p>
            <w:r/>
            <w:r>
              <w:rPr>
                <w:rFonts w:ascii="맑은 고딕" w:hAnsi="맑은 고딕" w:eastAsia="맑은 고딕"/>
                <w:sz w:val="19"/>
              </w:rPr>
              <w:t>상품군·거래소·세션·채널·품목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4.5 성능 — 캐시 미스는 느리지 않은가?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현행(등급 방식)</w:t>
      </w:r>
      <w:r>
        <w:rPr>
          <w:rFonts w:ascii="맑은 고딕" w:hAnsi="맑은 고딕" w:eastAsia="맑은 고딕"/>
        </w:rPr>
        <w:t xml:space="preserve"> — 계좌 등급 조회 → (등급,상품) 요율 조회 = 2회 색인 읽기. 단, 이벤트·협의·최저가·기간 표현 불가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전량 전개 방식</w:t>
      </w:r>
      <w:r>
        <w:rPr>
          <w:rFonts w:ascii="맑은 고딕" w:hAnsi="맑은 고딕" w:eastAsia="맑은 고딕"/>
        </w:rPr>
        <w:t xml:space="preserve"> — 조회 1회로 빠르나 저장 폭발 + 규칙 변경마다 재전개 부담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해석형 캐시 적중</w:t>
      </w:r>
      <w:r>
        <w:rPr>
          <w:rFonts w:ascii="맑은 고딕" w:hAnsi="맑은 고딕" w:eastAsia="맑은 고딕"/>
        </w:rPr>
        <w:t xml:space="preserve"> — 저장된 답 1건 조회 = 전개형과 동급(1회 읽기)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해석형 캐시 미스</w:t>
      </w:r>
      <w:r>
        <w:rPr>
          <w:rFonts w:ascii="맑은 고딕" w:hAnsi="맑은 고딕" w:eastAsia="맑은 고딕"/>
        </w:rPr>
        <w:t xml:space="preserve"> — 그 (계좌,조회키)의 후보(기본+활성 이벤트/협의 소수)만 메모리 내 최저가 계산</w:t>
      </w:r>
    </w:p>
    <w:p>
      <w:pPr>
        <w:pStyle w:val="ListBullet2"/>
        <w:spacing w:after="40"/>
      </w:pPr>
      <w:r>
        <w:rPr>
          <w:rFonts w:ascii="맑은 고딕" w:hAnsi="맑은 고딕" w:eastAsia="맑은 고딕"/>
          <w:b/>
        </w:rPr>
        <w:t>미스 비용 특성</w:t>
      </w:r>
      <w:r>
        <w:rPr>
          <w:rFonts w:ascii="맑은 고딕" w:hAnsi="맑은 고딕" w:eastAsia="맑은 고딕"/>
        </w:rPr>
        <w:t xml:space="preserve"> — 추가 I/O 없음(규칙·요율표는 상주) · 후보 수 소수(수 개) · (계좌,조회키)당 최초 1회만 발생</w:t>
      </w:r>
    </w:p>
    <w:p>
      <w:pPr>
        <w:pStyle w:val="ListBullet2"/>
        <w:spacing w:after="40"/>
      </w:pPr>
      <w:r>
        <w:rPr>
          <w:rFonts w:ascii="맑은 고딕" w:hAnsi="맑은 고딕" w:eastAsia="맑은 고딕"/>
          <w:b/>
        </w:rPr>
        <w:t>완화</w:t>
      </w:r>
      <w:r>
        <w:rPr>
          <w:rFonts w:ascii="맑은 고딕" w:hAnsi="맑은 고딕" w:eastAsia="맑은 고딕"/>
        </w:rPr>
        <w:t xml:space="preserve"> — 활성 계좌×빈출 조회키 캐시 예열, 변경 시 영향분만 무효화 → 정상 운영에서 미스 희소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결론</w:t>
      </w:r>
      <w:r>
        <w:rPr>
          <w:rFonts w:ascii="맑은 고딕" w:hAnsi="맑은 고딕" w:eastAsia="맑은 고딕"/>
        </w:rPr>
        <w:t xml:space="preserve"> — 미스 1건은 단순 2회 읽기보다 연산은 많으나 I/O가 없고 최초 1회뿐. 반면 등급 방식으로는 이벤트·협의·최저가를 애초에 표현 못 하며, 이를 담으려면 전개(저장 폭발) 또는 어차피 체결 시 최저가 계산이 필요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0000"/>
        </w:rPr>
        <w:t>5. 체결 시 수수료 적용 플로우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27856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85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① 체결 발생</w:t>
      </w:r>
      <w:r>
        <w:rPr>
          <w:rFonts w:ascii="맑은 고딕" w:hAnsi="맑은 고딕" w:eastAsia="맑은 고딕"/>
        </w:rPr>
        <w:t xml:space="preserve"> — 계좌·거래소·세션·채널·(파생)품목·체결가·수량 확정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② 조회키 구성</w:t>
      </w:r>
      <w:r>
        <w:rPr>
          <w:rFonts w:ascii="맑은 고딕" w:hAnsi="맑은 고딕" w:eastAsia="맑은 고딕"/>
        </w:rPr>
        <w:t xml:space="preserve"> — 주식은 종목 붕괴 → 거래소·세션·채널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③ 후보 수집</w:t>
      </w:r>
      <w:r>
        <w:rPr>
          <w:rFonts w:ascii="맑은 고딕" w:hAnsi="맑은 고딕" w:eastAsia="맑은 고딕"/>
        </w:rPr>
        <w:t xml:space="preserve"> — 협의·이벤트·기본(편입·적용기간 통과분만)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④ 최저가 결정</w:t>
      </w:r>
      <w:r>
        <w:rPr>
          <w:rFonts w:ascii="맑은 고딕" w:hAnsi="맑은 고딕" w:eastAsia="맑은 고딕"/>
        </w:rPr>
        <w:t xml:space="preserve"> — 고객 부담 최저 선택(동률 협의&gt;이벤트&gt;기본) → 답 캐시 저장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⑤ 금액 산정</w:t>
      </w:r>
      <w:r>
        <w:rPr>
          <w:rFonts w:ascii="맑은 고딕" w:hAnsi="맑은 고딕" w:eastAsia="맑은 고딕"/>
        </w:rPr>
        <w:t xml:space="preserve"> — 요율표 × 체결가·수량 즉석 계산(자사·유관기관·세금)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⑥ 원장 반영</w:t>
      </w:r>
      <w:r>
        <w:rPr>
          <w:rFonts w:ascii="맑은 고딕" w:hAnsi="맑은 고딕" w:eastAsia="맑은 고딕"/>
        </w:rPr>
        <w:t xml:space="preserve"> — 수수료 구성 전달 → 실제 부과·잔고 반영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5.1 캐시 적중/미스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첫 조회(미스)</w:t>
      </w:r>
      <w:r>
        <w:rPr>
          <w:rFonts w:ascii="맑은 고딕" w:hAnsi="맑은 고딕" w:eastAsia="맑은 고딕"/>
        </w:rPr>
        <w:t xml:space="preserve"> — 후보 계산 후 답 저장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이후 조회(적중)</w:t>
      </w:r>
      <w:r>
        <w:rPr>
          <w:rFonts w:ascii="맑은 고딕" w:hAnsi="맑은 고딕" w:eastAsia="맑은 고딕"/>
        </w:rPr>
        <w:t xml:space="preserve"> — 저장된 답 즉시 사용(재계산 없음)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변경 시</w:t>
      </w:r>
      <w:r>
        <w:rPr>
          <w:rFonts w:ascii="맑은 고딕" w:hAnsi="맑은 고딕" w:eastAsia="맑은 고딕"/>
        </w:rPr>
        <w:t xml:space="preserve"> — 영향 범위만 무효화 → 다음 조회 때 재해석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5.2 예시 — 상대형 이벤트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신규 가입 2개월 무료 · 6/20 가입 고객, 7월 초 국내주식 온라인 체결 → 자사 수수료 0원 무료 요율(유관·세금 정상)</w:t>
      </w:r>
    </w:p>
    <w:p>
      <w:pPr>
        <w:pStyle w:val="ListBullet"/>
        <w:spacing w:after="40"/>
      </w:pPr>
      <w:r>
        <w:rPr>
          <w:rFonts w:ascii="맑은 고딕" w:hAnsi="맑은 고딕" w:eastAsia="맑은 고딕"/>
        </w:rPr>
        <w:t>4월 가입 고객(2개월 경과) → 무료 아님, 표준요율 복귀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동일 이벤트, 고객별 상이</w:t>
      </w:r>
      <w:r>
        <w:rPr>
          <w:rFonts w:ascii="맑은 고딕" w:hAnsi="맑은 고딕" w:eastAsia="맑은 고딕"/>
        </w:rPr>
        <w:t xml:space="preserve"> — 적용기간이 “가입일 기준 상대형”이기 때문</w:t>
      </w:r>
    </w:p>
    <w:p>
      <w:pPr>
        <w:pStyle w:val="Heading2"/>
      </w:pPr>
      <w:r>
        <w:rPr>
          <w:rFonts w:ascii="맑은 고딕" w:hAnsi="맑은 고딕" w:eastAsia="맑은 고딕"/>
          <w:color w:val="000000"/>
        </w:rPr>
        <w:t>5.3 해석 상세 (기술)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860000" cy="33906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resol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90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후보 인덱스</w:t>
      </w:r>
      <w:r>
        <w:rPr>
          <w:rFonts w:ascii="맑은 고딕" w:hAnsi="맑은 고딕" w:eastAsia="맑은 고딕"/>
        </w:rPr>
        <w:t xml:space="preserve"> — 활성 이벤트·협의를 적용범위로 미리 인덱싱 → 조회키로 매칭분만 추출(전 룰 스캔 아님)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대상 게이트</w:t>
      </w:r>
      <w:r>
        <w:rPr>
          <w:rFonts w:ascii="맑은 고딕" w:hAnsi="맑은 고딕" w:eastAsia="맑은 고딕"/>
        </w:rPr>
        <w:t xml:space="preserve"> — 일괄=전 계좌 / 신청·가입=이력 존재 / 휴면복귀=복귀 계좌 / 협의=신청+조건 충족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기간 게이트</w:t>
      </w:r>
      <w:r>
        <w:rPr>
          <w:rFonts w:ascii="맑은 고딕" w:hAnsi="맑은 고딕" w:eastAsia="맑은 고딕"/>
        </w:rPr>
        <w:t xml:space="preserve"> — 캘린더형=룰 기간 내 / 상대형=가입일~가입일+N (신청 마감 무관)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협의 예외 결합</w:t>
      </w:r>
      <w:r>
        <w:rPr>
          <w:rFonts w:ascii="맑은 고딕" w:hAnsi="맑은 고딕" w:eastAsia="맑은 고딕"/>
        </w:rPr>
        <w:t xml:space="preserve"> — (계좌, 요율표) 매칭 + 유효기간 내 grant를 후보에 추가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최저가 비교</w:t>
      </w:r>
      <w:r>
        <w:rPr>
          <w:rFonts w:ascii="맑은 고딕" w:hAnsi="맑은 고딕" w:eastAsia="맑은 고딕"/>
        </w:rPr>
        <w:t xml:space="preserve"> — 후보 공동 probe grid(구간 경계+표본가) 평균 고객부담 최소 선택. 동률 시 협의&gt;이벤트&gt;기본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캐시</w:t>
      </w:r>
      <w:r>
        <w:rPr>
          <w:rFonts w:ascii="맑은 고딕" w:hAnsi="맑은 고딕" w:eastAsia="맑은 고딕"/>
        </w:rPr>
        <w:t xml:space="preserve"> — 결과를 (계좌, 조회키) 키로 저장. 규칙 승인/연장·지표 변경 시 영향 범위(계좌 또는 스코프)만 무효화</w:t>
      </w:r>
    </w:p>
    <w:p>
      <w:pPr>
        <w:pStyle w:val="ListBullet"/>
        <w:spacing w:after="40"/>
      </w:pPr>
      <w:r>
        <w:rPr>
          <w:rFonts w:ascii="맑은 고딕" w:hAnsi="맑은 고딕" w:eastAsia="맑은 고딕"/>
          <w:b/>
        </w:rPr>
        <w:t>금액</w:t>
      </w:r>
      <w:r>
        <w:rPr>
          <w:rFonts w:ascii="맑은 고딕" w:hAnsi="맑은 고딕" w:eastAsia="맑은 고딕"/>
        </w:rPr>
        <w:t xml:space="preserve"> — 저장하지 않음 — 요율표 × 체결가·수량으로 그때 계산해 원장 전달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