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56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36"/>
        </w:rPr>
        <w:t>기술 설계서</w:t>
      </w:r>
    </w:p>
    <w:p/>
    <w:p/>
    <w:p>
      <w:pPr>
        <w:jc w:val="center"/>
      </w:pPr>
      <w:r>
        <w:rPr>
          <w:rFonts w:ascii="맑은 고딕" w:hAnsi="맑은 고딕" w:eastAsia="맑은 고딕"/>
          <w:b/>
          <w:sz w:val="26"/>
        </w:rPr>
        <w:t>버전 v1.6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2026년 7월 7일  ·  임원 보고용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5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성격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정책 플랫폼 전체 기술 설계 (경영진 보고용)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 이력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v1.0 기술설계서 → v1.1·v1.2 우선순위 저장 설계 → v1.3(본 문서, 전체 통합·한글화)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표기 원칙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표·항목명을 한국어로 표기. 예시 계좌번호는 실제 체계 XXXX-XXXX-XX(전부 숫자)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핵심 요약 (경영진용 한 장 요약)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수수료 정책 플랫폼은 기본·이벤트·협의 세 가지 수수료를 하나의 “정책”으로 통합 관리하고 고객이 실제로 거래를 체결할 때 가장 유리한 수수료가 자동으로 적용되도록 하는 시스템임.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왜 필요한가</w:t>
      </w:r>
      <w:r>
        <w:rPr>
          <w:rFonts w:ascii="맑은 고딕" w:hAnsi="맑은 고딕" w:eastAsia="맑은 고딕"/>
        </w:rPr>
        <w:t>: 현행 등급제(계좌 등급 → 등급·상품 요율)는 이벤트·협의·최저가·기간을 애초에 표현하지 못함. 마케팅·영업의 다양한 수수료 정책을 담으려면 새로운 틀이 필요함.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무엇이 핵심인가</w:t>
      </w:r>
      <w:r>
        <w:rPr>
          <w:rFonts w:ascii="맑은 고딕" w:hAnsi="맑은 고딕" w:eastAsia="맑은 고딕"/>
        </w:rPr>
        <w:t>: 계좌마다 모든 종목을 미리 펼쳐 저장하는 방식(수백억 건, 불가능) 대신, 정책만 저장하고 매일 배치로 “계좌별 수수료 배정판”을 미리 산출함. 원장은 체결 시 이 배정판에서 한 줄만 조회함.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규모 대응</w:t>
      </w:r>
      <w:r>
        <w:rPr>
          <w:rFonts w:ascii="맑은 고딕" w:hAnsi="맑은 고딕" w:eastAsia="맑은 고딕"/>
        </w:rPr>
        <w:t>: 주식은 종목 축을 제거(수수료가 종목별로 다르지 않음)하고, 파생만 품목별로 관리해 100만 계좌 규모에서도 단일 테이블로 감당함.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안전장치</w:t>
      </w:r>
      <w:r>
        <w:rPr>
          <w:rFonts w:ascii="맑은 고딕" w:hAnsi="맑은 고딕" w:eastAsia="맑은 고딕"/>
        </w:rPr>
        <w:t>: 우대가 어떤 가격에서도 기본보다 비쌀 수 없도록 “지배관계 검증”을 등록 단계에서 자동 수행하고, 어느 계좌에 언제 어떤 정책이 적용됐는지 전 이력을 남김.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현 상태</w:t>
      </w:r>
      <w:r>
        <w:rPr>
          <w:rFonts w:ascii="맑은 고딕" w:hAnsi="맑은 고딕" w:eastAsia="맑은 고딕"/>
        </w:rPr>
        <w:t>: 화면·엔진이 실제로 동작하는 시제품(프로토타입) 검증 완료. 백엔드·원장 연동·배치 인프라가 다음 단계.</w:t>
      </w: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아래 본문은 이 요약을 개요 → 아키텍처 → 데이터 → 결정 흐름 → 정책 유형 → 운영 순으로 자세히 풀어 씀.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주요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계좌에 적용되는 상품군별 표준 요율(기준선)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이벤트수수료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우대. 신청·가입·휴면복귀·일괄 등으로 대상이 정해짐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등급표로 공시 가능한 우대. 계좌별로 “어느 등급을 언제까지 승인받았는가”가 다름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시 수수료를 찾는 기준: 상품군·거래소·조회구분·주문채널(파생은 품목)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조회구분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무엇을 거래하는가의 분류: 선물/옵션/주식/ETF/금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계좌별로 어떤 조회 조건에 어느 요율표가 적용되는지 미리 산출해 담아둔 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구성요소(자사·유관기관·세금)와 요율의 묶음. 기본·이벤트·협의가 공유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지배관계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우대 요율표가 기준선을 전 가격구간에서 하회하는지 등록 시 검증하는 관계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목차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0. 수수료 정책 플랫폼 개요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1. 아키텍처: 정책은 저장, 배정판은 사전 산출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2. 데이터 모델: 무엇을 어디에 담는가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3. 조회키: 체결을 수수료 정책에 잇는 기준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4. 수수료 계산: 요율표 평가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5. 수수료 우선순위: 세 정책이 한 순위에서 경쟁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6. 개별 체결의 수수료 결정: 원장의 배정판 조회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7. 대상 편입: 고객이 정책 대상이 되는 방식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8. 이벤트 기간: 신청 가능기간과 적용기간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9. 협의수수료: 신청·자격·승인·연장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10. 배정판 산출·무효화: 일배치 + 수시 증분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11. 등록 → 검증 → 승인 → 활성</w:t>
      </w:r>
    </w:p>
    <w:p>
      <w:pPr/>
      <w:r>
        <w:t>부록. 배정판 점조회 성능 실측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0. 수수료 정책 플랫폼 개요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0.1 전제: 이벤트 도구가 아니라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플랫폼임. 이벤트수수료와 협의수수료는 결국 “수수료 정책”이라는 한 개념의 속성일 뿐임.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>: 상시 적용되는 표준 정책(기준선)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>: 한시적·조건적 정책(대상 편입 방식이 다를 뿐)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>: 개별 고객 정책(표준 등급을 자격 충족 시 부여)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0.2 수수료 정책의 시작점: “액션의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금융뿐 아니라 이커머스 플랫폼까지 살펴본 결과, 고객이 수수료 할인 정책의 대상이 되는 경로는 몇 가지로 수렴함.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편입 경로</w:t>
            </w:r>
          </w:p>
        </w:tc>
        <w:tc>
          <w:tcPr>
            <w:tcW w:type="dxa" w:w="430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당사 유형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쿠폰 적용 / 신청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우대를 신청 → 대상이 됨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가입(유입)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이벤트·상품 가입 액션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상태 변화 신호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 계정 복구 등 액션 발생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선제적 타겟 주입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특정 타겟을 미리 뽑아 정책 주입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일괄형(타겟추출)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충족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자격 조건을 충족한 고객에게 부여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0.3 타 증권사 수수료 정책: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키움·한국투자·미래에셋·삼성·KB·토스 등 주요사의 실제 수수료 이벤트를 조사한 결과, 대부분이 다음 범위 안에 있었음.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거래소별 / 세션별 수수료 할인 (주식·파생)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여기에 신청 기간·적용 기한(가입 후 N개월)이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세분화하지 않았음. 즉 “상품군·거래소·조회구분·채널(파생은 품목) + 기간”이라는 기준으로 정형화하면 실제 수요의 대부분을 담을 수 있다는 결론이며, 본 설계는 이 근거 위에 있음.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1. 아키텍처: 정책은 저장, 배정판은 사전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핵심 결정은 “계좌마다 모든 품목의 수수료를 미리 펼쳐 저장하지 않는다”임. 대신 정책(규칙·요율표·부여관계)만 저장하고 매일 배치로 계좌별 수수료 배정판을 미리 산출해 둠. 원장은 체결 시 이 배정판에서 한 줄만 조회함.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1.1 기본 원리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정책만 저장</w:t>
      </w:r>
      <w:r>
        <w:rPr>
          <w:rFonts w:ascii="맑은 고딕" w:hAnsi="맑은 고딕" w:eastAsia="맑은 고딕"/>
        </w:rPr>
        <w:t>: 규칙·요율표·부여관계만 보관. 계좌×품목 전개 저장은 하지 않음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배정판 사전 산출</w:t>
      </w:r>
      <w:r>
        <w:rPr>
          <w:rFonts w:ascii="맑은 고딕" w:hAnsi="맑은 고딕" w:eastAsia="맑은 고딕"/>
        </w:rPr>
        <w:t>: 매일 1회 전체 재산출 + 이벤트·협의 발생 시 수시 증분으로, 계좌별 수수료 배정판을 미리 채움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원장은 판만 조회</w:t>
      </w:r>
      <w:r>
        <w:rPr>
          <w:rFonts w:ascii="맑은 고딕" w:hAnsi="맑은 고딕" w:eastAsia="맑은 고딕"/>
        </w:rPr>
        <w:t>: 체결 시 원장은 배정판에서 조회 조건에 맞는 한 줄만 읽음. 원장은 규칙도 우선순위도 알 필요가 없음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결정성·이력</w:t>
      </w:r>
      <w:r>
        <w:rPr>
          <w:rFonts w:ascii="맑은 고딕" w:hAnsi="맑은 고딕" w:eastAsia="맑은 고딕"/>
        </w:rPr>
        <w:t>: 어느 계좌에 언제 어떤 정책이 적용됐는지 배정 이력으로 전부 추적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1.2 왜 전개형이 아니라 배정판형인가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저장량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조회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한계 / 이점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전개형 (계좌×품목 사전 저장)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수천만 계좌 × 수천 품목 = 수백억 건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단순 조회(빠름)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저장 폭증·재전개 비용 → 대규모 불가</w:t>
            </w:r>
          </w:p>
        </w:tc>
      </w:tr>
      <w:tr>
        <w:tc>
          <w:tcPr>
            <w:tcW w:type="dxa" w:w="260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배정판형 (계좌×조회조건 사전 산출)</w:t>
            </w:r>
          </w:p>
        </w:tc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계좌가 실제 거래하는 소수 셀만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 1건 조회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주식 종목 축 제거로 유계(bounded)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주식은 조회키에서 품목(종목)을 제거</w:t>
      </w:r>
      <w:r>
        <w:rPr>
          <w:rFonts w:ascii="맑은 고딕" w:hAnsi="맑은 고딕" w:eastAsia="맑은 고딕"/>
        </w:rPr>
        <w:t>: 주식 수수료는 종목별로 다르지 않고 거래소·조회구분·채널로만 정해짐. 카디널리티가 가장 큰 축을 제거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파생만 품목 유지</w:t>
      </w:r>
      <w:r>
        <w:rPr>
          <w:rFonts w:ascii="맑은 고딕" w:hAnsi="맑은 고딕" w:eastAsia="맑은 고딕"/>
        </w:rPr>
        <w:t>: 파생은 품목마다 수수료가 달라 품목별 행을 유지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1.3 플랫폼 / 원장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플랫폼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등록·검증·승인, 우선순위 산정, 배정판 사전 산출, 협의 부여/연장, 이력 관리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체결·잔고 반영, 계좌 지표 산정·전달, 신호 발생, 배정판 조회에 따른 실제 수수료 부과</w:t>
            </w:r>
          </w:p>
        </w:tc>
      </w:tr>
    </w:tbl>
    <w:p>
      <w:pPr>
        <w:spacing w:after="40"/>
      </w:pPr>
    </w:p>
    <w:p>
      <w:r/>
    </w:p>
    <w:p>
      <w:pPr>
        <w:pStyle w:val="Heading2"/>
      </w:pPr>
      <w:r>
        <w:t>1.4 배정판 저장 범위: 우대분만 담는다</w:t>
      </w:r>
    </w:p>
    <w:p>
      <w:pPr/>
      <w:r>
        <w:t>배정판에는 기본수수료 승자를 저장하지 않음. 이벤트·협의가 기본보다 유리해 이긴 셀만 행으로 남기고, 기본이 이기는 대다수 셀은 배정판에 행이 없음.</w:t>
      </w:r>
    </w:p>
    <w:p>
      <w:pPr/>
      <w:r>
        <w:t>원장이 체결 조회 시 배정판에서 행을 찾지 못하면(대다수 경우) 그것이 정상이며, 기본수수료를 직접 적용함. 기본 요율표는 자산군·조회구분으로 결정되고 계좌마다 다르지 않아, 계좌×셀로 복제 저장할 이유가 없음.</w:t>
      </w:r>
    </w:p>
    <w:p>
      <w:pPr/>
      <w:r>
        <w:t>효과: 배정판이 “기본 대비 우대분”만 담아 억 단위에서 수백만 규모로 축소되고, 일배치·증분 산출도 우대를 받은 계좌·셀만 대상으로 하므로 그만큼 가벼워짐. 원장 관점에서는 “배정판에 있으면 우대, 없으면 기본”이라는 단순한 이분 규칙이 됨.</w:t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2. 데이터 모델: 무엇을 어디에 담는가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저장 구조는 요율표 + 정책(규칙) + (계좌 단위) 부여관계·배정판으로 나뉨. 계좌마다 저장되는 것은 부여관계와 배정판이며, 계좌×품목 전개 테이블은 두지 않음. 아래 표의 “항목명”이 실제 데이터 항목(칼럼)임.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2.1 요율표: “얼마”를 담는 공유 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요율표는 구성요소(자사·유관기관·세금)로 이루어지고, 구성요소가 구간표이면 가격 구간이 있음. 기본·이벤트·협의가 같은 요율표 구조를 공유함.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요율표명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규칙·협의가 참조하는 요율의 묶음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구성요소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순번 · 항목명 · 종류(자사/유관기관/세금) · 부담주체(고객부과/회사부담/면제) · 요율방식(정률/정액/구간표) · 요율(bp) · 정액 · 최소수수료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 1개에 여러 구성요소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구간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요율표ID·순번 · 구간번호 · 하한 · 상한 · 요율(bp) · 정액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구간표일 때만(옵션 등)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2.2 정책(규칙): 협의도 하나의 규칙으로 통합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세 정책 타입(기본·이벤트·협의)이 하나의 규칙 모델을 공유함. 협의도 별도 구조가 아니라 “표준 등급 규칙”이며, 계좌별 차이는 규칙이 아니라 부여관계로 표현함.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정책 종류</w:t>
            </w:r>
          </w:p>
        </w:tc>
        <w:tc>
          <w:tcPr>
            <w:tcW w:type="dxa" w:w="272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규칙이 표현하는 것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계좌별 적용 판정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수명주기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자산군·범위별 표준 요율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없음(항상 적용 후보)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</w:tr>
      <w:tr>
        <w:tc>
          <w:tcPr>
            <w:tcW w:type="dxa" w:w="124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</w:t>
            </w:r>
          </w:p>
        </w:tc>
        <w:tc>
          <w:tcPr>
            <w:tcW w:type="dxa" w:w="272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기간 한정 우대 요율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판정(신청/가입/휴면복귀/일괄) + 기간 판정</w:t>
            </w:r>
          </w:p>
        </w:tc>
        <w:tc>
          <w:tcPr>
            <w:tcW w:type="dxa" w:w="153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시작~종료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공시 가능한 표준 협의 등급(예: 해외파생 2등급 = $0.80/계약)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유효기간 내 활성 부여 보유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승인 → 연장 반복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686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정책(규칙)</w:t>
            </w:r>
          </w:p>
        </w:tc>
        <w:tc>
          <w:tcPr>
            <w:tcW w:type="dxa" w:w="68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정책명 · 정책종류(기본/이벤트/협의) · 상태(초안/승인대기/활성/반려/만료) · 대상편입방식(일괄/신청/가입/휴면복귀) · 시작일 · 종료일 · 적용기간방식(캘린더/상대) · 상대개월수 · 요율표 · 지정계좌목록(일괄형)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</w:t>
            </w:r>
          </w:p>
        </w:tc>
        <w:tc>
          <w:tcPr>
            <w:tcW w:type="dxa" w:w="686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자산군 · 거래소 · 세션 · 채널 · 품목 · 제외품목 (각 항목은 “전체” 또는 값 목록)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2.3 계좌 계열: 부여관계·지표·자격기준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556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부여ID · 계좌번호 · 정책ID · 상태(요청/활성/반려/만료) · 시작일 · 종료일 · 자격구분(충족/영업예외) · 사유 · 승인자 · 승인시각 · 채널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승인·이벤트 가입을 계좌 단위로 기록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</w:t>
            </w:r>
          </w:p>
        </w:tc>
        <w:tc>
          <w:tcPr>
            <w:tcW w:type="dxa" w:w="5556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6개월평균자산 · 6개월약정액 · 휴면복귀여부 · 등급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판정·휴면복귀 신호. 원장이 정기 배치로 적재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기준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 · 지표(평균자산/약정액) · 임계값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상품군별 협의 자격 기준(참조 데이터)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2.4 산출물: 수수료 배정판·배정 이력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계좌별 최종 결과를 담는 핵심 테이블임. 원장이 체결 시 읽는 대상이 바로 “수수료 배정판”임.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배정판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거래소 · 조회구분 · 품목코드 · 주문채널 · 적용시작일 · 적용종료일 · 요율표 · 적용정책 · 정책구분(기본/이벤트/협의) · 사유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계좌×조회조건별 승자 요율표. 원장이 읽는 값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배정 이력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조회구분 · (이전→이후) 요율표·적용정책·정책구분 · 변경사유 · 변경계기 · 변경시각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“언제 왜 수수료가 바뀌었나” 추적(민원 대응)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2.5 조회키의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항목(칼럼)</w:t>
            </w:r>
          </w:p>
        </w:tc>
        <w:tc>
          <w:tcPr>
            <w:tcW w:type="dxa" w:w="374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주식·금현물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국내주식/해외주식/국내파생/해외파생/금현물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거래소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KRX / NASDAQ / CME …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조회구분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 / 선물 / 옵션 / 금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프리 / 정규 / 애프터 / 주간 / 야간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기초자산·계약 코드(예: ES, GC)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해당 없음(전체)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주문채널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모바일(MTS)/PC(HTS)/API/ARS/지점/반대매매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품목을 “전체”로 두고 거래소·조회구분·채널로만 수수료를 결정함. 이것이 규모를 결정적으로 줄이는 핵심 조치임.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3. 조회키: 체결을 수수료 정책에 잇는 기준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3.1 구성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체결이 들어오면 원장에 함께 들어오는 정보(자산군·거래소·조회구분·세션·품목·채널)로 조회키를 구성함. 계좌번호·체결가·수량은 조회키에 넣지 않음. 계좌는 배정판 조회에, 체결가·수량은 마지막 금액 계산에만 쓰임.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3.2 조회구분의 도입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파생 품목이라도 선물과 옵션은 수수료 정책이 다름. 해외주식도 일반 주식과 ETF가 다름. 그래서 “조회구분”을 축으로 두어 정책을 분리함.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자산군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조회구분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품목코드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해외파생 / 국내파생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선물 / 옵션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품목코드(예: ES, GC, KOSPI200)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파생은 예외 없이 품목별로 정책 → 품목별 행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해외주식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ETF는 주식과 요율이 달라 분리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주식(필요 시 ETF)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종목 차원 없음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금현물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3.3 축 배치 원칙</w:t>
      </w:r>
    </w:p>
    <w:p>
      <w:pPr>
        <w:spacing w:after="120"/>
        <w:ind w:left="227"/>
        <w:shd w:fill="F4F6FA"/>
      </w:pPr>
      <w:r>
        <w:rPr>
          <w:rFonts w:ascii="맑은 고딕" w:hAnsi="맑은 고딕" w:eastAsia="맑은 고딕"/>
          <w:b/>
          <w:color w:val="1F3864"/>
        </w:rPr>
        <w:t xml:space="preserve">  그 축에 따라 이기는 요율표가 달라지면 조회키(판의 키), 같은 요율표 안에서 값만 다르면 요율표 내부 항목.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자산군·조회구분·품목(파생)</w:t>
      </w:r>
      <w:r>
        <w:rPr>
          <w:rFonts w:ascii="맑은 고딕" w:hAnsi="맑은 고딕" w:eastAsia="맑은 고딕"/>
        </w:rPr>
        <w:t>: 판의 키 (분류별로 승자 자체가 다름)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거래소·세션</w:t>
      </w:r>
      <w:r>
        <w:rPr>
          <w:rFonts w:ascii="맑은 고딕" w:hAnsi="맑은 고딕" w:eastAsia="맑은 고딕"/>
        </w:rPr>
        <w:t>: 판의 키(“전체” 허용). 시장·세션 한정 이벤트가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주문채널</w:t>
      </w:r>
      <w:r>
        <w:rPr>
          <w:rFonts w:ascii="맑은 고딕" w:hAnsi="맑은 고딕" w:eastAsia="맑은 고딕"/>
        </w:rPr>
        <w:t>: 판의 키(“전체” 허용). 매체 한정 이벤트가 매체에 따라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매수/매도</w:t>
      </w:r>
      <w:r>
        <w:rPr>
          <w:rFonts w:ascii="맑은 고딕" w:hAnsi="맑은 고딕" w:eastAsia="맑은 고딕"/>
        </w:rPr>
        <w:t>: 요율표 내부 항목. 승자는 같고 요율만 다름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4. 수수료 계산: 요율표 평가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배정판에서 고른 요율표에 체결(체결가·수량)을 대입해 구성요소별 금액을 산출하고 부담주체별로 합산함.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4.1 구성요소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요율방식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계산식(구성요소 금액)</w:t>
            </w:r>
          </w:p>
        </w:tc>
        <w:tc>
          <w:tcPr>
            <w:tcW w:type="dxa" w:w="243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정률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거래대금 × 요율(bp) ÷ 10,000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8bp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 × 수량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계약당 $2.50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체결가 구간에서 (거래대금×요율) + (정액×수량)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 옵션 0.14% + 13원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구간표는 한 구간에서 정률과 정액을 동시에 더함. 상위 구간에서 요율이 낮아져도 정액이 그 하락을 보정해 가격 대비 단조 증가를 유지함.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4.2 부담주체·통화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부담주체</w:t>
      </w:r>
      <w:r>
        <w:rPr>
          <w:rFonts w:ascii="맑은 고딕" w:hAnsi="맑은 고딕" w:eastAsia="맑은 고딕"/>
        </w:rPr>
        <w:t>: 고객부과(고객이 냄) · 회사부담(회사가 냄, 고객총액 제외) · 면제(0)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고객부과 합계 = 부담주체가 “고객부과”인 구성요소의 합. 회사부담 합계는 역마진 경고에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통화</w:t>
      </w:r>
      <w:r>
        <w:rPr>
          <w:rFonts w:ascii="맑은 고딕" w:hAnsi="맑은 고딕" w:eastAsia="맑은 고딕"/>
        </w:rPr>
        <w:t>: 해외주식·해외파생 = 미국달러($), 국내·금현물 = 원(₩). 표시는 상품군 기준으로 결정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5. 수수료 우선순위: 세 정책이 한 순위에서 경쟁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5.1 통합 랭킹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기본·이벤트·협의를 하나의 요율 순위에 함께 올려 경쟁시킴(협의도 규칙으로 일원화됨). 정렬 순서는 다음과 같음.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요율 최저</w:t>
      </w:r>
      <w:r>
        <w:rPr>
          <w:rFonts w:ascii="맑은 고딕" w:hAnsi="맑은 고딕" w:eastAsia="맑은 고딕"/>
        </w:rPr>
        <w:t>: 구조 그룹 순위값(정률=요율, 정액=정액)이 가장 낮은 정책이 이김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계층</w:t>
      </w:r>
      <w:r>
        <w:rPr>
          <w:rFonts w:ascii="맑은 고딕" w:hAnsi="맑은 고딕" w:eastAsia="맑은 고딕"/>
        </w:rPr>
        <w:t>: 협의 &gt; 이벤트 &gt; 기본 (고객 약정 &gt; 판촉 &gt; 기본)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적용범위 구체성</w:t>
      </w:r>
      <w:r>
        <w:rPr>
          <w:rFonts w:ascii="맑은 고딕" w:hAnsi="맑은 고딕" w:eastAsia="맑은 고딕"/>
        </w:rPr>
        <w:t>: 더 좁게 겨냥한(제약이 많은) 정책 우선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정책ID</w:t>
      </w:r>
      <w:r>
        <w:rPr>
          <w:rFonts w:ascii="맑은 고딕" w:hAnsi="맑은 고딕" w:eastAsia="맑은 고딕"/>
        </w:rPr>
        <w:t>: 언제 조회해도 같은 결과(결정성)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5.2 자격 판정(계좌별 게이트)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정책 구분</w:t>
            </w:r>
          </w:p>
        </w:tc>
        <w:tc>
          <w:tcPr>
            <w:tcW w:type="dxa" w:w="697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조건(자격 게이트)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항상 통과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</w:t>
            </w:r>
          </w:p>
        </w:tc>
        <w:tc>
          <w:tcPr>
            <w:tcW w:type="dxa" w:w="697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대상 판정(신청/가입/휴면복귀/일괄) AND 기간 판정(캘린더형=규칙 기간, 상대형=계좌별 가입일 기준 기간)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부여관계가 “활성”이고 오늘이 유효기간(시작일~종료일) 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협의가 무조건 우선은 아님. 이벤트가 협의보다 싸면 이벤트가 이김(고객 유리 원칙). 다만 요율은 협의가 낮게 설계되는 것이 일반적임.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5.3 예시: 계좌 8041-2237-01의 경쟁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 ETF 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 ETF 이벤트 (0.09%)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9.0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신청형: 가입 활성 → 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기본 (0.25%)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25.0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해외파생 ES 선물 셀(이 계좌는 2등급 협의 보유):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3등급 ($0.50)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없음 → 탈락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2등급 ($0.80)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0.80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활성 → 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기본 ($2.50)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3등급이 더 싸지만 이 계좌는 3등급 승인(부여)이 없어 탈락함. 협의가 “규칙”이어도 계좌 적용은 부여관계로 판정됨.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6. 개별 체결의 수수료 결정: 원장의 배정판 조회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실제로 체결했을 때, 원장은 미리 산출된 수수료 배정판에서 한 줄만 읽어 요율표를 확정함. 우선순위 계산은 이미 배정판에 반영되어 있으므로 체결 시점에는 계산이 없음.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6.1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읽는 대상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키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반환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조회키 구성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(조회 없음)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체결(자산군·거래소·조회구분·세션·채널·품목)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배정판 조회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계좌번호 + 조회키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 요율표·적용정책·정책구분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요율표 평가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요율표·구성요소·구간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자사·유관기관·세금 금액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 원장 반영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(원장)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실제 부과·잔고 반영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 맞는 행이 없으면(대다수 셀) 기본수수료를 직접 적용함. 이는 예외가 아니라 정상 경로임(배정판은 우대분만 담음, §1.4 참조). 원장 수정 범위는 이 조회 한 곳뿐임.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6.2 예시: 계좌 8041-2237-01의 배정판 (2026-07-07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GC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옵션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 기본 $2.50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2026-07-01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 이벤트 0.09%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이벤트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 기본 0.25%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참고: 협의 없는 일반 계좌 6015-8890-42는 국내주식 한 줄로 단순함(모두 기본).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6015-8890-42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KRX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 기본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ES·GC 선물</w:t>
      </w:r>
      <w:r>
        <w:rPr>
          <w:rFonts w:ascii="맑은 고딕" w:hAnsi="맑은 고딕" w:eastAsia="맑은 고딕"/>
        </w:rPr>
        <w:t>: 협의 2등급($0.80)이 승자. 협의 유효기간이 행의 적용기간으로 전파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 옵션</w:t>
      </w:r>
      <w:r>
        <w:rPr>
          <w:rFonts w:ascii="맑은 고딕" w:hAnsi="맑은 고딕" w:eastAsia="맑은 고딕"/>
        </w:rPr>
        <w:t>: 협의 범위 밖이라 기본($2.50). 같은 품목이라도 선물/옵션이 다르면 다른 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해외 ETF/주식</w:t>
      </w:r>
      <w:r>
        <w:rPr>
          <w:rFonts w:ascii="맑은 고딕" w:hAnsi="맑은 고딕" w:eastAsia="맑은 고딕"/>
        </w:rPr>
        <w:t>: ETF는 이벤트(0.09%), 주식은 기본(0.25%). 조회구분 분리 효과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7. 대상 편입: 고객이 정책 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이벤트는 유형마다 대상이 정해지는 방식이 다름. 그 근거 데이터가 어디에 쌓이는지가 유형을 구분함.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대상이 되는 조건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 데이터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고객/시스템 행위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일괄형(타겟추출)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적용범위(또는 지정 계좌)에 맞으면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적용범위 / 지정계좌목록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없음(또는 사전 타겟 주입)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신청→승인된 계좌만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부여관계(신청 채널·시점)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신청 → 심사 승인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이벤트에 가입한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부여관계(가입일)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가입 액션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휴면에서 복귀한 계좌 자동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지표(휴면복귀여부)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없음(원장 신호 감지)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협의(조건 충족)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조건 충족 시 부여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 + 자격 기준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고객/PB 신청 → 자격 판정 → 승인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일괄형의 “전체 대상”은 적용범위에 맞는 모든 계좌가 자동으로, “지정 계좌”는 업로드한 계좌 목록에만 적용됨.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8. 이벤트 기간: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서로 다른 두 기간이 있음. 실무에서 자주 혼동되므로 분리해 저장함.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>: 고객이 이벤트에 들어올 수 있는 캘린더 구간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>: 실제 우대가 적용되는 구간. 규칙마다 두 방식 중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적용기간 방식</w:t>
            </w:r>
          </w:p>
        </w:tc>
        <w:tc>
          <w:tcPr>
            <w:tcW w:type="dxa" w:w="368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산정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캘린더 고정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종료일까지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고객이 같은 날 종료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상대(+N개월)</w:t>
            </w:r>
          </w:p>
        </w:tc>
        <w:tc>
          <w:tcPr>
            <w:tcW w:type="dxa" w:w="368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가입일 ~ 가입일 + N개월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고객마다 종료일 상이. 신청 마감 지나도 잔여기간 유지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계좌마다 가입일이 다르므로 종료일도 제각각임. 배정판이 계좌 단위이므로 이 계좌별 혜택 기간이 적용시작일·적용종료일에 그대로 반영됨.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9. 협의수수료: 신청·자격·승인·연장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협의는 표준 등급 규칙으로 관리되고, 계좌별 적용은 부여관계로 표현됨. 부여관계는 요청 → 활성 → (연장/반려)의 상태를 거침.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9.1 라이프사이클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00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 접수(자격 판정 결과 포함)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→ 활성 / 반려 → 반려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활성</w:t>
            </w:r>
          </w:p>
        </w:tc>
        <w:tc>
          <w:tcPr>
            <w:tcW w:type="dxa" w:w="396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유효기간 내 부여됨</w:t>
            </w:r>
          </w:p>
        </w:tc>
        <w:tc>
          <w:tcPr>
            <w:tcW w:type="dxa" w:w="300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→ 종료일 연장 / 탈락 → 반려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반려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거절 또는 탈락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(종료)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자격구분</w:t>
      </w:r>
      <w:r>
        <w:rPr>
          <w:rFonts w:ascii="맑은 고딕" w:hAnsi="맑은 고딕" w:eastAsia="맑은 고딕"/>
        </w:rPr>
        <w:t>: 충족(자격 통과) 또는 영업예외(미충족이나 영업상 우대 필요로 승인)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9.2 신청과 자격 자동판정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 판정</w:t>
      </w:r>
      <w:r>
        <w:rPr>
          <w:rFonts w:ascii="맑은 고딕" w:hAnsi="맑은 고딕" w:eastAsia="맑은 고딕"/>
        </w:rPr>
        <w:t>: 자격 기준의 지표(6개월 평균자산/약정액)와 임계값을 계좌 지표와 비교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영업 예외</w:t>
      </w:r>
      <w:r>
        <w:rPr>
          <w:rFonts w:ascii="맑은 고딕" w:hAnsi="맑은 고딕" w:eastAsia="맑은 고딕"/>
        </w:rPr>
        <w:t>: 미충족이라도 영업상 필요한 계좌는 사유를 달아 예외로 신청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요율표 수정</w:t>
      </w:r>
      <w:r>
        <w:rPr>
          <w:rFonts w:ascii="맑은 고딕" w:hAnsi="맑은 고딕" w:eastAsia="맑은 고딕"/>
        </w:rPr>
        <w:t>: 표준 등급 요율표를 상속하되, 자사 요율을 정률/정액으로 조정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요청 생성</w:t>
      </w:r>
      <w:r>
        <w:rPr>
          <w:rFonts w:ascii="맑은 고딕" w:hAnsi="맑은 고딕" w:eastAsia="맑은 고딕"/>
        </w:rPr>
        <w:t>: “협수 요청” 시 계좌별 부여를 “요청” 상태로 생성(요청번호로 묶음)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9.3 승인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별도 승인 화면에서 요청을 요청번호 단위로 확인·일괄 승인함. 승인 시 상태=활성, 시작일=승인일, 종료일=승인일+1년으로 설정되고, 해당 계좌의 배정판이 증분 갱신됨.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9.4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만료가 다가오면 계좌를 일일이 보지 않고 그룹 단위(주식형은 상품군, 파생은 품목)로 연장 대상을 산출함. 정기 배치가 연장 대상자를 뽑아 검토 대기 상태로 올리면, 담당자가 확인해 일괄 승인함.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재평가</w:t>
      </w:r>
      <w:r>
        <w:rPr>
          <w:rFonts w:ascii="맑은 고딕" w:hAnsi="맑은 고딕" w:eastAsia="맑은 고딕"/>
        </w:rPr>
        <w:t>: 활성 부여를 상품군 자격 기준으로 다시 평가 → 유지(충족 또는 영업예외) / 탈락(더는 미충족)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</w:t>
      </w:r>
      <w:r>
        <w:rPr>
          <w:rFonts w:ascii="맑은 고딕" w:hAnsi="맑은 고딕" w:eastAsia="맑은 고딕"/>
        </w:rPr>
        <w:t>: 유지 → 종료일 연장, 탈락 → 반려(해지 대상). 탈락 대상이 함께 노출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9.5 6개월 실적 지표: 언제 계산되는가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자격 판정에 쓰는 지난 6개월 실적(평균자산·약정액)은 신청·연장 순간에 즉석 계산하지 않음. 원장이 정기 배치로 최근 6개월을 미리 재산정해 적재하고, 신청·연장 때는 그 최신 스냅샷을 조회만 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실적 계산 여부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정기 배치(원장)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최근 6개월 평균자산·약정액 재산정 → 계좌 지표 적재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여기서만 계산(일/월 주기)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신청 시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 스냅샷을 상품군 임계값과 비교</w:t>
            </w:r>
          </w:p>
        </w:tc>
        <w:tc>
          <w:tcPr>
            <w:tcW w:type="dxa" w:w="187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대상 산출 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최신 스냅샷 기준으로 유지/탈락 판정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10. 배정판 산출·무효화: 일배치 + 수시 증분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10.1 일배치 전체 재산출 (매일 1회, 장 마감 후)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활성 정책(기본·이벤트·협의)·요율표를 로드해 우선순위 순위를 구성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계좌 × (자산군·거래소·조회구분·품목[파생]) 셀을 전개(계좌가 개설한 상품군만)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셀별 승자 확정: 순위를 내려가며 자격 게이트를 통과하는 첫 정책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현행 배정판과 대조(diff) → 변경분만 반영 + 배정 이력 적재. 대조 리포트가 곧 정합성 점검 산출물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전체 재산출이 매일 돌므로 이벤트 시작/종료·협의 만료가 다음 배치에서 반드시 반영되고, 배정판은 매일 “정책 전체로부터 재유도한 기대값”과 일치함이 보장됨.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10.2 수시 증분 (주중 발생 시, 당일 적용)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계기</w:t>
            </w:r>
          </w:p>
        </w:tc>
        <w:tc>
          <w:tcPr>
            <w:tcW w:type="dxa" w:w="549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범위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승인/반려/조기종료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범위에 매칭되는 셀 × 대상 계좌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승인·연장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협의 범위 셀(종료일 연장)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신청/가입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이벤트 범위 셀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 감지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휴면복귀형 범위 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증분은 일배치와 동일한 승자 확정 로직을 좁은 범위에 적용하는 것이라 로직이 두 벌 존재하지 않음. 증분이 실패·누락돼도 다음 일배치가 보정함. 증분은 신속 반영, 일배치가 정합성의 진본임.</w:t>
      </w:r>
    </w:p>
    <w:p>
      <w:r/>
    </w:p>
    <w:p>
      <w:pPr>
        <w:pStyle w:val="Heading2"/>
      </w:pPr>
      <w:r>
        <w:t>10.3 규모 확장 배치 전략: 억 단위 판</w:t>
      </w:r>
    </w:p>
    <w:p>
      <w:pPr/>
      <w:r>
        <w:t>국내 최대 리테일 계좌 규모 기준, 판은 억 단위 행까지 성장 가능. 조회는 인덱스 구조상 행 수와 무관하게 1ms 안쪽이 유지되므로(부록 실측), 규모의 관건은 조회가 아니라 산출 배치임. 판이 수천만 행 이하인 동안은 매일 전체 재산출(§10.1)이 수 분에 끝나 그대로 유지하고, 억 단위 도달 시 아래 3층 체제로 전환함.</w:t>
      </w:r>
    </w:p>
    <w:p>
      <w:pPr>
        <w:pStyle w:val="ListBullet"/>
      </w:pPr>
      <w:r>
        <w:rPr>
          <w:b/>
        </w:rPr>
        <w:t>① 수시 증분(즉시)</w:t>
      </w:r>
      <w:r>
        <w:t>: 신청·승인·연장 시 해당 계좌 셀만 갱신(§10.2와 동일). 대상 편입은 이 경로로 당일 적용이 이미 보장됨</w:t>
      </w:r>
    </w:p>
    <w:p>
      <w:pPr>
        <w:pStyle w:val="ListBullet"/>
      </w:pPr>
      <w:r>
        <w:rPr>
          <w:b/>
        </w:rPr>
        <w:t>② 일 delta 배치(초 단위)</w:t>
      </w:r>
      <w:r>
        <w:t>: 날짜 경과로 승자가 바뀌는 셀만 재산출. 대상은 판에서 직접 식별 가능함: 적용종료일이 전일인 행(이벤트 종료·협의 만료/연장 실패)과 당일 시작 정책의 적용범위 셀. 하루 만료분은 전체의 극소수라 처리량 부담 없음</w:t>
      </w:r>
    </w:p>
    <w:p>
      <w:pPr>
        <w:pStyle w:val="ListBullet"/>
      </w:pPr>
      <w:r>
        <w:rPr>
          <w:b/>
        </w:rPr>
        <w:t>③ 주기 전체 검증(진본)</w:t>
      </w:r>
      <w:r>
        <w:t>: 주 1회 전체 재산출·대조, 또는 계좌를 1/N로 나눠 N일 주기 순환 검증. 증분·delta 누락 보정, 신규 계좌·상품군 가입·신규 품목 상장 반영, 대조 리포트 산출은 이 층이 담당함(§10.1의 정합성 진본 역할을 승계)</w:t>
      </w:r>
    </w:p>
    <w:p>
      <w:pPr>
        <w:pStyle w:val="ListBullet"/>
      </w:pPr>
      <w:r>
        <w:rPr>
          <w:b/>
        </w:rPr>
        <w:t>적재 원칙</w:t>
      </w:r>
      <w:r>
        <w:t>: 전체 재산출·검증 배치는 키 정렬 순서 병렬 적재(direct-path)로 수행함. 무작위 순서 갱신은 인덱스 캐시 미스로 수십 배 느려짐(실측 확인). 2억 행 정렬 적재는 단일 스레드로도 6분(실측), 무작위 갱신은 시간 단위로 벌어짐</w:t>
      </w:r>
    </w:p>
    <w:p>
      <w:pPr/>
      <w:r>
        <w:t>요약: 즉시성은 증분이, 날짜 롤오버는 delta가, 정합성은 주기 검증이 담당함. 세 층이 같은 승자 확정 함수를 공유하므로 로직은 여전히 한 벌임.</w:t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11. 등록 → 검증 → 승인 → 활성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현업 기안 → 시뮬레이션 검증 → 심사 승인 → 활성의 흐름으로 반영됨. 활성 이후에는 계좌별 전개 없이 배정판 산출로 적용됨.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기안</w:t>
      </w:r>
      <w:r>
        <w:rPr>
          <w:rFonts w:ascii="맑은 고딕" w:hAnsi="맑은 고딕" w:eastAsia="맑은 고딕"/>
        </w:rPr>
        <w:t>: 적용범위(상품군·거래소·조회구분·채널, 파생은 품목)·요율표·기간·대상을 지정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지배관계 검증</w:t>
      </w:r>
      <w:r>
        <w:rPr>
          <w:rFonts w:ascii="맑은 고딕" w:hAnsi="맑은 고딕" w:eastAsia="맑은 고딕"/>
        </w:rPr>
        <w:t>: 우대 요율표가 기준선을 전 가격구간에서 하회하는지 자동 점검(가짜 우대 차단)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역마진 경고</w:t>
      </w:r>
      <w:r>
        <w:rPr>
          <w:rFonts w:ascii="맑은 고딕" w:hAnsi="맑은 고딕" w:eastAsia="맑은 고딕"/>
        </w:rPr>
        <w:t>: 회사부담 합계가 자사 수취분을 초과하면 경고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승인</w:t>
      </w:r>
      <w:r>
        <w:rPr>
          <w:rFonts w:ascii="맑은 고딕" w:hAnsi="맑은 고딕" w:eastAsia="맑은 고딕"/>
        </w:rPr>
        <w:t>: 심사자 결재 → 활성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활성 후처리</w:t>
      </w:r>
      <w:r>
        <w:rPr>
          <w:rFonts w:ascii="맑은 고딕" w:hAnsi="맑은 고딕" w:eastAsia="맑은 고딕"/>
        </w:rPr>
        <w:t>: 우선순위 순위 갱신 + 영향 범위 배정판 증분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시뮬레이션·적용범위도 “거래소×조회구분×채널” 단위로 다룸. 종목별 지정은 파생에만 해당함.</w:t>
      </w:r>
    </w:p>
    <w:p>
      <w:pPr>
        <w:pStyle w:val="Heading1"/>
      </w:pPr>
      <w:r>
        <w:t>부록. 배정판 점조회 성능 실측</w:t>
      </w:r>
    </w:p>
    <w:p>
      <w:pPr/>
      <w:r>
        <w:t>판과 동일한 키 구조(계좌ID 선두 복합키, 인덱스 조직 테이블 = 커버링 인덱스 등가)로 로컬 벤치마크를 수행함. 무작위 계좌 1만 건 점조회 기준.</w:t>
      </w:r>
    </w:p>
    <w:p>
      <w:pPr>
        <w:pStyle w:val="ListBullet"/>
      </w:pPr>
      <w:r>
        <w:rPr>
          <w:b/>
        </w:rPr>
        <w:t>1,000만 행 (DB 1.2GB)</w:t>
      </w:r>
      <w:r>
        <w:t>: 중앙값 0.041ms · 상위 1% 0.260ms · 최대 1.2ms</w:t>
      </w:r>
    </w:p>
    <w:p>
      <w:pPr>
        <w:pStyle w:val="ListBullet"/>
      </w:pPr>
      <w:r>
        <w:rPr>
          <w:b/>
        </w:rPr>
        <w:t>5,000만 행 (DB 5.7GB)</w:t>
      </w:r>
      <w:r>
        <w:t>: 중앙값 0.202ms · 상위 1% 0.698ms · 최대 2.5ms</w:t>
      </w:r>
    </w:p>
    <w:p>
      <w:pPr>
        <w:pStyle w:val="ListBullet"/>
      </w:pPr>
      <w:r>
        <w:rPr>
          <w:b/>
        </w:rPr>
        <w:t>1억 행 (DB 11.4GB)</w:t>
      </w:r>
      <w:r>
        <w:t>: 중앙값 0.269ms · 상위 1% 0.613ms · 최대 2.5ms</w:t>
      </w:r>
    </w:p>
    <w:p>
      <w:pPr>
        <w:pStyle w:val="ListBullet"/>
      </w:pPr>
      <w:r>
        <w:rPr>
          <w:b/>
        </w:rPr>
        <w:t>2억 행 (DB 22.8GB)</w:t>
      </w:r>
      <w:r>
        <w:t>: 중앙값 0.293ms · 상위 1% 0.736ms · 최대 10.2ms</w:t>
      </w:r>
    </w:p>
    <w:p>
      <w:pPr/>
      <w:r>
        <w:t>행 수가 늘어도 B-tree 깊이(3~4단)가 거의 변하지 않아 지연시간이 평탄함. 10억 행에서도 깊이 4~5로 동일한 특성이 유지됨. 즉 "near-instant 조회"는 행 수 상한이 아니라 인덱스 구조로 보장되는 성질임.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21"/>
        </w:rPr>
        <w:t>이상.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18"/>
        </w:rPr>
        <w:t>관련 문서: 기술설계서 v1.0(전신), 우선순위 저장 설계 v1.1·v1.2, 물리 데이터 모델(table-design).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