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1F3A5F"/>
          <w:sz w:val="48"/>
        </w:rPr>
        <w:t>수수료 이벤트 정형화 플랫폼</w:t>
      </w:r>
    </w:p>
    <w:p>
      <w:pPr>
        <w:jc w:val="center"/>
      </w:pPr>
      <w:r>
        <w:rPr>
          <w:rFonts w:ascii="맑은 고딕" w:hAnsi="맑은 고딕" w:eastAsia="맑은 고딕"/>
          <w:color w:val="555555"/>
          <w:sz w:val="32"/>
        </w:rPr>
        <w:t>업무 설계서</w:t>
      </w:r>
    </w:p>
    <w:p>
      <w:pPr>
        <w:jc w:val="center"/>
      </w:pPr>
      <w:r>
        <w:rPr>
          <w:rFonts w:ascii="맑은 고딕" w:hAnsi="맑은 고딕" w:eastAsia="맑은 고딕"/>
          <w:color w:val="555555"/>
          <w:sz w:val="21"/>
        </w:rPr>
        <w:t>버전 0.6  ·  2026-07-05  ·  업무개발팀 / 현업 공유용</w:t>
      </w:r>
    </w:p>
    <w:p/>
    <w:p>
      <w:pPr>
        <w:spacing w:after="120"/>
      </w:pPr>
      <w:r>
        <w:rPr>
          <w:rFonts w:ascii="맑은 고딕" w:hAnsi="맑은 고딕" w:eastAsia="맑은 고딕"/>
          <w:b w:val="0"/>
          <w:i/>
          <w:color w:val="555555"/>
          <w:sz w:val="21"/>
        </w:rPr>
        <w:t>본 문서는 수수료 우대(이벤트·협의수수료)의 등록부터 체결 시 실제 부과까지의 업무 흐름과 데이터 구조, 적용 방식, 시스템 구성을 현업·업무개발 담당자 관점에서 정리한 것입니다. 개발 용어 대신 업무 흐름 중심으로 기술합니다.</w:t>
      </w:r>
    </w:p>
    <w:p>
      <w:pPr>
        <w:pStyle w:val="Heading2"/>
      </w:pPr>
      <w:r>
        <w:rPr>
          <w:rFonts w:ascii="맑은 고딕" w:hAnsi="맑은 고딕" w:eastAsia="맑은 고딕"/>
          <w:color w:val="1F3A5F"/>
        </w:rPr>
        <w:t>용어 정리</w:t>
      </w:r>
    </w:p>
    <w:tbl>
      <w:tblPr>
        <w:tblStyle w:val="LightGrid-Accent1"/>
        <w:tblW w:type="auto" w:w="0"/>
        <w:jc w:val="center"/>
        <w:tblLook w:firstColumn="1" w:firstRow="1" w:lastColumn="0" w:lastRow="0" w:noHBand="0" w:noVBand="1" w:val="04A0"/>
      </w:tblPr>
      <w:tblGrid>
        <w:gridCol w:w="4320"/>
        <w:gridCol w:w="4320"/>
      </w:tblGrid>
      <w:tr>
        <w:tc>
          <w:tcPr>
            <w:tcW w:type="dxa" w:w="1984"/>
          </w:tcPr>
          <w:p>
            <w:r/>
            <w:r>
              <w:rPr>
                <w:rFonts w:ascii="맑은 고딕" w:hAnsi="맑은 고딕" w:eastAsia="맑은 고딕"/>
                <w:b/>
                <w:sz w:val="19"/>
              </w:rPr>
              <w:t>용어</w:t>
            </w:r>
          </w:p>
        </w:tc>
        <w:tc>
          <w:tcPr>
            <w:tcW w:type="dxa" w:w="6803"/>
          </w:tcPr>
          <w:p>
            <w:r/>
            <w:r>
              <w:rPr>
                <w:rFonts w:ascii="맑은 고딕" w:hAnsi="맑은 고딕" w:eastAsia="맑은 고딕"/>
                <w:b/>
                <w:sz w:val="19"/>
              </w:rPr>
              <w:t>뜻</w:t>
            </w:r>
          </w:p>
        </w:tc>
      </w:tr>
      <w:tr>
        <w:tc>
          <w:tcPr>
            <w:tcW w:type="dxa" w:w="1984"/>
          </w:tcPr>
          <w:p>
            <w:r/>
            <w:r>
              <w:rPr>
                <w:rFonts w:ascii="맑은 고딕" w:hAnsi="맑은 고딕" w:eastAsia="맑은 고딕"/>
                <w:sz w:val="19"/>
              </w:rPr>
              <w:t>기본수수료</w:t>
            </w:r>
          </w:p>
        </w:tc>
        <w:tc>
          <w:tcPr>
            <w:tcW w:type="dxa" w:w="6803"/>
          </w:tcPr>
          <w:p>
            <w:r/>
            <w:r>
              <w:rPr>
                <w:rFonts w:ascii="맑은 고딕" w:hAnsi="맑은 고딕" w:eastAsia="맑은 고딕"/>
                <w:sz w:val="19"/>
              </w:rPr>
              <w:t>모든 계좌에 적용되는 상품군별 표준 요율(우대의 비교 기준선).</w:t>
            </w:r>
          </w:p>
        </w:tc>
      </w:tr>
      <w:tr>
        <w:tc>
          <w:tcPr>
            <w:tcW w:type="dxa" w:w="1984"/>
          </w:tcPr>
          <w:p>
            <w:r/>
            <w:r>
              <w:rPr>
                <w:rFonts w:ascii="맑은 고딕" w:hAnsi="맑은 고딕" w:eastAsia="맑은 고딕"/>
                <w:sz w:val="19"/>
              </w:rPr>
              <w:t>이벤트수수료</w:t>
            </w:r>
          </w:p>
        </w:tc>
        <w:tc>
          <w:tcPr>
            <w:tcW w:type="dxa" w:w="6803"/>
          </w:tcPr>
          <w:p>
            <w:r/>
            <w:r>
              <w:rPr>
                <w:rFonts w:ascii="맑은 고딕" w:hAnsi="맑은 고딕" w:eastAsia="맑은 고딕"/>
                <w:sz w:val="19"/>
              </w:rPr>
              <w:t>한시적 우대. 전 계좌 일괄 또는 신청·가입·휴면복귀로 대상이 정해짐.</w:t>
            </w:r>
          </w:p>
        </w:tc>
      </w:tr>
      <w:tr>
        <w:tc>
          <w:tcPr>
            <w:tcW w:type="dxa" w:w="1984"/>
          </w:tcPr>
          <w:p>
            <w:r/>
            <w:r>
              <w:rPr>
                <w:rFonts w:ascii="맑은 고딕" w:hAnsi="맑은 고딕" w:eastAsia="맑은 고딕"/>
                <w:sz w:val="19"/>
              </w:rPr>
              <w:t>협의수수료</w:t>
            </w:r>
          </w:p>
        </w:tc>
        <w:tc>
          <w:tcPr>
            <w:tcW w:type="dxa" w:w="6803"/>
          </w:tcPr>
          <w:p>
            <w:r/>
            <w:r>
              <w:rPr>
                <w:rFonts w:ascii="맑은 고딕" w:hAnsi="맑은 고딕" w:eastAsia="맑은 고딕"/>
                <w:sz w:val="19"/>
              </w:rPr>
              <w:t>개별 고객과 협의해 부여하는 우대. 자격 조건(예: 6개월 평균자산)을 만족해야 함.</w:t>
            </w:r>
          </w:p>
        </w:tc>
      </w:tr>
      <w:tr>
        <w:tc>
          <w:tcPr>
            <w:tcW w:type="dxa" w:w="1984"/>
          </w:tcPr>
          <w:p>
            <w:r/>
            <w:r>
              <w:rPr>
                <w:rFonts w:ascii="맑은 고딕" w:hAnsi="맑은 고딕" w:eastAsia="맑은 고딕"/>
                <w:sz w:val="19"/>
              </w:rPr>
              <w:t>적용범위</w:t>
            </w:r>
          </w:p>
        </w:tc>
        <w:tc>
          <w:tcPr>
            <w:tcW w:type="dxa" w:w="6803"/>
          </w:tcPr>
          <w:p>
            <w:r/>
            <w:r>
              <w:rPr>
                <w:rFonts w:ascii="맑은 고딕" w:hAnsi="맑은 고딕" w:eastAsia="맑은 고딕"/>
                <w:sz w:val="19"/>
              </w:rPr>
              <w:t>우대가 걸리는 축 — 상품군·거래소·세션·주문채널, 파생은 품목까지.</w:t>
            </w:r>
          </w:p>
        </w:tc>
      </w:tr>
      <w:tr>
        <w:tc>
          <w:tcPr>
            <w:tcW w:type="dxa" w:w="1984"/>
          </w:tcPr>
          <w:p>
            <w:r/>
            <w:r>
              <w:rPr>
                <w:rFonts w:ascii="맑은 고딕" w:hAnsi="맑은 고딕" w:eastAsia="맑은 고딕"/>
                <w:sz w:val="19"/>
              </w:rPr>
              <w:t>요율표</w:t>
            </w:r>
          </w:p>
        </w:tc>
        <w:tc>
          <w:tcPr>
            <w:tcW w:type="dxa" w:w="6803"/>
          </w:tcPr>
          <w:p>
            <w:r/>
            <w:r>
              <w:rPr>
                <w:rFonts w:ascii="맑은 고딕" w:hAnsi="맑은 고딕" w:eastAsia="맑은 고딕"/>
                <w:sz w:val="19"/>
              </w:rPr>
              <w:t>수수료를 구성하는 항목표(자사 위탁수수료·유관기관수수료·세금).</w:t>
            </w:r>
          </w:p>
        </w:tc>
      </w:tr>
      <w:tr>
        <w:tc>
          <w:tcPr>
            <w:tcW w:type="dxa" w:w="1984"/>
          </w:tcPr>
          <w:p>
            <w:r/>
            <w:r>
              <w:rPr>
                <w:rFonts w:ascii="맑은 고딕" w:hAnsi="맑은 고딕" w:eastAsia="맑은 고딕"/>
                <w:sz w:val="19"/>
              </w:rPr>
              <w:t>해석</w:t>
            </w:r>
          </w:p>
        </w:tc>
        <w:tc>
          <w:tcPr>
            <w:tcW w:type="dxa" w:w="6803"/>
          </w:tcPr>
          <w:p>
            <w:r/>
            <w:r>
              <w:rPr>
                <w:rFonts w:ascii="맑은 고딕" w:hAnsi="맑은 고딕" w:eastAsia="맑은 고딕"/>
                <w:sz w:val="19"/>
              </w:rPr>
              <w:t>체결 시점에 계좌에 맞는 최저 수수료를 즉석에서 골라내는 과정.</w:t>
            </w:r>
          </w:p>
        </w:tc>
      </w:tr>
    </w:tbl>
    <w:p>
      <w:pPr>
        <w:spacing w:after="40"/>
      </w:pPr>
    </w:p>
    <w:p>
      <w:r>
        <w:br w:type="page"/>
      </w:r>
    </w:p>
    <w:p>
      <w:pPr>
        <w:pStyle w:val="Heading1"/>
      </w:pPr>
      <w:r>
        <w:rPr>
          <w:rFonts w:ascii="맑은 고딕" w:hAnsi="맑은 고딕" w:eastAsia="맑은 고딕"/>
          <w:color w:val="1F3A5F"/>
        </w:rPr>
        <w:t>1. 업무 프로세스 정의서</w:t>
      </w:r>
    </w:p>
    <w:p>
      <w:pPr>
        <w:pStyle w:val="Heading2"/>
      </w:pPr>
      <w:r>
        <w:rPr>
          <w:rFonts w:ascii="맑은 고딕" w:hAnsi="맑은 고딕" w:eastAsia="맑은 고딕"/>
          <w:color w:val="1F3A5F"/>
        </w:rPr>
        <w:t>1.1 플랫폼이 하는 일</w:t>
      </w:r>
    </w:p>
    <w:p>
      <w:pPr>
        <w:spacing w:after="120"/>
      </w:pPr>
      <w:r>
        <w:rPr>
          <w:rFonts w:ascii="맑은 고딕" w:hAnsi="맑은 고딕" w:eastAsia="맑은 고딕"/>
          <w:b w:val="0"/>
          <w:i w:val="0"/>
          <w:sz w:val="21"/>
        </w:rPr>
        <w:t>마케팅·PB 등 현업이 수수료 우대를 "규칙(룰)"으로 등록하면, 심사·승인을 거쳐 활성화되고, 고객이 거래를 체결하는 순간 그 계좌에 가장 유리한(최저) 수수료가 자동으로 선택되어 부과됩니다. 핵심은 "우대를 계좌마다 미리 전개해 두지 않고, 규칙만 저장했다가 체결 시점에 해석한다"는 점입니다.</w:t>
      </w:r>
    </w:p>
    <w:p>
      <w:pPr>
        <w:pStyle w:val="Heading2"/>
      </w:pPr>
      <w:r>
        <w:rPr>
          <w:rFonts w:ascii="맑은 고딕" w:hAnsi="맑은 고딕" w:eastAsia="맑은 고딕"/>
          <w:color w:val="1F3A5F"/>
        </w:rPr>
        <w:t>1.2 수수료 3계층과 최저가 자동 적용</w:t>
      </w:r>
    </w:p>
    <w:p>
      <w:pPr>
        <w:spacing w:after="120"/>
      </w:pPr>
      <w:r>
        <w:rPr>
          <w:rFonts w:ascii="맑은 고딕" w:hAnsi="맑은 고딕" w:eastAsia="맑은 고딕"/>
          <w:b w:val="0"/>
          <w:i w:val="0"/>
          <w:sz w:val="21"/>
        </w:rPr>
        <w:t>한 거래에 여러 우대가 겹칠 수 있습니다. 플랫폼은 아래 세 계층의 후보를 모두 모아 고객 부담이 가장 낮은 것을 자동 적용합니다.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tcPr>
          <w:p>
            <w:r/>
            <w:r>
              <w:rPr>
                <w:rFonts w:ascii="맑은 고딕" w:hAnsi="맑은 고딕" w:eastAsia="맑은 고딕"/>
                <w:b/>
                <w:sz w:val="19"/>
              </w:rPr>
              <w:t>계층</w:t>
            </w:r>
          </w:p>
        </w:tc>
        <w:tc>
          <w:tcPr>
            <w:tcW w:type="dxa" w:w="5669"/>
          </w:tcPr>
          <w:p>
            <w:r/>
            <w:r>
              <w:rPr>
                <w:rFonts w:ascii="맑은 고딕" w:hAnsi="맑은 고딕" w:eastAsia="맑은 고딕"/>
                <w:b/>
                <w:sz w:val="19"/>
              </w:rPr>
              <w:t>설명</w:t>
            </w:r>
          </w:p>
        </w:tc>
        <w:tc>
          <w:tcPr>
            <w:tcW w:type="dxa" w:w="1701"/>
          </w:tcPr>
          <w:p>
            <w:r/>
            <w:r>
              <w:rPr>
                <w:rFonts w:ascii="맑은 고딕" w:hAnsi="맑은 고딕" w:eastAsia="맑은 고딕"/>
                <w:b/>
                <w:sz w:val="19"/>
              </w:rPr>
              <w:t>동률 우선순위</w:t>
            </w:r>
          </w:p>
        </w:tc>
      </w:tr>
      <w:tr>
        <w:tc>
          <w:tcPr>
            <w:tcW w:type="dxa" w:w="1701"/>
          </w:tcPr>
          <w:p>
            <w:r/>
            <w:r>
              <w:rPr>
                <w:rFonts w:ascii="맑은 고딕" w:hAnsi="맑은 고딕" w:eastAsia="맑은 고딕"/>
                <w:sz w:val="19"/>
              </w:rPr>
              <w:t>기본(BASE)</w:t>
            </w:r>
          </w:p>
        </w:tc>
        <w:tc>
          <w:tcPr>
            <w:tcW w:type="dxa" w:w="5669"/>
          </w:tcPr>
          <w:p>
            <w:r/>
            <w:r>
              <w:rPr>
                <w:rFonts w:ascii="맑은 고딕" w:hAnsi="맑은 고딕" w:eastAsia="맑은 고딕"/>
                <w:sz w:val="19"/>
              </w:rPr>
              <w:t>상품군별 표준요율. 항상 후보에 포함되는 기준선.</w:t>
            </w:r>
          </w:p>
        </w:tc>
        <w:tc>
          <w:tcPr>
            <w:tcW w:type="dxa" w:w="1701"/>
          </w:tcPr>
          <w:p>
            <w:r/>
            <w:r>
              <w:rPr>
                <w:rFonts w:ascii="맑은 고딕" w:hAnsi="맑은 고딕" w:eastAsia="맑은 고딕"/>
                <w:sz w:val="19"/>
              </w:rPr>
              <w:t>3순위</w:t>
            </w:r>
          </w:p>
        </w:tc>
      </w:tr>
      <w:tr>
        <w:tc>
          <w:tcPr>
            <w:tcW w:type="dxa" w:w="1701"/>
          </w:tcPr>
          <w:p>
            <w:r/>
            <w:r>
              <w:rPr>
                <w:rFonts w:ascii="맑은 고딕" w:hAnsi="맑은 고딕" w:eastAsia="맑은 고딕"/>
                <w:sz w:val="19"/>
              </w:rPr>
              <w:t>이벤트(EVENT)</w:t>
            </w:r>
          </w:p>
        </w:tc>
        <w:tc>
          <w:tcPr>
            <w:tcW w:type="dxa" w:w="5669"/>
          </w:tcPr>
          <w:p>
            <w:r/>
            <w:r>
              <w:rPr>
                <w:rFonts w:ascii="맑은 고딕" w:hAnsi="맑은 고딕" w:eastAsia="맑은 고딕"/>
                <w:sz w:val="19"/>
              </w:rPr>
              <w:t>한시적 우대. 대상 편입 방식에 따라 4가지 유형.</w:t>
            </w:r>
          </w:p>
        </w:tc>
        <w:tc>
          <w:tcPr>
            <w:tcW w:type="dxa" w:w="1701"/>
          </w:tcPr>
          <w:p>
            <w:r/>
            <w:r>
              <w:rPr>
                <w:rFonts w:ascii="맑은 고딕" w:hAnsi="맑은 고딕" w:eastAsia="맑은 고딕"/>
                <w:sz w:val="19"/>
              </w:rPr>
              <w:t>2순위</w:t>
            </w:r>
          </w:p>
        </w:tc>
      </w:tr>
      <w:tr>
        <w:tc>
          <w:tcPr>
            <w:tcW w:type="dxa" w:w="1701"/>
          </w:tcPr>
          <w:p>
            <w:r/>
            <w:r>
              <w:rPr>
                <w:rFonts w:ascii="맑은 고딕" w:hAnsi="맑은 고딕" w:eastAsia="맑은 고딕"/>
                <w:sz w:val="19"/>
              </w:rPr>
              <w:t>협의(NEGOTIATED)</w:t>
            </w:r>
          </w:p>
        </w:tc>
        <w:tc>
          <w:tcPr>
            <w:tcW w:type="dxa" w:w="5669"/>
          </w:tcPr>
          <w:p>
            <w:r/>
            <w:r>
              <w:rPr>
                <w:rFonts w:ascii="맑은 고딕" w:hAnsi="맑은 고딕" w:eastAsia="맑은 고딕"/>
                <w:sz w:val="19"/>
              </w:rPr>
              <w:t>개별 고객 우대. 자격 조건 충족 시에만.</w:t>
            </w:r>
          </w:p>
        </w:tc>
        <w:tc>
          <w:tcPr>
            <w:tcW w:type="dxa" w:w="1701"/>
          </w:tcPr>
          <w:p>
            <w:r/>
            <w:r>
              <w:rPr>
                <w:rFonts w:ascii="맑은 고딕" w:hAnsi="맑은 고딕" w:eastAsia="맑은 고딕"/>
                <w:sz w:val="19"/>
              </w:rPr>
              <w:t>1순위</w:t>
            </w:r>
          </w:p>
        </w:tc>
      </w:tr>
    </w:tbl>
    <w:p>
      <w:pPr>
        <w:spacing w:after="40"/>
      </w:pPr>
    </w:p>
    <w:p>
      <w:pPr>
        <w:spacing w:after="120"/>
      </w:pPr>
      <w:r>
        <w:rPr>
          <w:rFonts w:ascii="맑은 고딕" w:hAnsi="맑은 고딕" w:eastAsia="맑은 고딕"/>
          <w:b w:val="0"/>
          <w:i/>
          <w:color w:val="555555"/>
          <w:sz w:val="21"/>
        </w:rPr>
        <w:t>금액이 같으면 협의 &gt; 이벤트 &gt; 기본 순으로 우선합니다.</w:t>
      </w:r>
    </w:p>
    <w:p>
      <w:pPr>
        <w:pStyle w:val="Heading2"/>
      </w:pPr>
      <w:r>
        <w:rPr>
          <w:rFonts w:ascii="맑은 고딕" w:hAnsi="맑은 고딕" w:eastAsia="맑은 고딕"/>
          <w:color w:val="1F3A5F"/>
        </w:rPr>
        <w:t>1.3 이벤트 대상 편입 방식 (4유형)</w:t>
      </w:r>
    </w:p>
    <w:tbl>
      <w:tblPr>
        <w:tblStyle w:val="LightGrid-Accent1"/>
        <w:tblW w:type="auto" w:w="0"/>
        <w:jc w:val="center"/>
        <w:tblLook w:firstColumn="1" w:firstRow="1" w:lastColumn="0" w:lastRow="0" w:noHBand="0" w:noVBand="1" w:val="04A0"/>
      </w:tblPr>
      <w:tblGrid>
        <w:gridCol w:w="2880"/>
        <w:gridCol w:w="2880"/>
        <w:gridCol w:w="2880"/>
      </w:tblGrid>
      <w:tr>
        <w:tc>
          <w:tcPr>
            <w:tcW w:type="dxa" w:w="1474"/>
          </w:tcPr>
          <w:p>
            <w:r/>
            <w:r>
              <w:rPr>
                <w:rFonts w:ascii="맑은 고딕" w:hAnsi="맑은 고딕" w:eastAsia="맑은 고딕"/>
                <w:b/>
                <w:sz w:val="19"/>
              </w:rPr>
              <w:t>유형</w:t>
            </w:r>
          </w:p>
        </w:tc>
        <w:tc>
          <w:tcPr>
            <w:tcW w:type="dxa" w:w="5102"/>
          </w:tcPr>
          <w:p>
            <w:r/>
            <w:r>
              <w:rPr>
                <w:rFonts w:ascii="맑은 고딕" w:hAnsi="맑은 고딕" w:eastAsia="맑은 고딕"/>
                <w:b/>
                <w:sz w:val="19"/>
              </w:rPr>
              <w:t>대상이 정해지는 방식</w:t>
            </w:r>
          </w:p>
        </w:tc>
        <w:tc>
          <w:tcPr>
            <w:tcW w:type="dxa" w:w="2268"/>
          </w:tcPr>
          <w:p>
            <w:r/>
            <w:r>
              <w:rPr>
                <w:rFonts w:ascii="맑은 고딕" w:hAnsi="맑은 고딕" w:eastAsia="맑은 고딕"/>
                <w:b/>
                <w:sz w:val="19"/>
              </w:rPr>
              <w:t>예시</w:t>
            </w:r>
          </w:p>
        </w:tc>
      </w:tr>
      <w:tr>
        <w:tc>
          <w:tcPr>
            <w:tcW w:type="dxa" w:w="1474"/>
          </w:tcPr>
          <w:p>
            <w:r/>
            <w:r>
              <w:rPr>
                <w:rFonts w:ascii="맑은 고딕" w:hAnsi="맑은 고딕" w:eastAsia="맑은 고딕"/>
                <w:sz w:val="19"/>
              </w:rPr>
              <w:t>일괄적용형</w:t>
            </w:r>
          </w:p>
        </w:tc>
        <w:tc>
          <w:tcPr>
            <w:tcW w:type="dxa" w:w="5102"/>
          </w:tcPr>
          <w:p>
            <w:r/>
            <w:r>
              <w:rPr>
                <w:rFonts w:ascii="맑은 고딕" w:hAnsi="맑은 고딕" w:eastAsia="맑은 고딕"/>
                <w:sz w:val="19"/>
              </w:rPr>
              <w:t>적용범위에 맞는 전 계좌에 자동 적용(신청 불필요).</w:t>
            </w:r>
          </w:p>
        </w:tc>
        <w:tc>
          <w:tcPr>
            <w:tcW w:type="dxa" w:w="2268"/>
          </w:tcPr>
          <w:p>
            <w:r/>
            <w:r>
              <w:rPr>
                <w:rFonts w:ascii="맑은 고딕" w:hAnsi="맑은 고딕" w:eastAsia="맑은 고딕"/>
                <w:sz w:val="19"/>
              </w:rPr>
              <w:t>NXT 거래 전 계좌 인하</w:t>
            </w:r>
          </w:p>
        </w:tc>
      </w:tr>
      <w:tr>
        <w:tc>
          <w:tcPr>
            <w:tcW w:type="dxa" w:w="1474"/>
          </w:tcPr>
          <w:p>
            <w:r/>
            <w:r>
              <w:rPr>
                <w:rFonts w:ascii="맑은 고딕" w:hAnsi="맑은 고딕" w:eastAsia="맑은 고딕"/>
                <w:sz w:val="19"/>
              </w:rPr>
              <w:t>신청형</w:t>
            </w:r>
          </w:p>
        </w:tc>
        <w:tc>
          <w:tcPr>
            <w:tcW w:type="dxa" w:w="5102"/>
          </w:tcPr>
          <w:p>
            <w:r/>
            <w:r>
              <w:rPr>
                <w:rFonts w:ascii="맑은 고딕" w:hAnsi="맑은 고딕" w:eastAsia="맑은 고딕"/>
                <w:sz w:val="19"/>
              </w:rPr>
              <w:t>고객이 신청하고 승인된 계좌만.</w:t>
            </w:r>
          </w:p>
        </w:tc>
        <w:tc>
          <w:tcPr>
            <w:tcW w:type="dxa" w:w="2268"/>
          </w:tcPr>
          <w:p>
            <w:r/>
            <w:r>
              <w:rPr>
                <w:rFonts w:ascii="맑은 고딕" w:hAnsi="맑은 고딕" w:eastAsia="맑은 고딕"/>
                <w:sz w:val="19"/>
              </w:rPr>
              <w:t>온라인 약정 우대 신청</w:t>
            </w:r>
          </w:p>
        </w:tc>
      </w:tr>
      <w:tr>
        <w:tc>
          <w:tcPr>
            <w:tcW w:type="dxa" w:w="1474"/>
          </w:tcPr>
          <w:p>
            <w:r/>
            <w:r>
              <w:rPr>
                <w:rFonts w:ascii="맑은 고딕" w:hAnsi="맑은 고딕" w:eastAsia="맑은 고딕"/>
                <w:sz w:val="19"/>
              </w:rPr>
              <w:t>가입형</w:t>
            </w:r>
          </w:p>
        </w:tc>
        <w:tc>
          <w:tcPr>
            <w:tcW w:type="dxa" w:w="5102"/>
          </w:tcPr>
          <w:p>
            <w:r/>
            <w:r>
              <w:rPr>
                <w:rFonts w:ascii="맑은 고딕" w:hAnsi="맑은 고딕" w:eastAsia="맑은 고딕"/>
                <w:sz w:val="19"/>
              </w:rPr>
              <w:t>이벤트에 가입(유입)한 계좌만.</w:t>
            </w:r>
          </w:p>
        </w:tc>
        <w:tc>
          <w:tcPr>
            <w:tcW w:type="dxa" w:w="2268"/>
          </w:tcPr>
          <w:p>
            <w:r/>
            <w:r>
              <w:rPr>
                <w:rFonts w:ascii="맑은 고딕" w:hAnsi="맑은 고딕" w:eastAsia="맑은 고딕"/>
                <w:sz w:val="19"/>
              </w:rPr>
              <w:t>신규 가입 우대</w:t>
            </w:r>
          </w:p>
        </w:tc>
      </w:tr>
      <w:tr>
        <w:tc>
          <w:tcPr>
            <w:tcW w:type="dxa" w:w="1474"/>
          </w:tcPr>
          <w:p>
            <w:r/>
            <w:r>
              <w:rPr>
                <w:rFonts w:ascii="맑은 고딕" w:hAnsi="맑은 고딕" w:eastAsia="맑은 고딕"/>
                <w:sz w:val="19"/>
              </w:rPr>
              <w:t>휴면복귀형</w:t>
            </w:r>
          </w:p>
        </w:tc>
        <w:tc>
          <w:tcPr>
            <w:tcW w:type="dxa" w:w="5102"/>
          </w:tcPr>
          <w:p>
            <w:r/>
            <w:r>
              <w:rPr>
                <w:rFonts w:ascii="맑은 고딕" w:hAnsi="맑은 고딕" w:eastAsia="맑은 고딕"/>
                <w:sz w:val="19"/>
              </w:rPr>
              <w:t>휴면에서 복귀한 계좌에 자동.</w:t>
            </w:r>
          </w:p>
        </w:tc>
        <w:tc>
          <w:tcPr>
            <w:tcW w:type="dxa" w:w="2268"/>
          </w:tcPr>
          <w:p>
            <w:r/>
            <w:r>
              <w:rPr>
                <w:rFonts w:ascii="맑은 고딕" w:hAnsi="맑은 고딕" w:eastAsia="맑은 고딕"/>
                <w:sz w:val="19"/>
              </w:rPr>
              <w:t>복귀 고객 수수료 면제</w:t>
            </w:r>
          </w:p>
        </w:tc>
      </w:tr>
    </w:tbl>
    <w:p>
      <w:pPr>
        <w:spacing w:after="40"/>
      </w:pPr>
    </w:p>
    <w:p>
      <w:pPr>
        <w:pStyle w:val="Heading2"/>
      </w:pPr>
      <w:r>
        <w:rPr>
          <w:rFonts w:ascii="맑은 고딕" w:hAnsi="맑은 고딕" w:eastAsia="맑은 고딕"/>
          <w:color w:val="1F3A5F"/>
        </w:rPr>
        <w:t>1.4 이벤트 기간 — "신청 가능기간"과 "적용기간"의 분리</w:t>
      </w:r>
    </w:p>
    <w:p>
      <w:pPr>
        <w:spacing w:after="120"/>
      </w:pPr>
      <w:r>
        <w:rPr>
          <w:rFonts w:ascii="맑은 고딕" w:hAnsi="맑은 고딕" w:eastAsia="맑은 고딕"/>
          <w:b w:val="0"/>
          <w:i w:val="0"/>
          <w:sz w:val="21"/>
        </w:rPr>
        <w:t>이벤트에는 서로 다른 두 기간이 있으며, 실무에서 혼동되기 쉬워 명확히 구분합니다.</w:t>
      </w:r>
    </w:p>
    <w:tbl>
      <w:tblPr>
        <w:tblStyle w:val="LightGrid-Accent1"/>
        <w:tblW w:type="auto" w:w="0"/>
        <w:jc w:val="center"/>
        <w:tblLook w:firstColumn="1" w:firstRow="1" w:lastColumn="0" w:lastRow="0" w:noHBand="0" w:noVBand="1" w:val="04A0"/>
      </w:tblPr>
      <w:tblGrid>
        <w:gridCol w:w="4320"/>
        <w:gridCol w:w="4320"/>
      </w:tblGrid>
      <w:tr>
        <w:tc>
          <w:tcPr>
            <w:tcW w:type="dxa" w:w="2551"/>
          </w:tcPr>
          <w:p>
            <w:r/>
            <w:r>
              <w:rPr>
                <w:rFonts w:ascii="맑은 고딕" w:hAnsi="맑은 고딕" w:eastAsia="맑은 고딕"/>
                <w:b/>
                <w:sz w:val="19"/>
              </w:rPr>
              <w:t>기간</w:t>
            </w:r>
          </w:p>
        </w:tc>
        <w:tc>
          <w:tcPr>
            <w:tcW w:type="dxa" w:w="6236"/>
          </w:tcPr>
          <w:p>
            <w:r/>
            <w:r>
              <w:rPr>
                <w:rFonts w:ascii="맑은 고딕" w:hAnsi="맑은 고딕" w:eastAsia="맑은 고딕"/>
                <w:b/>
                <w:sz w:val="19"/>
              </w:rPr>
              <w:t>의미</w:t>
            </w:r>
          </w:p>
        </w:tc>
      </w:tr>
      <w:tr>
        <w:tc>
          <w:tcPr>
            <w:tcW w:type="dxa" w:w="2551"/>
          </w:tcPr>
          <w:p>
            <w:r/>
            <w:r>
              <w:rPr>
                <w:rFonts w:ascii="맑은 고딕" w:hAnsi="맑은 고딕" w:eastAsia="맑은 고딕"/>
                <w:sz w:val="19"/>
              </w:rPr>
              <w:t>신청/유입 가능기간</w:t>
            </w:r>
          </w:p>
        </w:tc>
        <w:tc>
          <w:tcPr>
            <w:tcW w:type="dxa" w:w="6236"/>
          </w:tcPr>
          <w:p>
            <w:r/>
            <w:r>
              <w:rPr>
                <w:rFonts w:ascii="맑은 고딕" w:hAnsi="맑은 고딕" w:eastAsia="맑은 고딕"/>
                <w:sz w:val="19"/>
              </w:rPr>
              <w:t>고객이 이벤트에 들어올 수 있는 캘린더 구간(예: 4월~6월).</w:t>
            </w:r>
          </w:p>
        </w:tc>
      </w:tr>
      <w:tr>
        <w:tc>
          <w:tcPr>
            <w:tcW w:type="dxa" w:w="2551"/>
          </w:tcPr>
          <w:p>
            <w:r/>
            <w:r>
              <w:rPr>
                <w:rFonts w:ascii="맑은 고딕" w:hAnsi="맑은 고딕" w:eastAsia="맑은 고딕"/>
                <w:sz w:val="19"/>
              </w:rPr>
              <w:t>적용기간(혜택 기간)</w:t>
            </w:r>
          </w:p>
        </w:tc>
        <w:tc>
          <w:tcPr>
            <w:tcW w:type="dxa" w:w="6236"/>
          </w:tcPr>
          <w:p>
            <w:r/>
            <w:r>
              <w:rPr>
                <w:rFonts w:ascii="맑은 고딕" w:hAnsi="맑은 고딕" w:eastAsia="맑은 고딕"/>
                <w:sz w:val="19"/>
              </w:rPr>
              <w:t>실제 우대가 적용되는 구간. 룰마다 두 방식 중 선택.</w:t>
            </w:r>
          </w:p>
        </w:tc>
      </w:tr>
    </w:tbl>
    <w:p>
      <w:pPr>
        <w:spacing w:after="40"/>
      </w:pPr>
    </w:p>
    <w:p>
      <w:pPr>
        <w:spacing w:after="120"/>
      </w:pPr>
      <w:r>
        <w:rPr>
          <w:rFonts w:ascii="맑은 고딕" w:hAnsi="맑은 고딕" w:eastAsia="맑은 고딕"/>
          <w:b/>
          <w:i w:val="0"/>
          <w:sz w:val="21"/>
        </w:rPr>
        <w:t>적용기간은 다음 두 가지 중에서 이벤트별로 정합니다.</w:t>
      </w:r>
    </w:p>
    <w:p>
      <w:pPr>
        <w:pStyle w:val="ListBullet"/>
      </w:pPr>
      <w:r>
        <w:rPr>
          <w:rFonts w:ascii="맑은 고딕" w:hAnsi="맑은 고딕" w:eastAsia="맑은 고딕"/>
        </w:rPr>
        <w:t>캘린더 고정형: 신청 가능기간(룰 종료일)까지 적용. 모두 같은 날 끝남.</w:t>
      </w:r>
    </w:p>
    <w:p>
      <w:pPr>
        <w:pStyle w:val="ListBullet"/>
      </w:pPr>
      <w:r>
        <w:rPr>
          <w:rFonts w:ascii="맑은 고딕" w:hAnsi="맑은 고딕" w:eastAsia="맑은 고딕"/>
        </w:rPr>
        <w:t>유입시점 상대형: 계좌마다 "가입일 + N개월". 예) "지금 가입하면 두 달 무료" — 6월 20일 가입 고객은 8월 20일까지 무료이며, 신청 마감(6월 30일)이 지나도 남은 혜택 기간은 그대로 유지됩니다.</w:t>
      </w:r>
    </w:p>
    <w:p>
      <w:pPr>
        <w:spacing w:after="120"/>
      </w:pPr>
      <w:r>
        <w:rPr>
          <w:rFonts w:ascii="맑은 고딕" w:hAnsi="맑은 고딕" w:eastAsia="맑은 고딕"/>
          <w:b w:val="0"/>
          <w:i/>
          <w:color w:val="555555"/>
          <w:sz w:val="21"/>
        </w:rPr>
        <w:t>상대형은 계좌별 가입일이 기준이므로, 동일 이벤트라도 고객마다 혜택 종료일이 다릅니다. 이 계좌별 혜택 기간은 체결 시점 해석에서 자동으로 반영됩니다.</w:t>
      </w:r>
    </w:p>
    <w:p>
      <w:pPr>
        <w:pStyle w:val="Heading2"/>
      </w:pPr>
      <w:r>
        <w:rPr>
          <w:rFonts w:ascii="맑은 고딕" w:hAnsi="맑은 고딕" w:eastAsia="맑은 고딕"/>
          <w:color w:val="1F3A5F"/>
        </w:rPr>
        <w:t>1.5 이벤트 등록 → 승인 → 활성 흐름</w:t>
      </w:r>
    </w:p>
    <w:p>
      <w:pPr>
        <w:pStyle w:val="ListNumber"/>
      </w:pPr>
      <w:r>
        <w:rPr>
          <w:rFonts w:ascii="맑은 고딕" w:hAnsi="맑은 고딕" w:eastAsia="맑은 고딕"/>
        </w:rPr>
        <w:t>현업이 이벤트를 기안(적용범위·요율표·기간·대상 지정).</w:t>
      </w:r>
    </w:p>
    <w:p>
      <w:pPr>
        <w:pStyle w:val="ListNumber"/>
      </w:pPr>
      <w:r>
        <w:rPr>
          <w:rFonts w:ascii="맑은 고딕" w:hAnsi="맑은 고딕" w:eastAsia="맑은 고딕"/>
        </w:rPr>
        <w:t>시스템이 시뮬레이션으로 검증 — ①지배관계(전 구간에서 기존 요율보다 싸야 우대로 성립) ②역마진 경고(회사 부담이 자사 수취를 넘는지).</w:t>
      </w:r>
    </w:p>
    <w:p>
      <w:pPr>
        <w:pStyle w:val="ListNumber"/>
      </w:pPr>
      <w:r>
        <w:rPr>
          <w:rFonts w:ascii="맑은 고딕" w:hAnsi="맑은 고딕" w:eastAsia="맑은 고딕"/>
        </w:rPr>
        <w:t>심사자가 검토·승인하면 활성 상태로 전환.</w:t>
      </w:r>
    </w:p>
    <w:p>
      <w:pPr>
        <w:pStyle w:val="ListNumber"/>
      </w:pPr>
      <w:r>
        <w:rPr>
          <w:rFonts w:ascii="맑은 고딕" w:hAnsi="맑은 고딕" w:eastAsia="맑은 고딕"/>
        </w:rPr>
        <w:t>활성 이후에는 별도 전개 없이, 체결 시점에 규칙이 해석되어 적용됩니다.</w:t>
      </w:r>
    </w:p>
    <w:p>
      <w:pPr>
        <w:spacing w:after="120"/>
      </w:pPr>
      <w:r>
        <w:rPr>
          <w:rFonts w:ascii="맑은 고딕" w:hAnsi="맑은 고딕" w:eastAsia="맑은 고딕"/>
          <w:b w:val="0"/>
          <w:i/>
          <w:color w:val="555555"/>
          <w:sz w:val="21"/>
        </w:rPr>
        <w:t>※ 주식은 종목 단위로 우대를 걸지 않습니다. 주식 수수료는 거래소·세션·주문채널로만 결정되므로, 시뮬레이션과 적용범위도 "거래소×세션×채널" 구간 단위로 다룹니다. 종목별 지정은 파생상품에만 해당합니다.</w:t>
      </w:r>
    </w:p>
    <w:p>
      <w:pPr>
        <w:pStyle w:val="Heading2"/>
      </w:pPr>
      <w:r>
        <w:rPr>
          <w:rFonts w:ascii="맑은 고딕" w:hAnsi="맑은 고딕" w:eastAsia="맑은 고딕"/>
          <w:color w:val="1F3A5F"/>
        </w:rPr>
        <w:t>1.6 협의수수료 — 신청과 "연장 대상 산출"</w:t>
      </w:r>
    </w:p>
    <w:p>
      <w:pPr>
        <w:spacing w:after="120"/>
      </w:pPr>
      <w:r>
        <w:rPr>
          <w:rFonts w:ascii="맑은 고딕" w:hAnsi="맑은 고딕" w:eastAsia="맑은 고딕"/>
          <w:b w:val="0"/>
          <w:i w:val="0"/>
          <w:sz w:val="21"/>
        </w:rPr>
        <w:t>협의수수료는 개별 고객이 신청하고, 자격 조건(예: 6개월 평균자산 5억 이상)을 충족하면 승인되어 부여됩니다. 신청·승인은 계좌별로 이루어집니다.</w:t>
      </w:r>
    </w:p>
    <w:p>
      <w:pPr>
        <w:spacing w:after="120"/>
      </w:pPr>
      <w:r>
        <w:rPr>
          <w:rFonts w:ascii="맑은 고딕" w:hAnsi="맑은 고딕" w:eastAsia="맑은 고딕"/>
          <w:b/>
          <w:i w:val="0"/>
          <w:sz w:val="21"/>
        </w:rPr>
        <w:t>반면 만료가 다가올 때의 연장은 계좌별로 일일이 보지 않고, 그룹 단위로 대상을 한 번에 산출합니다.</w:t>
      </w:r>
    </w:p>
    <w:p>
      <w:pPr>
        <w:pStyle w:val="ListBullet"/>
      </w:pPr>
      <w:r>
        <w:rPr>
          <w:rFonts w:ascii="맑은 고딕" w:hAnsi="맑은 고딕" w:eastAsia="맑은 고딕"/>
        </w:rPr>
        <w:t>그룹 축: 주식형 협의는 상품군 단위(국내주식·해외주식·금현물), 파생 협의는 품목 단위.</w:t>
      </w:r>
    </w:p>
    <w:p>
      <w:pPr>
        <w:pStyle w:val="ListBullet"/>
      </w:pPr>
      <w:r>
        <w:rPr>
          <w:rFonts w:ascii="맑은 고딕" w:hAnsi="맑은 고딕" w:eastAsia="맑은 고딕"/>
        </w:rPr>
        <w:t>그룹 안에서 조건을 재평가해 세 가지로 분류: 신규(새로 충족) · 유지(계속 충족) · 탈락(더는 미충족).</w:t>
      </w:r>
    </w:p>
    <w:p>
      <w:pPr>
        <w:pStyle w:val="ListBullet"/>
      </w:pPr>
      <w:r>
        <w:rPr>
          <w:rFonts w:ascii="맑은 고딕" w:hAnsi="맑은 고딕" w:eastAsia="맑은 고딕"/>
        </w:rPr>
        <w:t>기존 보유자와 비교하므로 "이번에 빠지는 탈락 대상"이 함께 드러납니다.</w:t>
      </w:r>
    </w:p>
    <w:p>
      <w:pPr>
        <w:spacing w:after="120"/>
      </w:pPr>
      <w:r>
        <w:rPr>
          <w:rFonts w:ascii="맑은 고딕" w:hAnsi="맑은 고딕" w:eastAsia="맑은 고딕"/>
          <w:b w:val="0"/>
          <w:i w:val="0"/>
          <w:sz w:val="21"/>
        </w:rPr>
        <w:t>담당자는 이 목록을 확인·조정한 뒤 일괄 승인하며, 승인 시 유지·신규는 연장 부여, 탈락은 해지됩니다. 이 산출은 정해진 시각의 정기 배치가 아니라, 만료 임박 시 자동 산출된 대상을 담당자가 확인하는 방식입니다. (수행 전략은 3장·4장 참조)</w:t>
      </w:r>
    </w:p>
    <w:p>
      <w:pPr>
        <w:pStyle w:val="Heading2"/>
      </w:pPr>
      <w:r>
        <w:rPr>
          <w:rFonts w:ascii="맑은 고딕" w:hAnsi="맑은 고딕" w:eastAsia="맑은 고딕"/>
          <w:color w:val="1F3A5F"/>
        </w:rPr>
        <w:t>1.7 휴면복귀 적용</w:t>
      </w:r>
    </w:p>
    <w:p>
      <w:pPr>
        <w:spacing w:after="120"/>
      </w:pPr>
      <w:r>
        <w:rPr>
          <w:rFonts w:ascii="맑은 고딕" w:hAnsi="맑은 고딕" w:eastAsia="맑은 고딕"/>
          <w:b w:val="0"/>
          <w:i w:val="0"/>
          <w:sz w:val="21"/>
        </w:rPr>
        <w:t>원장에서 휴면복귀가 감지되면, 휴면복귀형 이벤트가 해당 계좌에 자동 적용됩니다. 시그널 기반 즉시 반영입니다.</w:t>
      </w:r>
    </w:p>
    <w:p>
      <w:pPr>
        <w:pStyle w:val="Heading2"/>
      </w:pPr>
      <w:r>
        <w:rPr>
          <w:rFonts w:ascii="맑은 고딕" w:hAnsi="맑은 고딕" w:eastAsia="맑은 고딕"/>
          <w:color w:val="1F3A5F"/>
        </w:rPr>
        <w:t>1.8 역할</w:t>
      </w:r>
    </w:p>
    <w:tbl>
      <w:tblPr>
        <w:tblStyle w:val="LightGrid-Accent1"/>
        <w:tblW w:type="auto" w:w="0"/>
        <w:jc w:val="center"/>
        <w:tblLook w:firstColumn="1" w:firstRow="1" w:lastColumn="0" w:lastRow="0" w:noHBand="0" w:noVBand="1" w:val="04A0"/>
      </w:tblPr>
      <w:tblGrid>
        <w:gridCol w:w="4320"/>
        <w:gridCol w:w="4320"/>
      </w:tblGrid>
      <w:tr>
        <w:tc>
          <w:tcPr>
            <w:tcW w:type="dxa" w:w="1984"/>
          </w:tcPr>
          <w:p>
            <w:r/>
            <w:r>
              <w:rPr>
                <w:rFonts w:ascii="맑은 고딕" w:hAnsi="맑은 고딕" w:eastAsia="맑은 고딕"/>
                <w:b/>
                <w:sz w:val="19"/>
              </w:rPr>
              <w:t>역할</w:t>
            </w:r>
          </w:p>
        </w:tc>
        <w:tc>
          <w:tcPr>
            <w:tcW w:type="dxa" w:w="6803"/>
          </w:tcPr>
          <w:p>
            <w:r/>
            <w:r>
              <w:rPr>
                <w:rFonts w:ascii="맑은 고딕" w:hAnsi="맑은 고딕" w:eastAsia="맑은 고딕"/>
                <w:b/>
                <w:sz w:val="19"/>
              </w:rPr>
              <w:t>책임</w:t>
            </w:r>
          </w:p>
        </w:tc>
      </w:tr>
      <w:tr>
        <w:tc>
          <w:tcPr>
            <w:tcW w:type="dxa" w:w="1984"/>
          </w:tcPr>
          <w:p>
            <w:r/>
            <w:r>
              <w:rPr>
                <w:rFonts w:ascii="맑은 고딕" w:hAnsi="맑은 고딕" w:eastAsia="맑은 고딕"/>
                <w:sz w:val="19"/>
              </w:rPr>
              <w:t>현업(마케팅·PB)</w:t>
            </w:r>
          </w:p>
        </w:tc>
        <w:tc>
          <w:tcPr>
            <w:tcW w:type="dxa" w:w="6803"/>
          </w:tcPr>
          <w:p>
            <w:r/>
            <w:r>
              <w:rPr>
                <w:rFonts w:ascii="맑은 고딕" w:hAnsi="맑은 고딕" w:eastAsia="맑은 고딕"/>
                <w:sz w:val="19"/>
              </w:rPr>
              <w:t>이벤트·협의 기안, 적용범위·요율표·기간 설계.</w:t>
            </w:r>
          </w:p>
        </w:tc>
      </w:tr>
      <w:tr>
        <w:tc>
          <w:tcPr>
            <w:tcW w:type="dxa" w:w="1984"/>
          </w:tcPr>
          <w:p>
            <w:r/>
            <w:r>
              <w:rPr>
                <w:rFonts w:ascii="맑은 고딕" w:hAnsi="맑은 고딕" w:eastAsia="맑은 고딕"/>
                <w:sz w:val="19"/>
              </w:rPr>
              <w:t>심사</w:t>
            </w:r>
          </w:p>
        </w:tc>
        <w:tc>
          <w:tcPr>
            <w:tcW w:type="dxa" w:w="6803"/>
          </w:tcPr>
          <w:p>
            <w:r/>
            <w:r>
              <w:rPr>
                <w:rFonts w:ascii="맑은 고딕" w:hAnsi="맑은 고딕" w:eastAsia="맑은 고딕"/>
                <w:sz w:val="19"/>
              </w:rPr>
              <w:t>지배관계·역마진 검토 후 승인/반려.</w:t>
            </w:r>
          </w:p>
        </w:tc>
      </w:tr>
      <w:tr>
        <w:tc>
          <w:tcPr>
            <w:tcW w:type="dxa" w:w="1984"/>
          </w:tcPr>
          <w:p>
            <w:r/>
            <w:r>
              <w:rPr>
                <w:rFonts w:ascii="맑은 고딕" w:hAnsi="맑은 고딕" w:eastAsia="맑은 고딕"/>
                <w:sz w:val="19"/>
              </w:rPr>
              <w:t>업무개발·시스템</w:t>
            </w:r>
          </w:p>
        </w:tc>
        <w:tc>
          <w:tcPr>
            <w:tcW w:type="dxa" w:w="6803"/>
          </w:tcPr>
          <w:p>
            <w:r/>
            <w:r>
              <w:rPr>
                <w:rFonts w:ascii="맑은 고딕" w:hAnsi="맑은 고딕" w:eastAsia="맑은 고딕"/>
                <w:sz w:val="19"/>
              </w:rPr>
              <w:t>규칙 해석·캐시·무효화, 원장 연계, 지표 적재.</w:t>
            </w:r>
          </w:p>
        </w:tc>
      </w:tr>
      <w:tr>
        <w:tc>
          <w:tcPr>
            <w:tcW w:type="dxa" w:w="1984"/>
          </w:tcPr>
          <w:p>
            <w:r/>
            <w:r>
              <w:rPr>
                <w:rFonts w:ascii="맑은 고딕" w:hAnsi="맑은 고딕" w:eastAsia="맑은 고딕"/>
                <w:sz w:val="19"/>
              </w:rPr>
              <w:t>원장</w:t>
            </w:r>
          </w:p>
        </w:tc>
        <w:tc>
          <w:tcPr>
            <w:tcW w:type="dxa" w:w="6803"/>
          </w:tcPr>
          <w:p>
            <w:r/>
            <w:r>
              <w:rPr>
                <w:rFonts w:ascii="맑은 고딕" w:hAnsi="맑은 고딕" w:eastAsia="맑은 고딕"/>
                <w:sz w:val="19"/>
              </w:rPr>
              <w:t>체결 처리, 지표 산정, 수수료 실제 부과.</w:t>
            </w:r>
          </w:p>
        </w:tc>
      </w:tr>
    </w:tbl>
    <w:p>
      <w:pPr>
        <w:spacing w:after="40"/>
      </w:pPr>
    </w:p>
    <w:p>
      <w:r>
        <w:br w:type="page"/>
      </w:r>
    </w:p>
    <w:p>
      <w:pPr>
        <w:pStyle w:val="Heading1"/>
      </w:pPr>
      <w:r>
        <w:rPr>
          <w:rFonts w:ascii="맑은 고딕" w:hAnsi="맑은 고딕" w:eastAsia="맑은 고딕"/>
          <w:color w:val="1F3A5F"/>
        </w:rPr>
        <w:t>2. 데이터 구조도</w:t>
      </w:r>
    </w:p>
    <w:p>
      <w:pPr>
        <w:spacing w:after="120"/>
      </w:pPr>
      <w:r>
        <w:rPr>
          <w:rFonts w:ascii="맑은 고딕" w:hAnsi="맑은 고딕" w:eastAsia="맑은 고딕"/>
          <w:b w:val="0"/>
          <w:i w:val="0"/>
          <w:sz w:val="21"/>
        </w:rPr>
        <w:t>업무 관점에서 무엇을 저장하는지를 중심으로 정리합니다. 물리 테이블 명세가 아니라, 어떤 정보가 어디에 담기고 서로 어떻게 연결되는지를 봅니다.</w:t>
      </w:r>
    </w:p>
    <w:p>
      <w:pPr>
        <w:pStyle w:val="Heading2"/>
      </w:pPr>
      <w:r>
        <w:rPr>
          <w:rFonts w:ascii="맑은 고딕" w:hAnsi="맑은 고딕" w:eastAsia="맑은 고딕"/>
          <w:color w:val="1F3A5F"/>
        </w:rPr>
        <w:t>2.1 핵심 정보 묶음</w:t>
      </w:r>
    </w:p>
    <w:tbl>
      <w:tblPr>
        <w:tblStyle w:val="LightGrid-Accent1"/>
        <w:tblW w:type="auto" w:w="0"/>
        <w:jc w:val="center"/>
        <w:tblLook w:firstColumn="1" w:firstRow="1" w:lastColumn="0" w:lastRow="0" w:noHBand="0" w:noVBand="1" w:val="04A0"/>
      </w:tblPr>
      <w:tblGrid>
        <w:gridCol w:w="2880"/>
        <w:gridCol w:w="2880"/>
        <w:gridCol w:w="2880"/>
      </w:tblGrid>
      <w:tr>
        <w:tc>
          <w:tcPr>
            <w:tcW w:type="dxa" w:w="1814"/>
          </w:tcPr>
          <w:p>
            <w:r/>
            <w:r>
              <w:rPr>
                <w:rFonts w:ascii="맑은 고딕" w:hAnsi="맑은 고딕" w:eastAsia="맑은 고딕"/>
                <w:b/>
                <w:sz w:val="19"/>
              </w:rPr>
              <w:t>정보 묶음</w:t>
            </w:r>
          </w:p>
        </w:tc>
        <w:tc>
          <w:tcPr>
            <w:tcW w:type="dxa" w:w="4535"/>
          </w:tcPr>
          <w:p>
            <w:r/>
            <w:r>
              <w:rPr>
                <w:rFonts w:ascii="맑은 고딕" w:hAnsi="맑은 고딕" w:eastAsia="맑은 고딕"/>
                <w:b/>
                <w:sz w:val="19"/>
              </w:rPr>
              <w:t>담기는 내용</w:t>
            </w:r>
          </w:p>
        </w:tc>
        <w:tc>
          <w:tcPr>
            <w:tcW w:type="dxa" w:w="2438"/>
          </w:tcPr>
          <w:p>
            <w:r/>
            <w:r>
              <w:rPr>
                <w:rFonts w:ascii="맑은 고딕" w:hAnsi="맑은 고딕" w:eastAsia="맑은 고딕"/>
                <w:b/>
                <w:sz w:val="19"/>
              </w:rPr>
              <w:t>비고</w:t>
            </w:r>
          </w:p>
        </w:tc>
      </w:tr>
      <w:tr>
        <w:tc>
          <w:tcPr>
            <w:tcW w:type="dxa" w:w="1814"/>
          </w:tcPr>
          <w:p>
            <w:r/>
            <w:r>
              <w:rPr>
                <w:rFonts w:ascii="맑은 고딕" w:hAnsi="맑은 고딕" w:eastAsia="맑은 고딕"/>
                <w:sz w:val="19"/>
              </w:rPr>
              <w:t>요율표</w:t>
            </w:r>
          </w:p>
        </w:tc>
        <w:tc>
          <w:tcPr>
            <w:tcW w:type="dxa" w:w="4535"/>
          </w:tcPr>
          <w:p>
            <w:r/>
            <w:r>
              <w:rPr>
                <w:rFonts w:ascii="맑은 고딕" w:hAnsi="맑은 고딕" w:eastAsia="맑은 고딕"/>
                <w:sz w:val="19"/>
              </w:rPr>
              <w:t>수수료 구성 항목(자사 위탁·유관기관·세금)과 요율 방식(정률/정액/구간).</w:t>
            </w:r>
          </w:p>
        </w:tc>
        <w:tc>
          <w:tcPr>
            <w:tcW w:type="dxa" w:w="2438"/>
          </w:tcPr>
          <w:p>
            <w:r/>
            <w:r>
              <w:rPr>
                <w:rFonts w:ascii="맑은 고딕" w:hAnsi="맑은 고딕" w:eastAsia="맑은 고딕"/>
                <w:sz w:val="19"/>
              </w:rPr>
              <w:t>이벤트·협의·기본이 각자 참조.</w:t>
            </w:r>
          </w:p>
        </w:tc>
      </w:tr>
      <w:tr>
        <w:tc>
          <w:tcPr>
            <w:tcW w:type="dxa" w:w="1814"/>
          </w:tcPr>
          <w:p>
            <w:r/>
            <w:r>
              <w:rPr>
                <w:rFonts w:ascii="맑은 고딕" w:hAnsi="맑은 고딕" w:eastAsia="맑은 고딕"/>
                <w:sz w:val="19"/>
              </w:rPr>
              <w:t>규칙(룰)</w:t>
            </w:r>
          </w:p>
        </w:tc>
        <w:tc>
          <w:tcPr>
            <w:tcW w:type="dxa" w:w="4535"/>
          </w:tcPr>
          <w:p>
            <w:r/>
            <w:r>
              <w:rPr>
                <w:rFonts w:ascii="맑은 고딕" w:hAnsi="맑은 고딕" w:eastAsia="맑은 고딕"/>
                <w:sz w:val="19"/>
              </w:rPr>
              <w:t>유형·상태·적용범위·기간(신청/적용기간 2축)·요율표 연결·자격 조건.</w:t>
            </w:r>
          </w:p>
        </w:tc>
        <w:tc>
          <w:tcPr>
            <w:tcW w:type="dxa" w:w="2438"/>
          </w:tcPr>
          <w:p>
            <w:r/>
            <w:r>
              <w:rPr>
                <w:rFonts w:ascii="맑은 고딕" w:hAnsi="맑은 고딕" w:eastAsia="맑은 고딕"/>
                <w:sz w:val="19"/>
              </w:rPr>
              <w:t>이벤트/협의 공통 모델.</w:t>
            </w:r>
          </w:p>
        </w:tc>
      </w:tr>
      <w:tr>
        <w:tc>
          <w:tcPr>
            <w:tcW w:type="dxa" w:w="1814"/>
          </w:tcPr>
          <w:p>
            <w:r/>
            <w:r>
              <w:rPr>
                <w:rFonts w:ascii="맑은 고딕" w:hAnsi="맑은 고딕" w:eastAsia="맑은 고딕"/>
                <w:sz w:val="19"/>
              </w:rPr>
              <w:t>협의 예외(계좌 부여)</w:t>
            </w:r>
          </w:p>
        </w:tc>
        <w:tc>
          <w:tcPr>
            <w:tcW w:type="dxa" w:w="4535"/>
          </w:tcPr>
          <w:p>
            <w:r/>
            <w:r>
              <w:rPr>
                <w:rFonts w:ascii="맑은 고딕" w:hAnsi="맑은 고딕" w:eastAsia="맑은 고딕"/>
                <w:sz w:val="19"/>
              </w:rPr>
              <w:t>어떤 계좌에 어떤 협의 요율이 언제까지 부여됐는지.</w:t>
            </w:r>
          </w:p>
        </w:tc>
        <w:tc>
          <w:tcPr>
            <w:tcW w:type="dxa" w:w="2438"/>
          </w:tcPr>
          <w:p>
            <w:r/>
            <w:r>
              <w:rPr>
                <w:rFonts w:ascii="맑은 고딕" w:hAnsi="맑은 고딕" w:eastAsia="맑은 고딕"/>
                <w:sz w:val="19"/>
              </w:rPr>
              <w:t>계좌 단위로 저장되는 유일한 항목.</w:t>
            </w:r>
          </w:p>
        </w:tc>
      </w:tr>
      <w:tr>
        <w:tc>
          <w:tcPr>
            <w:tcW w:type="dxa" w:w="1814"/>
          </w:tcPr>
          <w:p>
            <w:r/>
            <w:r>
              <w:rPr>
                <w:rFonts w:ascii="맑은 고딕" w:hAnsi="맑은 고딕" w:eastAsia="맑은 고딕"/>
                <w:sz w:val="19"/>
              </w:rPr>
              <w:t>가입/신청 이력</w:t>
            </w:r>
          </w:p>
        </w:tc>
        <w:tc>
          <w:tcPr>
            <w:tcW w:type="dxa" w:w="4535"/>
          </w:tcPr>
          <w:p>
            <w:r/>
            <w:r>
              <w:rPr>
                <w:rFonts w:ascii="맑은 고딕" w:hAnsi="맑은 고딕" w:eastAsia="맑은 고딕"/>
                <w:sz w:val="19"/>
              </w:rPr>
              <w:t>어떤 계좌가 언제, 어떤 채널로 이벤트·협의에 들어왔는지(가입일).</w:t>
            </w:r>
          </w:p>
        </w:tc>
        <w:tc>
          <w:tcPr>
            <w:tcW w:type="dxa" w:w="2438"/>
          </w:tcPr>
          <w:p>
            <w:r/>
            <w:r>
              <w:rPr>
                <w:rFonts w:ascii="맑은 고딕" w:hAnsi="맑은 고딕" w:eastAsia="맑은 고딕"/>
                <w:sz w:val="19"/>
              </w:rPr>
              <w:t>상대형 적용기간·협의 자격의 근거.</w:t>
            </w:r>
          </w:p>
        </w:tc>
      </w:tr>
      <w:tr>
        <w:tc>
          <w:tcPr>
            <w:tcW w:type="dxa" w:w="1814"/>
          </w:tcPr>
          <w:p>
            <w:r/>
            <w:r>
              <w:rPr>
                <w:rFonts w:ascii="맑은 고딕" w:hAnsi="맑은 고딕" w:eastAsia="맑은 고딕"/>
                <w:sz w:val="19"/>
              </w:rPr>
              <w:t>계좌 지표</w:t>
            </w:r>
          </w:p>
        </w:tc>
        <w:tc>
          <w:tcPr>
            <w:tcW w:type="dxa" w:w="4535"/>
          </w:tcPr>
          <w:p>
            <w:r/>
            <w:r>
              <w:rPr>
                <w:rFonts w:ascii="맑은 고딕" w:hAnsi="맑은 고딕" w:eastAsia="맑은 고딕"/>
                <w:sz w:val="19"/>
              </w:rPr>
              <w:t>6개월 평균자산·약정액 등 자격 판정용 수치.</w:t>
            </w:r>
          </w:p>
        </w:tc>
        <w:tc>
          <w:tcPr>
            <w:tcW w:type="dxa" w:w="2438"/>
          </w:tcPr>
          <w:p>
            <w:r/>
            <w:r>
              <w:rPr>
                <w:rFonts w:ascii="맑은 고딕" w:hAnsi="맑은 고딕" w:eastAsia="맑은 고딕"/>
                <w:sz w:val="19"/>
              </w:rPr>
              <w:t>원장에서 주기 적재.</w:t>
            </w:r>
          </w:p>
        </w:tc>
      </w:tr>
      <w:tr>
        <w:tc>
          <w:tcPr>
            <w:tcW w:type="dxa" w:w="1814"/>
          </w:tcPr>
          <w:p>
            <w:r/>
            <w:r>
              <w:rPr>
                <w:rFonts w:ascii="맑은 고딕" w:hAnsi="맑은 고딕" w:eastAsia="맑은 고딕"/>
                <w:sz w:val="19"/>
              </w:rPr>
              <w:t>해석 결과 보관</w:t>
            </w:r>
          </w:p>
        </w:tc>
        <w:tc>
          <w:tcPr>
            <w:tcW w:type="dxa" w:w="4535"/>
          </w:tcPr>
          <w:p>
            <w:r/>
            <w:r>
              <w:rPr>
                <w:rFonts w:ascii="맑은 고딕" w:hAnsi="맑은 고딕" w:eastAsia="맑은 고딕"/>
                <w:sz w:val="19"/>
              </w:rPr>
              <w:t>계좌×조회키별로 한 번 해석한 답을 임시 보관(캐시).</w:t>
            </w:r>
          </w:p>
        </w:tc>
        <w:tc>
          <w:tcPr>
            <w:tcW w:type="dxa" w:w="2438"/>
          </w:tcPr>
          <w:p>
            <w:r/>
            <w:r>
              <w:rPr>
                <w:rFonts w:ascii="맑은 고딕" w:hAnsi="맑은 고딕" w:eastAsia="맑은 고딕"/>
                <w:sz w:val="19"/>
              </w:rPr>
              <w:t>읽기 지연 감소. 변경 시 무효화.</w:t>
            </w:r>
          </w:p>
        </w:tc>
      </w:tr>
      <w:tr>
        <w:tc>
          <w:tcPr>
            <w:tcW w:type="dxa" w:w="1814"/>
          </w:tcPr>
          <w:p>
            <w:r/>
            <w:r>
              <w:rPr>
                <w:rFonts w:ascii="맑은 고딕" w:hAnsi="맑은 고딕" w:eastAsia="맑은 고딕"/>
                <w:sz w:val="19"/>
              </w:rPr>
              <w:t>이력·감사</w:t>
            </w:r>
          </w:p>
        </w:tc>
        <w:tc>
          <w:tcPr>
            <w:tcW w:type="dxa" w:w="4535"/>
          </w:tcPr>
          <w:p>
            <w:r/>
            <w:r>
              <w:rPr>
                <w:rFonts w:ascii="맑은 고딕" w:hAnsi="맑은 고딕" w:eastAsia="맑은 고딕"/>
                <w:sz w:val="19"/>
              </w:rPr>
              <w:t>규칙 변경, 협의 부여/해지, 조건 평가 이력.</w:t>
            </w:r>
          </w:p>
        </w:tc>
        <w:tc>
          <w:tcPr>
            <w:tcW w:type="dxa" w:w="2438"/>
          </w:tcPr>
          <w:p>
            <w:r/>
            <w:r>
              <w:rPr>
                <w:rFonts w:ascii="맑은 고딕" w:hAnsi="맑은 고딕" w:eastAsia="맑은 고딕"/>
                <w:sz w:val="19"/>
              </w:rPr>
              <w:t>감사 추적.</w:t>
            </w:r>
          </w:p>
        </w:tc>
      </w:tr>
    </w:tbl>
    <w:p>
      <w:pPr>
        <w:spacing w:after="40"/>
      </w:pPr>
    </w:p>
    <w:p>
      <w:pPr>
        <w:pStyle w:val="Heading2"/>
      </w:pPr>
      <w:r>
        <w:rPr>
          <w:rFonts w:ascii="맑은 고딕" w:hAnsi="맑은 고딕" w:eastAsia="맑은 고딕"/>
          <w:color w:val="1F3A5F"/>
        </w:rPr>
        <w:t>2.2 연결 관계</w:t>
      </w:r>
    </w:p>
    <w:p>
      <w:pPr>
        <w:pStyle w:val="ListBullet"/>
      </w:pPr>
      <w:r>
        <w:rPr>
          <w:rFonts w:ascii="맑은 고딕" w:hAnsi="맑은 고딕" w:eastAsia="맑은 고딕"/>
        </w:rPr>
        <w:t>규칙 1건은 요율표 1건을 참조한다.</w:t>
      </w:r>
    </w:p>
    <w:p>
      <w:pPr>
        <w:pStyle w:val="ListBullet"/>
      </w:pPr>
      <w:r>
        <w:rPr>
          <w:rFonts w:ascii="맑은 고딕" w:hAnsi="맑은 고딕" w:eastAsia="맑은 고딕"/>
        </w:rPr>
        <w:t>규칙(적용범위)은 상품군·거래소·세션·채널(파생은 품목)로 대상을 한정한다.</w:t>
      </w:r>
    </w:p>
    <w:p>
      <w:pPr>
        <w:pStyle w:val="ListBullet"/>
      </w:pPr>
      <w:r>
        <w:rPr>
          <w:rFonts w:ascii="맑은 고딕" w:hAnsi="맑은 고딕" w:eastAsia="맑은 고딕"/>
        </w:rPr>
        <w:t>협의 예외는 계좌와 요율표를 잇고, 유효기간을 가진다.</w:t>
      </w:r>
    </w:p>
    <w:p>
      <w:pPr>
        <w:pStyle w:val="ListBullet"/>
      </w:pPr>
      <w:r>
        <w:rPr>
          <w:rFonts w:ascii="맑은 고딕" w:hAnsi="맑은 고딕" w:eastAsia="맑은 고딕"/>
        </w:rPr>
        <w:t>가입/신청 이력은 계좌와 규칙을 잇고, 가입일을 가진다(상대형 혜택·협의 자격의 기준).</w:t>
      </w:r>
    </w:p>
    <w:p>
      <w:pPr>
        <w:pStyle w:val="Heading2"/>
      </w:pPr>
      <w:r>
        <w:rPr>
          <w:rFonts w:ascii="맑은 고딕" w:hAnsi="맑은 고딕" w:eastAsia="맑은 고딕"/>
          <w:color w:val="1F3A5F"/>
        </w:rPr>
        <w:t>2.3 "계좌×종목 전량 전개 테이블"이 없는 이유</w:t>
      </w:r>
    </w:p>
    <w:p>
      <w:pPr>
        <w:spacing w:after="120"/>
      </w:pPr>
      <w:r>
        <w:rPr>
          <w:rFonts w:ascii="맑은 고딕" w:hAnsi="맑은 고딕" w:eastAsia="맑은 고딕"/>
          <w:b w:val="0"/>
          <w:i w:val="0"/>
          <w:sz w:val="21"/>
        </w:rPr>
        <w:t>과거 설계는 계좌마다 모든 종목의 수수료를 미리 펼쳐 저장하는 방식을 검토했으나, 수천만 계좌 × 수천 종목 규모에서는 물리적으로 감당하기 어렵습니다. 그래서 전개 테이블을 두지 않고, 규칙만 저장했다가 체결 시점에 해석합니다. 계좌 단위로 저장되는 것은 "협의 예외"뿐이며, 나머지는 규칙 해석과 임시 보관(캐시)으로 처리합니다.</w:t>
      </w:r>
    </w:p>
    <w:p>
      <w:r>
        <w:br w:type="page"/>
      </w:r>
    </w:p>
    <w:p>
      <w:pPr>
        <w:pStyle w:val="Heading1"/>
      </w:pPr>
      <w:r>
        <w:rPr>
          <w:rFonts w:ascii="맑은 고딕" w:hAnsi="맑은 고딕" w:eastAsia="맑은 고딕"/>
          <w:color w:val="1F3A5F"/>
        </w:rPr>
        <w:t>3. 적용 방식 구분 — 배치 / 신청 / 시그널 즉시</w:t>
      </w:r>
    </w:p>
    <w:p>
      <w:pPr>
        <w:spacing w:after="120"/>
      </w:pPr>
      <w:r>
        <w:rPr>
          <w:rFonts w:ascii="맑은 고딕" w:hAnsi="맑은 고딕" w:eastAsia="맑은 고딕"/>
          <w:b w:val="0"/>
          <w:i w:val="0"/>
          <w:sz w:val="21"/>
        </w:rPr>
        <w:t>각 업무가 언제 반영되는지를 세 가지로 구분합니다. 정기 배치가 꼭 필요한 것과, 고객 행위나 시그널로 즉시 반영되는 것을 나눕니다.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041"/>
          </w:tcPr>
          <w:p>
            <w:r/>
            <w:r>
              <w:rPr>
                <w:rFonts w:ascii="맑은 고딕" w:hAnsi="맑은 고딕" w:eastAsia="맑은 고딕"/>
                <w:b/>
                <w:sz w:val="19"/>
              </w:rPr>
              <w:t>업무</w:t>
            </w:r>
          </w:p>
        </w:tc>
        <w:tc>
          <w:tcPr>
            <w:tcW w:type="dxa" w:w="1701"/>
          </w:tcPr>
          <w:p>
            <w:r/>
            <w:r>
              <w:rPr>
                <w:rFonts w:ascii="맑은 고딕" w:hAnsi="맑은 고딕" w:eastAsia="맑은 고딕"/>
                <w:b/>
                <w:sz w:val="19"/>
              </w:rPr>
              <w:t>반영 방식</w:t>
            </w:r>
          </w:p>
        </w:tc>
        <w:tc>
          <w:tcPr>
            <w:tcW w:type="dxa" w:w="2835"/>
          </w:tcPr>
          <w:p>
            <w:r/>
            <w:r>
              <w:rPr>
                <w:rFonts w:ascii="맑은 고딕" w:hAnsi="맑은 고딕" w:eastAsia="맑은 고딕"/>
                <w:b/>
                <w:sz w:val="19"/>
              </w:rPr>
              <w:t>트리거 / 주기</w:t>
            </w:r>
          </w:p>
        </w:tc>
        <w:tc>
          <w:tcPr>
            <w:tcW w:type="dxa" w:w="1701"/>
          </w:tcPr>
          <w:p>
            <w:r/>
            <w:r>
              <w:rPr>
                <w:rFonts w:ascii="맑은 고딕" w:hAnsi="맑은 고딕" w:eastAsia="맑은 고딕"/>
                <w:b/>
                <w:sz w:val="19"/>
              </w:rPr>
              <w:t>즉시 여부</w:t>
            </w:r>
          </w:p>
        </w:tc>
      </w:tr>
      <w:tr>
        <w:tc>
          <w:tcPr>
            <w:tcW w:type="dxa" w:w="2041"/>
          </w:tcPr>
          <w:p>
            <w:r/>
            <w:r>
              <w:rPr>
                <w:rFonts w:ascii="맑은 고딕" w:hAnsi="맑은 고딕" w:eastAsia="맑은 고딕"/>
                <w:sz w:val="19"/>
              </w:rPr>
              <w:t>이벤트 발효·만료</w:t>
            </w:r>
          </w:p>
        </w:tc>
        <w:tc>
          <w:tcPr>
            <w:tcW w:type="dxa" w:w="1701"/>
          </w:tcPr>
          <w:p>
            <w:r/>
            <w:r>
              <w:rPr>
                <w:rFonts w:ascii="맑은 고딕" w:hAnsi="맑은 고딕" w:eastAsia="맑은 고딕"/>
                <w:sz w:val="19"/>
              </w:rPr>
              <w:t>배치</w:t>
            </w:r>
          </w:p>
        </w:tc>
        <w:tc>
          <w:tcPr>
            <w:tcW w:type="dxa" w:w="2835"/>
          </w:tcPr>
          <w:p>
            <w:r/>
            <w:r>
              <w:rPr>
                <w:rFonts w:ascii="맑은 고딕" w:hAnsi="맑은 고딕" w:eastAsia="맑은 고딕"/>
                <w:sz w:val="19"/>
              </w:rPr>
              <w:t>기간 도래 시(일 단위 점검)</w:t>
            </w:r>
          </w:p>
        </w:tc>
        <w:tc>
          <w:tcPr>
            <w:tcW w:type="dxa" w:w="1701"/>
          </w:tcPr>
          <w:p>
            <w:r/>
            <w:r>
              <w:rPr>
                <w:rFonts w:ascii="맑은 고딕" w:hAnsi="맑은 고딕" w:eastAsia="맑은 고딕"/>
                <w:sz w:val="19"/>
              </w:rPr>
              <w:t>배치 시점</w:t>
            </w:r>
          </w:p>
        </w:tc>
      </w:tr>
      <w:tr>
        <w:tc>
          <w:tcPr>
            <w:tcW w:type="dxa" w:w="2041"/>
          </w:tcPr>
          <w:p>
            <w:r/>
            <w:r>
              <w:rPr>
                <w:rFonts w:ascii="맑은 고딕" w:hAnsi="맑은 고딕" w:eastAsia="맑은 고딕"/>
                <w:sz w:val="19"/>
              </w:rPr>
              <w:t>일괄적용형 이벤트</w:t>
            </w:r>
          </w:p>
        </w:tc>
        <w:tc>
          <w:tcPr>
            <w:tcW w:type="dxa" w:w="1701"/>
          </w:tcPr>
          <w:p>
            <w:r/>
            <w:r>
              <w:rPr>
                <w:rFonts w:ascii="맑은 고딕" w:hAnsi="맑은 고딕" w:eastAsia="맑은 고딕"/>
                <w:sz w:val="19"/>
              </w:rPr>
              <w:t>규칙 활성 즉시</w:t>
            </w:r>
          </w:p>
        </w:tc>
        <w:tc>
          <w:tcPr>
            <w:tcW w:type="dxa" w:w="2835"/>
          </w:tcPr>
          <w:p>
            <w:r/>
            <w:r>
              <w:rPr>
                <w:rFonts w:ascii="맑은 고딕" w:hAnsi="맑은 고딕" w:eastAsia="맑은 고딕"/>
                <w:sz w:val="19"/>
              </w:rPr>
              <w:t>승인·발효</w:t>
            </w:r>
          </w:p>
        </w:tc>
        <w:tc>
          <w:tcPr>
            <w:tcW w:type="dxa" w:w="1701"/>
          </w:tcPr>
          <w:p>
            <w:r/>
            <w:r>
              <w:rPr>
                <w:rFonts w:ascii="맑은 고딕" w:hAnsi="맑은 고딕" w:eastAsia="맑은 고딕"/>
                <w:sz w:val="19"/>
              </w:rPr>
              <w:t>즉시(해석에 자동 반영)</w:t>
            </w:r>
          </w:p>
        </w:tc>
      </w:tr>
      <w:tr>
        <w:tc>
          <w:tcPr>
            <w:tcW w:type="dxa" w:w="2041"/>
          </w:tcPr>
          <w:p>
            <w:r/>
            <w:r>
              <w:rPr>
                <w:rFonts w:ascii="맑은 고딕" w:hAnsi="맑은 고딕" w:eastAsia="맑은 고딕"/>
                <w:sz w:val="19"/>
              </w:rPr>
              <w:t>신청형·가입형 편입</w:t>
            </w:r>
          </w:p>
        </w:tc>
        <w:tc>
          <w:tcPr>
            <w:tcW w:type="dxa" w:w="1701"/>
          </w:tcPr>
          <w:p>
            <w:r/>
            <w:r>
              <w:rPr>
                <w:rFonts w:ascii="맑은 고딕" w:hAnsi="맑은 고딕" w:eastAsia="맑은 고딕"/>
                <w:sz w:val="19"/>
              </w:rPr>
              <w:t>고객 신청/가입</w:t>
            </w:r>
          </w:p>
        </w:tc>
        <w:tc>
          <w:tcPr>
            <w:tcW w:type="dxa" w:w="2835"/>
          </w:tcPr>
          <w:p>
            <w:r/>
            <w:r>
              <w:rPr>
                <w:rFonts w:ascii="맑은 고딕" w:hAnsi="맑은 고딕" w:eastAsia="맑은 고딕"/>
                <w:sz w:val="19"/>
              </w:rPr>
              <w:t>고객 행위</w:t>
            </w:r>
          </w:p>
        </w:tc>
        <w:tc>
          <w:tcPr>
            <w:tcW w:type="dxa" w:w="1701"/>
          </w:tcPr>
          <w:p>
            <w:r/>
            <w:r>
              <w:rPr>
                <w:rFonts w:ascii="맑은 고딕" w:hAnsi="맑은 고딕" w:eastAsia="맑은 고딕"/>
                <w:sz w:val="19"/>
              </w:rPr>
              <w:t>신청·가입 즉시</w:t>
            </w:r>
          </w:p>
        </w:tc>
      </w:tr>
      <w:tr>
        <w:tc>
          <w:tcPr>
            <w:tcW w:type="dxa" w:w="2041"/>
          </w:tcPr>
          <w:p>
            <w:r/>
            <w:r>
              <w:rPr>
                <w:rFonts w:ascii="맑은 고딕" w:hAnsi="맑은 고딕" w:eastAsia="맑은 고딕"/>
                <w:sz w:val="19"/>
              </w:rPr>
              <w:t>상대형 혜택 종료</w:t>
            </w:r>
          </w:p>
        </w:tc>
        <w:tc>
          <w:tcPr>
            <w:tcW w:type="dxa" w:w="1701"/>
          </w:tcPr>
          <w:p>
            <w:r/>
            <w:r>
              <w:rPr>
                <w:rFonts w:ascii="맑은 고딕" w:hAnsi="맑은 고딕" w:eastAsia="맑은 고딕"/>
                <w:sz w:val="19"/>
              </w:rPr>
              <w:t>해석 시 자동 판정</w:t>
            </w:r>
          </w:p>
        </w:tc>
        <w:tc>
          <w:tcPr>
            <w:tcW w:type="dxa" w:w="2835"/>
          </w:tcPr>
          <w:p>
            <w:r/>
            <w:r>
              <w:rPr>
                <w:rFonts w:ascii="맑은 고딕" w:hAnsi="맑은 고딕" w:eastAsia="맑은 고딕"/>
                <w:sz w:val="19"/>
              </w:rPr>
              <w:t>가입일 + N개월 경과</w:t>
            </w:r>
          </w:p>
        </w:tc>
        <w:tc>
          <w:tcPr>
            <w:tcW w:type="dxa" w:w="1701"/>
          </w:tcPr>
          <w:p>
            <w:r/>
            <w:r>
              <w:rPr>
                <w:rFonts w:ascii="맑은 고딕" w:hAnsi="맑은 고딕" w:eastAsia="맑은 고딕"/>
                <w:sz w:val="19"/>
              </w:rPr>
              <w:t>조회 시 자동</w:t>
            </w:r>
          </w:p>
        </w:tc>
      </w:tr>
      <w:tr>
        <w:tc>
          <w:tcPr>
            <w:tcW w:type="dxa" w:w="2041"/>
          </w:tcPr>
          <w:p>
            <w:r/>
            <w:r>
              <w:rPr>
                <w:rFonts w:ascii="맑은 고딕" w:hAnsi="맑은 고딕" w:eastAsia="맑은 고딕"/>
                <w:sz w:val="19"/>
              </w:rPr>
              <w:t>휴면복귀 적용</w:t>
            </w:r>
          </w:p>
        </w:tc>
        <w:tc>
          <w:tcPr>
            <w:tcW w:type="dxa" w:w="1701"/>
          </w:tcPr>
          <w:p>
            <w:r/>
            <w:r>
              <w:rPr>
                <w:rFonts w:ascii="맑은 고딕" w:hAnsi="맑은 고딕" w:eastAsia="맑은 고딕"/>
                <w:sz w:val="19"/>
              </w:rPr>
              <w:t>시그널 즉시</w:t>
            </w:r>
          </w:p>
        </w:tc>
        <w:tc>
          <w:tcPr>
            <w:tcW w:type="dxa" w:w="2835"/>
          </w:tcPr>
          <w:p>
            <w:r/>
            <w:r>
              <w:rPr>
                <w:rFonts w:ascii="맑은 고딕" w:hAnsi="맑은 고딕" w:eastAsia="맑은 고딕"/>
                <w:sz w:val="19"/>
              </w:rPr>
              <w:t>원장 휴면복귀 감지</w:t>
            </w:r>
          </w:p>
        </w:tc>
        <w:tc>
          <w:tcPr>
            <w:tcW w:type="dxa" w:w="1701"/>
          </w:tcPr>
          <w:p>
            <w:r/>
            <w:r>
              <w:rPr>
                <w:rFonts w:ascii="맑은 고딕" w:hAnsi="맑은 고딕" w:eastAsia="맑은 고딕"/>
                <w:sz w:val="19"/>
              </w:rPr>
              <w:t>즉시</w:t>
            </w:r>
          </w:p>
        </w:tc>
      </w:tr>
      <w:tr>
        <w:tc>
          <w:tcPr>
            <w:tcW w:type="dxa" w:w="2041"/>
          </w:tcPr>
          <w:p>
            <w:r/>
            <w:r>
              <w:rPr>
                <w:rFonts w:ascii="맑은 고딕" w:hAnsi="맑은 고딕" w:eastAsia="맑은 고딕"/>
                <w:sz w:val="19"/>
              </w:rPr>
              <w:t>계좌 지표 재산정</w:t>
            </w:r>
          </w:p>
        </w:tc>
        <w:tc>
          <w:tcPr>
            <w:tcW w:type="dxa" w:w="1701"/>
          </w:tcPr>
          <w:p>
            <w:r/>
            <w:r>
              <w:rPr>
                <w:rFonts w:ascii="맑은 고딕" w:hAnsi="맑은 고딕" w:eastAsia="맑은 고딕"/>
                <w:sz w:val="19"/>
              </w:rPr>
              <w:t>배치</w:t>
            </w:r>
          </w:p>
        </w:tc>
        <w:tc>
          <w:tcPr>
            <w:tcW w:type="dxa" w:w="2835"/>
          </w:tcPr>
          <w:p>
            <w:r/>
            <w:r>
              <w:rPr>
                <w:rFonts w:ascii="맑은 고딕" w:hAnsi="맑은 고딕" w:eastAsia="맑은 고딕"/>
                <w:sz w:val="19"/>
              </w:rPr>
              <w:t>주기(예: 월/일)</w:t>
            </w:r>
          </w:p>
        </w:tc>
        <w:tc>
          <w:tcPr>
            <w:tcW w:type="dxa" w:w="1701"/>
          </w:tcPr>
          <w:p>
            <w:r/>
            <w:r>
              <w:rPr>
                <w:rFonts w:ascii="맑은 고딕" w:hAnsi="맑은 고딕" w:eastAsia="맑은 고딕"/>
                <w:sz w:val="19"/>
              </w:rPr>
              <w:t>배치 시점</w:t>
            </w:r>
          </w:p>
        </w:tc>
      </w:tr>
      <w:tr>
        <w:tc>
          <w:tcPr>
            <w:tcW w:type="dxa" w:w="2041"/>
          </w:tcPr>
          <w:p>
            <w:r/>
            <w:r>
              <w:rPr>
                <w:rFonts w:ascii="맑은 고딕" w:hAnsi="맑은 고딕" w:eastAsia="맑은 고딕"/>
                <w:sz w:val="19"/>
              </w:rPr>
              <w:t>협의 자격 평가</w:t>
            </w:r>
          </w:p>
        </w:tc>
        <w:tc>
          <w:tcPr>
            <w:tcW w:type="dxa" w:w="1701"/>
          </w:tcPr>
          <w:p>
            <w:r/>
            <w:r>
              <w:rPr>
                <w:rFonts w:ascii="맑은 고딕" w:hAnsi="맑은 고딕" w:eastAsia="맑은 고딕"/>
                <w:sz w:val="19"/>
              </w:rPr>
              <w:t>지표 갱신 연동</w:t>
            </w:r>
          </w:p>
        </w:tc>
        <w:tc>
          <w:tcPr>
            <w:tcW w:type="dxa" w:w="2835"/>
          </w:tcPr>
          <w:p>
            <w:r/>
            <w:r>
              <w:rPr>
                <w:rFonts w:ascii="맑은 고딕" w:hAnsi="맑은 고딕" w:eastAsia="맑은 고딕"/>
                <w:sz w:val="19"/>
              </w:rPr>
              <w:t>지표 재산정 후</w:t>
            </w:r>
          </w:p>
        </w:tc>
        <w:tc>
          <w:tcPr>
            <w:tcW w:type="dxa" w:w="1701"/>
          </w:tcPr>
          <w:p>
            <w:r/>
            <w:r>
              <w:rPr>
                <w:rFonts w:ascii="맑은 고딕" w:hAnsi="맑은 고딕" w:eastAsia="맑은 고딕"/>
                <w:sz w:val="19"/>
              </w:rPr>
              <w:t>갱신 반영 시</w:t>
            </w:r>
          </w:p>
        </w:tc>
      </w:tr>
      <w:tr>
        <w:tc>
          <w:tcPr>
            <w:tcW w:type="dxa" w:w="2041"/>
          </w:tcPr>
          <w:p>
            <w:r/>
            <w:r>
              <w:rPr>
                <w:rFonts w:ascii="맑은 고딕" w:hAnsi="맑은 고딕" w:eastAsia="맑은 고딕"/>
                <w:sz w:val="19"/>
              </w:rPr>
              <w:t>협의 연장 대상 산출</w:t>
            </w:r>
          </w:p>
        </w:tc>
        <w:tc>
          <w:tcPr>
            <w:tcW w:type="dxa" w:w="1701"/>
          </w:tcPr>
          <w:p>
            <w:r/>
            <w:r>
              <w:rPr>
                <w:rFonts w:ascii="맑은 고딕" w:hAnsi="맑은 고딕" w:eastAsia="맑은 고딕"/>
                <w:sz w:val="19"/>
              </w:rPr>
              <w:t>요청형(만료 임박)</w:t>
            </w:r>
          </w:p>
        </w:tc>
        <w:tc>
          <w:tcPr>
            <w:tcW w:type="dxa" w:w="2835"/>
          </w:tcPr>
          <w:p>
            <w:r/>
            <w:r>
              <w:rPr>
                <w:rFonts w:ascii="맑은 고딕" w:hAnsi="맑은 고딕" w:eastAsia="맑은 고딕"/>
                <w:sz w:val="19"/>
              </w:rPr>
              <w:t>만료 임박 자동 산출 → 담당자 확인</w:t>
            </w:r>
          </w:p>
        </w:tc>
        <w:tc>
          <w:tcPr>
            <w:tcW w:type="dxa" w:w="1701"/>
          </w:tcPr>
          <w:p>
            <w:r/>
            <w:r>
              <w:rPr>
                <w:rFonts w:ascii="맑은 고딕" w:hAnsi="맑은 고딕" w:eastAsia="맑은 고딕"/>
                <w:sz w:val="19"/>
              </w:rPr>
              <w:t>확인·승인 시</w:t>
            </w:r>
          </w:p>
        </w:tc>
      </w:tr>
      <w:tr>
        <w:tc>
          <w:tcPr>
            <w:tcW w:type="dxa" w:w="2041"/>
          </w:tcPr>
          <w:p>
            <w:r/>
            <w:r>
              <w:rPr>
                <w:rFonts w:ascii="맑은 고딕" w:hAnsi="맑은 고딕" w:eastAsia="맑은 고딕"/>
                <w:sz w:val="19"/>
              </w:rPr>
              <w:t>해석 결과 무효화</w:t>
            </w:r>
          </w:p>
        </w:tc>
        <w:tc>
          <w:tcPr>
            <w:tcW w:type="dxa" w:w="1701"/>
          </w:tcPr>
          <w:p>
            <w:r/>
            <w:r>
              <w:rPr>
                <w:rFonts w:ascii="맑은 고딕" w:hAnsi="맑은 고딕" w:eastAsia="맑은 고딕"/>
                <w:sz w:val="19"/>
              </w:rPr>
              <w:t>변경 연동</w:t>
            </w:r>
          </w:p>
        </w:tc>
        <w:tc>
          <w:tcPr>
            <w:tcW w:type="dxa" w:w="2835"/>
          </w:tcPr>
          <w:p>
            <w:r/>
            <w:r>
              <w:rPr>
                <w:rFonts w:ascii="맑은 고딕" w:hAnsi="맑은 고딕" w:eastAsia="맑은 고딕"/>
                <w:sz w:val="19"/>
              </w:rPr>
              <w:t>규칙 승인/연장/지표 변경</w:t>
            </w:r>
          </w:p>
        </w:tc>
        <w:tc>
          <w:tcPr>
            <w:tcW w:type="dxa" w:w="1701"/>
          </w:tcPr>
          <w:p>
            <w:r/>
            <w:r>
              <w:rPr>
                <w:rFonts w:ascii="맑은 고딕" w:hAnsi="맑은 고딕" w:eastAsia="맑은 고딕"/>
                <w:sz w:val="19"/>
              </w:rPr>
              <w:t>변경 즉시</w:t>
            </w:r>
          </w:p>
        </w:tc>
      </w:tr>
    </w:tbl>
    <w:p>
      <w:pPr>
        <w:spacing w:after="40"/>
      </w:pPr>
    </w:p>
    <w:p>
      <w:pPr>
        <w:spacing w:after="120"/>
      </w:pPr>
      <w:r>
        <w:rPr>
          <w:rFonts w:ascii="맑은 고딕" w:hAnsi="맑은 고딕" w:eastAsia="맑은 고딕"/>
          <w:b w:val="0"/>
          <w:i/>
          <w:color w:val="555555"/>
          <w:sz w:val="21"/>
        </w:rPr>
        <w:t>요점: 정기 배치가 반드시 필요한 것은 "기간 도래(발효·만료)"와 "지표 재산정"입니다. 협의 연장 대상 산출은 고정 시각의 배치가 아니라, 만료 임박 시 자동으로 뽑아 담당자가 확인·승인하는 요청형입니다. 고객 신청·가입, 휴면복귀, 상대형 혜택 종료는 배치 없이 즉시/조회 시점에 반영됩니다.</w:t>
      </w:r>
    </w:p>
    <w:p>
      <w:r>
        <w:br w:type="page"/>
      </w:r>
    </w:p>
    <w:p>
      <w:pPr>
        <w:pStyle w:val="Heading1"/>
      </w:pPr>
      <w:r>
        <w:rPr>
          <w:rFonts w:ascii="맑은 고딕" w:hAnsi="맑은 고딕" w:eastAsia="맑은 고딕"/>
          <w:color w:val="1F3A5F"/>
        </w:rPr>
        <w:t>4. 아키텍처 — "규칙은 저장, 금액은 체결 때 해석"</w:t>
      </w:r>
    </w:p>
    <w:p>
      <w:pPr>
        <w:pStyle w:val="Heading2"/>
      </w:pPr>
      <w:r>
        <w:rPr>
          <w:rFonts w:ascii="맑은 고딕" w:hAnsi="맑은 고딕" w:eastAsia="맑은 고딕"/>
          <w:color w:val="1F3A5F"/>
        </w:rPr>
        <w:t>4.1 기본 원리</w:t>
      </w:r>
    </w:p>
    <w:p>
      <w:pPr>
        <w:spacing w:after="120"/>
      </w:pPr>
      <w:r>
        <w:rPr>
          <w:rFonts w:ascii="맑은 고딕" w:hAnsi="맑은 고딕" w:eastAsia="맑은 고딕"/>
          <w:b w:val="0"/>
          <w:i w:val="0"/>
          <w:sz w:val="21"/>
        </w:rPr>
        <w:t>플랫폼은 규칙(이벤트·협의·기본)만 보관합니다. 실제 수수료 금액은 저장하지 않고, 체결이 일어날 때 그 계좌·거래 조건에 맞는 규칙을 해석해 즉석에서 계산합니다. 한 번 해석한 답은 (계좌, 조회키) 단위로 임시 보관(캐시)해 읽기 지연을 줄이고, 규칙이 바뀌면 영향받는 부분만 무효화합니다.</w:t>
      </w:r>
    </w:p>
    <w:p>
      <w:pPr>
        <w:pStyle w:val="Heading2"/>
      </w:pPr>
      <w:r>
        <w:rPr>
          <w:rFonts w:ascii="맑은 고딕" w:hAnsi="맑은 고딕" w:eastAsia="맑은 고딕"/>
          <w:color w:val="1F3A5F"/>
        </w:rPr>
        <w:t>4.2 플랫폼과 원장의 경계</w:t>
      </w:r>
    </w:p>
    <w:tbl>
      <w:tblPr>
        <w:tblStyle w:val="LightGrid-Accent1"/>
        <w:tblW w:type="auto" w:w="0"/>
        <w:jc w:val="center"/>
        <w:tblLook w:firstColumn="1" w:firstRow="1" w:lastColumn="0" w:lastRow="0" w:noHBand="0" w:noVBand="1" w:val="04A0"/>
      </w:tblPr>
      <w:tblGrid>
        <w:gridCol w:w="4320"/>
        <w:gridCol w:w="4320"/>
      </w:tblGrid>
      <w:tr>
        <w:tc>
          <w:tcPr>
            <w:tcW w:type="dxa" w:w="1701"/>
          </w:tcPr>
          <w:p>
            <w:r/>
            <w:r>
              <w:rPr>
                <w:rFonts w:ascii="맑은 고딕" w:hAnsi="맑은 고딕" w:eastAsia="맑은 고딕"/>
                <w:b/>
                <w:sz w:val="19"/>
              </w:rPr>
              <w:t>영역</w:t>
            </w:r>
          </w:p>
        </w:tc>
        <w:tc>
          <w:tcPr>
            <w:tcW w:type="dxa" w:w="7087"/>
          </w:tcPr>
          <w:p>
            <w:r/>
            <w:r>
              <w:rPr>
                <w:rFonts w:ascii="맑은 고딕" w:hAnsi="맑은 고딕" w:eastAsia="맑은 고딕"/>
                <w:b/>
                <w:sz w:val="19"/>
              </w:rPr>
              <w:t>책임</w:t>
            </w:r>
          </w:p>
        </w:tc>
      </w:tr>
      <w:tr>
        <w:tc>
          <w:tcPr>
            <w:tcW w:type="dxa" w:w="1701"/>
          </w:tcPr>
          <w:p>
            <w:r/>
            <w:r>
              <w:rPr>
                <w:rFonts w:ascii="맑은 고딕" w:hAnsi="맑은 고딕" w:eastAsia="맑은 고딕"/>
                <w:sz w:val="19"/>
              </w:rPr>
              <w:t>플랫폼</w:t>
            </w:r>
          </w:p>
        </w:tc>
        <w:tc>
          <w:tcPr>
            <w:tcW w:type="dxa" w:w="7087"/>
          </w:tcPr>
          <w:p>
            <w:r/>
            <w:r>
              <w:rPr>
                <w:rFonts w:ascii="맑은 고딕" w:hAnsi="맑은 고딕" w:eastAsia="맑은 고딕"/>
                <w:sz w:val="19"/>
              </w:rPr>
              <w:t>규칙 등록·심사·승인, 적용범위·기간 관리, 체결 시 해석, 협의 부여/연장, 캐시·무효화.</w:t>
            </w:r>
          </w:p>
        </w:tc>
      </w:tr>
      <w:tr>
        <w:tc>
          <w:tcPr>
            <w:tcW w:type="dxa" w:w="1701"/>
          </w:tcPr>
          <w:p>
            <w:r/>
            <w:r>
              <w:rPr>
                <w:rFonts w:ascii="맑은 고딕" w:hAnsi="맑은 고딕" w:eastAsia="맑은 고딕"/>
                <w:sz w:val="19"/>
              </w:rPr>
              <w:t>원장</w:t>
            </w:r>
          </w:p>
        </w:tc>
        <w:tc>
          <w:tcPr>
            <w:tcW w:type="dxa" w:w="7087"/>
          </w:tcPr>
          <w:p>
            <w:r/>
            <w:r>
              <w:rPr>
                <w:rFonts w:ascii="맑은 고딕" w:hAnsi="맑은 고딕" w:eastAsia="맑은 고딕"/>
                <w:sz w:val="19"/>
              </w:rPr>
              <w:t>체결 처리와 잔고 반영, 계좌 지표 산정·전달, 해석 결과에 따른 실제 수수료 부과.</w:t>
            </w:r>
          </w:p>
        </w:tc>
      </w:tr>
    </w:tbl>
    <w:p>
      <w:pPr>
        <w:spacing w:after="40"/>
      </w:pPr>
    </w:p>
    <w:p>
      <w:pPr>
        <w:pStyle w:val="Heading2"/>
      </w:pPr>
      <w:r>
        <w:rPr>
          <w:rFonts w:ascii="맑은 고딕" w:hAnsi="맑은 고딕" w:eastAsia="맑은 고딕"/>
          <w:color w:val="1F3A5F"/>
        </w:rPr>
        <w:t>4.3 규모 대응 — 전개형에서 해석형으로</w:t>
      </w:r>
    </w:p>
    <w:p>
      <w:pPr>
        <w:pStyle w:val="ListBullet"/>
      </w:pPr>
      <w:r>
        <w:rPr>
          <w:rFonts w:ascii="맑은 고딕" w:hAnsi="맑은 고딕" w:eastAsia="맑은 고딕"/>
        </w:rPr>
        <w:t>전개형(계좌×종목 사전 전개): 조회는 빠르나 저장량이 폭증해 대규모에서 불가.</w:t>
      </w:r>
    </w:p>
    <w:p>
      <w:pPr>
        <w:pStyle w:val="ListBullet"/>
      </w:pPr>
      <w:r>
        <w:rPr>
          <w:rFonts w:ascii="맑은 고딕" w:hAnsi="맑은 고딕" w:eastAsia="맑은 고딕"/>
        </w:rPr>
        <w:t>해석형(체결 시 해석 + 캐시): 저장은 규칙과 예외뿐. 읽기 지연은 캐시로, 변경은 증분 무효화로 관리.</w:t>
      </w:r>
    </w:p>
    <w:p>
      <w:pPr>
        <w:spacing w:after="120"/>
      </w:pPr>
      <w:r>
        <w:rPr>
          <w:rFonts w:ascii="맑은 고딕" w:hAnsi="맑은 고딕" w:eastAsia="맑은 고딕"/>
          <w:b w:val="0"/>
          <w:i/>
          <w:color w:val="555555"/>
          <w:sz w:val="21"/>
        </w:rPr>
        <w:t>주식은 종목 차원을 없애 조회키를 "거래소·세션·채널"로 축소함으로써, 가장 큰 카디널리티(종목)를 제거한 것이 규모 대응의 핵심입니다. 파생만 품목을 키에 유지합니다.</w:t>
      </w:r>
    </w:p>
    <w:p>
      <w:pPr>
        <w:pStyle w:val="Heading2"/>
      </w:pPr>
      <w:r>
        <w:rPr>
          <w:rFonts w:ascii="맑은 고딕" w:hAnsi="맑은 고딕" w:eastAsia="맑은 고딕"/>
          <w:color w:val="1F3A5F"/>
        </w:rPr>
        <w:t>4.4 조회키(계좌에 무엇으로 수수료를 매기나)</w:t>
      </w:r>
    </w:p>
    <w:tbl>
      <w:tblPr>
        <w:tblStyle w:val="LightGrid-Accent1"/>
        <w:tblW w:type="auto" w:w="0"/>
        <w:jc w:val="center"/>
        <w:tblLook w:firstColumn="1" w:firstRow="1" w:lastColumn="0" w:lastRow="0" w:noHBand="0" w:noVBand="1" w:val="04A0"/>
      </w:tblPr>
      <w:tblGrid>
        <w:gridCol w:w="4320"/>
        <w:gridCol w:w="4320"/>
      </w:tblGrid>
      <w:tr>
        <w:tc>
          <w:tcPr>
            <w:tcW w:type="dxa" w:w="2551"/>
          </w:tcPr>
          <w:p>
            <w:r/>
            <w:r>
              <w:rPr>
                <w:rFonts w:ascii="맑은 고딕" w:hAnsi="맑은 고딕" w:eastAsia="맑은 고딕"/>
                <w:b/>
                <w:sz w:val="19"/>
              </w:rPr>
              <w:t>상품군</w:t>
            </w:r>
          </w:p>
        </w:tc>
        <w:tc>
          <w:tcPr>
            <w:tcW w:type="dxa" w:w="6236"/>
          </w:tcPr>
          <w:p>
            <w:r/>
            <w:r>
              <w:rPr>
                <w:rFonts w:ascii="맑은 고딕" w:hAnsi="맑은 고딕" w:eastAsia="맑은 고딕"/>
                <w:b/>
                <w:sz w:val="19"/>
              </w:rPr>
              <w:t>조회키 구성</w:t>
            </w:r>
          </w:p>
        </w:tc>
      </w:tr>
      <w:tr>
        <w:tc>
          <w:tcPr>
            <w:tcW w:type="dxa" w:w="2551"/>
          </w:tcPr>
          <w:p>
            <w:r/>
            <w:r>
              <w:rPr>
                <w:rFonts w:ascii="맑은 고딕" w:hAnsi="맑은 고딕" w:eastAsia="맑은 고딕"/>
                <w:sz w:val="19"/>
              </w:rPr>
              <w:t>국내·해외주식, 금현물</w:t>
            </w:r>
          </w:p>
        </w:tc>
        <w:tc>
          <w:tcPr>
            <w:tcW w:type="dxa" w:w="6236"/>
          </w:tcPr>
          <w:p>
            <w:r/>
            <w:r>
              <w:rPr>
                <w:rFonts w:ascii="맑은 고딕" w:hAnsi="맑은 고딕" w:eastAsia="맑은 고딕"/>
                <w:sz w:val="19"/>
              </w:rPr>
              <w:t>상품군 · 거래소 · 세션 · 주문채널  (종목 구분 없음)</w:t>
            </w:r>
          </w:p>
        </w:tc>
      </w:tr>
      <w:tr>
        <w:tc>
          <w:tcPr>
            <w:tcW w:type="dxa" w:w="2551"/>
          </w:tcPr>
          <w:p>
            <w:r/>
            <w:r>
              <w:rPr>
                <w:rFonts w:ascii="맑은 고딕" w:hAnsi="맑은 고딕" w:eastAsia="맑은 고딕"/>
                <w:sz w:val="19"/>
              </w:rPr>
              <w:t>국내·해외파생</w:t>
            </w:r>
          </w:p>
        </w:tc>
        <w:tc>
          <w:tcPr>
            <w:tcW w:type="dxa" w:w="6236"/>
          </w:tcPr>
          <w:p>
            <w:r/>
            <w:r>
              <w:rPr>
                <w:rFonts w:ascii="맑은 고딕" w:hAnsi="맑은 고딕" w:eastAsia="맑은 고딕"/>
                <w:sz w:val="19"/>
              </w:rPr>
              <w:t>상품군 · 거래소 · 세션 · 주문채널 · 품목</w:t>
            </w:r>
          </w:p>
        </w:tc>
      </w:tr>
    </w:tbl>
    <w:p>
      <w:pPr>
        <w:spacing w:after="40"/>
      </w:pPr>
    </w:p>
    <w:p>
      <w:r>
        <w:br w:type="page"/>
      </w:r>
    </w:p>
    <w:p>
      <w:pPr>
        <w:pStyle w:val="Heading1"/>
      </w:pPr>
      <w:r>
        <w:rPr>
          <w:rFonts w:ascii="맑은 고딕" w:hAnsi="맑은 고딕" w:eastAsia="맑은 고딕"/>
          <w:color w:val="1F3A5F"/>
        </w:rPr>
        <w:t>5. 체결 시 수수료 적용 플로우</w:t>
      </w:r>
    </w:p>
    <w:p>
      <w:pPr>
        <w:spacing w:after="120"/>
      </w:pPr>
      <w:r>
        <w:rPr>
          <w:rFonts w:ascii="맑은 고딕" w:hAnsi="맑은 고딕" w:eastAsia="맑은 고딕"/>
          <w:b w:val="0"/>
          <w:i w:val="0"/>
          <w:sz w:val="21"/>
        </w:rPr>
        <w:t>고객이 실제로 거래를 체결했을 때, 수수료가 매겨지는 과정을 단계로 정리합니다.</w:t>
      </w:r>
    </w:p>
    <w:p>
      <w:pPr>
        <w:spacing w:after="40"/>
      </w:pPr>
      <w:r>
        <w:rPr>
          <w:rFonts w:ascii="맑은 고딕" w:hAnsi="맑은 고딕" w:eastAsia="맑은 고딕"/>
          <w:b/>
          <w:i w:val="0"/>
          <w:color w:val="1F3A5F"/>
          <w:sz w:val="21"/>
        </w:rPr>
        <w:t>① 체결 발생</w:t>
      </w:r>
    </w:p>
    <w:p>
      <w:pPr>
        <w:spacing w:after="160"/>
      </w:pPr>
      <w:r>
        <w:rPr>
          <w:rFonts w:ascii="맑은 고딕" w:hAnsi="맑은 고딕" w:eastAsia="맑은 고딕"/>
          <w:b w:val="0"/>
          <w:i w:val="0"/>
          <w:sz w:val="21"/>
        </w:rPr>
        <w:t>원장에서 체결이 일어나면 계좌·거래소·세션·주문채널(파생은 품목)·체결가·수량이 확정됩니다.</w:t>
      </w:r>
    </w:p>
    <w:p>
      <w:pPr>
        <w:spacing w:after="40"/>
      </w:pPr>
      <w:r>
        <w:rPr>
          <w:rFonts w:ascii="맑은 고딕" w:hAnsi="맑은 고딕" w:eastAsia="맑은 고딕"/>
          <w:b/>
          <w:i w:val="0"/>
          <w:color w:val="1F3A5F"/>
          <w:sz w:val="21"/>
        </w:rPr>
        <w:t>② 조회키 구성</w:t>
      </w:r>
    </w:p>
    <w:p>
      <w:pPr>
        <w:spacing w:after="160"/>
      </w:pPr>
      <w:r>
        <w:rPr>
          <w:rFonts w:ascii="맑은 고딕" w:hAnsi="맑은 고딕" w:eastAsia="맑은 고딕"/>
          <w:b w:val="0"/>
          <w:i w:val="0"/>
          <w:sz w:val="21"/>
        </w:rPr>
        <w:t>위 정보로 조회키를 만듭니다. 주식은 종목을 붕괴시켜 거래소·세션·채널로만 구성합니다.</w:t>
      </w:r>
    </w:p>
    <w:p>
      <w:pPr>
        <w:spacing w:after="40"/>
      </w:pPr>
      <w:r>
        <w:rPr>
          <w:rFonts w:ascii="맑은 고딕" w:hAnsi="맑은 고딕" w:eastAsia="맑은 고딕"/>
          <w:b/>
          <w:i w:val="0"/>
          <w:color w:val="1F3A5F"/>
          <w:sz w:val="21"/>
        </w:rPr>
        <w:t>③ 후보 수집</w:t>
      </w:r>
    </w:p>
    <w:p>
      <w:pPr>
        <w:spacing w:after="160"/>
      </w:pPr>
      <w:r>
        <w:rPr>
          <w:rFonts w:ascii="맑은 고딕" w:hAnsi="맑은 고딕" w:eastAsia="맑은 고딕"/>
          <w:b w:val="0"/>
          <w:i w:val="0"/>
          <w:sz w:val="21"/>
        </w:rPr>
        <w:t>이 계좌·조회키에 걸리는 협의·이벤트·기본 후보를 모읍니다. 이벤트는 대상 편입(신청/가입/휴면복귀)과 적용기간(캘린더/상대) 판정을 통과한 것만 후보가 됩니다.</w:t>
      </w:r>
    </w:p>
    <w:p>
      <w:pPr>
        <w:spacing w:after="40"/>
      </w:pPr>
      <w:r>
        <w:rPr>
          <w:rFonts w:ascii="맑은 고딕" w:hAnsi="맑은 고딕" w:eastAsia="맑은 고딕"/>
          <w:b/>
          <w:i w:val="0"/>
          <w:color w:val="1F3A5F"/>
          <w:sz w:val="21"/>
        </w:rPr>
        <w:t>④ 최저가 결정</w:t>
      </w:r>
    </w:p>
    <w:p>
      <w:pPr>
        <w:spacing w:after="160"/>
      </w:pPr>
      <w:r>
        <w:rPr>
          <w:rFonts w:ascii="맑은 고딕" w:hAnsi="맑은 고딕" w:eastAsia="맑은 고딕"/>
          <w:b w:val="0"/>
          <w:i w:val="0"/>
          <w:sz w:val="21"/>
        </w:rPr>
        <w:t>후보들의 고객 부담을 비교해 최저가를 고릅니다(동률 시 협의&gt;이벤트&gt;기본). 한 번 정한 답은 (계좌,조회키)로 임시 보관하며, 다음 동일 조회는 저장된 답을 씁니다.</w:t>
      </w:r>
    </w:p>
    <w:p>
      <w:pPr>
        <w:spacing w:after="40"/>
      </w:pPr>
      <w:r>
        <w:rPr>
          <w:rFonts w:ascii="맑은 고딕" w:hAnsi="맑은 고딕" w:eastAsia="맑은 고딕"/>
          <w:b/>
          <w:i w:val="0"/>
          <w:color w:val="1F3A5F"/>
          <w:sz w:val="21"/>
        </w:rPr>
        <w:t>⑤ 금액 산정</w:t>
      </w:r>
    </w:p>
    <w:p>
      <w:pPr>
        <w:spacing w:after="160"/>
      </w:pPr>
      <w:r>
        <w:rPr>
          <w:rFonts w:ascii="맑은 고딕" w:hAnsi="맑은 고딕" w:eastAsia="맑은 고딕"/>
          <w:b w:val="0"/>
          <w:i w:val="0"/>
          <w:sz w:val="21"/>
        </w:rPr>
        <w:t>선택된 요율표에 체결가·수량을 대입해 자사 위탁수수료·유관기관수수료·세금을 계산합니다. 금액은 미리 저장하지 않고 이때 즉석 계산합니다.</w:t>
      </w:r>
    </w:p>
    <w:p>
      <w:pPr>
        <w:spacing w:after="40"/>
      </w:pPr>
      <w:r>
        <w:rPr>
          <w:rFonts w:ascii="맑은 고딕" w:hAnsi="맑은 고딕" w:eastAsia="맑은 고딕"/>
          <w:b/>
          <w:i w:val="0"/>
          <w:color w:val="1F3A5F"/>
          <w:sz w:val="21"/>
        </w:rPr>
        <w:t>⑥ 원장 반영</w:t>
      </w:r>
    </w:p>
    <w:p>
      <w:pPr>
        <w:spacing w:after="160"/>
      </w:pPr>
      <w:r>
        <w:rPr>
          <w:rFonts w:ascii="맑은 고딕" w:hAnsi="맑은 고딕" w:eastAsia="맑은 고딕"/>
          <w:b w:val="0"/>
          <w:i w:val="0"/>
          <w:sz w:val="21"/>
        </w:rPr>
        <w:t>계산된 수수료 구성이 원장으로 전달되어 실제 부과·잔고 반영됩니다.</w:t>
      </w:r>
    </w:p>
    <w:p>
      <w:pPr>
        <w:pStyle w:val="Heading2"/>
      </w:pPr>
      <w:r>
        <w:rPr>
          <w:rFonts w:ascii="맑은 고딕" w:hAnsi="맑은 고딕" w:eastAsia="맑은 고딕"/>
          <w:color w:val="1F3A5F"/>
        </w:rPr>
        <w:t>5.1 캐시 적중과 미스</w:t>
      </w:r>
    </w:p>
    <w:p>
      <w:pPr>
        <w:spacing w:after="120"/>
      </w:pPr>
      <w:r>
        <w:rPr>
          <w:rFonts w:ascii="맑은 고딕" w:hAnsi="맑은 고딕" w:eastAsia="맑은 고딕"/>
          <w:b w:val="0"/>
          <w:i w:val="0"/>
          <w:sz w:val="21"/>
        </w:rPr>
        <w:t>동일 계좌·조회키의 첫 조회는 후보를 계산해 답을 저장(미스)하고, 이후 조회는 저장된 답을 바로 사용(적중)합니다. 규칙 승인·연장·지표 변경 등으로 답이 달라질 수 있으면 영향 범위의 저장분만 무효화되어, 다음 조회 때 다시 해석됩니다.</w:t>
      </w:r>
    </w:p>
    <w:p>
      <w:pPr>
        <w:pStyle w:val="Heading2"/>
      </w:pPr>
      <w:r>
        <w:rPr>
          <w:rFonts w:ascii="맑은 고딕" w:hAnsi="맑은 고딕" w:eastAsia="맑은 고딕"/>
          <w:color w:val="1F3A5F"/>
        </w:rPr>
        <w:t>5.2 예시</w:t>
      </w:r>
    </w:p>
    <w:p>
      <w:pPr>
        <w:spacing w:after="120"/>
      </w:pPr>
      <w:r>
        <w:rPr>
          <w:rFonts w:ascii="맑은 고딕" w:hAnsi="맑은 고딕" w:eastAsia="맑은 고딕"/>
          <w:b w:val="0"/>
          <w:i/>
          <w:color w:val="555555"/>
          <w:sz w:val="21"/>
        </w:rPr>
        <w:t>신규 가입 2개월 무료 이벤트에 6월 20일 가입한 고객이 7월 초 국내주식을 온라인으로 체결하면, 해석 결과 자사 위탁수수료가 0원인 무료 요율이 선택됩니다(유관기관수수료·세금은 정상 부과). 같은 이벤트라도 4월에 가입해 이미 2개월이 지난 고객은 무료 요율이 선택되지 않고 표준요율로 돌아갑니다. 동일 이벤트에서 고객마다 다르게 적용되는 이유는 적용기간이 "가입일 기준 상대형"이기 때문입니다.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