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8"/>
        </w:rPr>
        <w:t>수수료 정책 플랫폼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32"/>
        </w:rPr>
        <w:t>업무 설계서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1"/>
        </w:rPr>
        <w:t>버전 0.7  ·  2026-07-05  ·  업무개발팀 / 현업 공유용</w:t>
      </w:r>
    </w:p>
    <w:p/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 문서는 수수료 우대(이벤트·협의수수료)를 어떻게 등록하고, 고객이 어떻게 대상이 되며, 체결이 일어났을 때 실제 수수료가 어떻게 매겨지는지를 업무 흐름 중심으로 설명합니다. 현업(마케팅·PB)과 업무개발 담당자가 함께 보도록 작성했으며, 구조·데이터는 필요한 만큼 구체적으로 테이블·컬럼 수준까지 담되 개발 코드 용어는 쓰지 않았습니다.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용어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용어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기본수수료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계좌에 적용되는 상품군별 표준요율. 우대가 없을 때의 기준선.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이벤트수수료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한시적 우대. 전 계좌 일괄 또는 신청·가입·휴면복귀로 대상이 정해짐.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협의수수료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개별 고객과 협의해 부여하는 우대. 자격 조건을 충족해야 함.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적용범위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우대가 걸리는 축 — 상품군·거래소·세션·주문채널(파생은 품목까지).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수수료를 구성하는 항목표(자사 위탁수수료·유관기관수수료·세금).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조회키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 시 어떤 조건으로 수수료를 찾을지 정하는 키(상품군·거래소·세션·채널, 파생은 품목).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 순간 그 계좌·조회키에 맞는 최저 수수료를 즉석에서 골라내는 과정.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0. 설계 관점 — 왜 “수수료 정책 플랫폼”인가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0.1 이벤트 플랫폼이 아니라 수수료 정책 플랫폼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 시스템은 “이벤트”를 관리하는 도구가 아니라, 수수료를 정책으로 규율하는 플랫폼입니다. 이벤트수수료와 협의수수료는 결국 “수수료 정책”이라는 하나의 개념이 가지는 속성일 뿐입니다.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기본수수료</w:t>
      </w:r>
      <w:r>
        <w:rPr>
          <w:rFonts w:ascii="맑은 고딕" w:hAnsi="맑은 고딕" w:eastAsia="맑은 고딕"/>
        </w:rPr>
        <w:t xml:space="preserve"> — 상시 적용되는 표준 정책(기준선)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이벤트수수료</w:t>
      </w:r>
      <w:r>
        <w:rPr>
          <w:rFonts w:ascii="맑은 고딕" w:hAnsi="맑은 고딕" w:eastAsia="맑은 고딕"/>
        </w:rPr>
        <w:t xml:space="preserve"> — 한시적·조건적 정책(대상 편입 방식이 다를 뿐)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협의수수료</w:t>
      </w:r>
      <w:r>
        <w:rPr>
          <w:rFonts w:ascii="맑은 고딕" w:hAnsi="맑은 고딕" w:eastAsia="맑은 고딕"/>
        </w:rPr>
        <w:t xml:space="preserve"> — 개별 고객 정책(자격 조건 충족 시)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따라서 “이벤트 등록”도 크게 보면 하나의 수수료 정책을 등록·승인·적용하는 행위이며, 문서 전반은 이 관점(정책의 등록 → 대상 편입 → 체결 시 적용)에서 기술합니다.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0.2 수수료 정책의 대상이 되는 방법 — “이벤트(액션) 발생”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여기서 말하는 이벤트는 행사(promotion)가 아니라 “액션의 발생”입니다. 금융뿐 아니라 이커머스 플랫폼까지 두루 살펴본 결과, 고객이 정책 대상이 되는 경로는 몇 가지로 수렴합니다.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대상 편입 경로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이 시스템의 유형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쿠폰 적용 / 신청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고객이 쿠폰을 적용하거나 우대를 신청 → 대상이 됨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가입(유입)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 가입·상품 가입 액션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상태 변화 시그널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 계정 복구·회원가입·멤버십 해지 등 액션 발생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휴면복귀형(및 확장)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선제적 타겟 주입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특정 타겟을 미리 뽑아 강제로 정책 주입(드물지만 필요)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타겟추출형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조건 충족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특정 자격 조건을 충족한 고객에게 부여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조건 충족형(협의수수료)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선제적으로 타겟을 작성해 강제 주입하는 경우는 드물지만 가능해야 하므로 타겟추출형으로 지원하고, 자격 조건을 기준으로 부여하는 형태는 협의수수료가 담당합니다.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0.3 증권사 수수료 정책의 실제 형태 — 정형화 근거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증권사들의 실제 수수료 이벤트를 조사해, 현업이 선택할 수 있는 속성으로 정형화가 가능함을 확인했습니다. 대부분의 증권사 수수료 정책은 다음 범위 안에 있었습니다.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거래소별 / 세션별 수수료 할인 (주식)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특정 품목에 대한 수수료 할인 (파생)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여기에 기간·적용기한이 결합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가장 선구적인 토스증권조차 이보다 더 세분화된 이벤트는 두고 있지 않았습니다. 즉 “상품군·거래소·세션·채널(파생은 품목) + 기간(신청 가능기간·적용기간)”이라는 축으로 현업 선택지를 정형화하면 실제 수요를 충분히 담을 수 있다는 결론이며, 본 문서의 구조·시스템은 이 근거 위에 설계되었습니다.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1. 업무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1.1 한눈에 보기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현업이 “이런 조건의 고객에게 이만큼 우대해 주자”를 규칙(룰)으로 등록하면, 심사·승인을 거쳐 활성화됩니다. 이후 고객이 실제로 주문을 체결하는 순간, 시스템이 그 계좌에 걸리는 우대들을 모아 가장 유리한(최저) 수수료를 자동으로 골라 적용합니다. 우대를 계좌마다 미리 만들어 두는 것이 아니라, 규칙만 저장했다가 체결 때 해석하는 것이 핵심입니다.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01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1.2 수수료 3계층과 최저가 자동 적용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한 거래에는 여러 우대가 동시에 걸릴 수 있습니다. 시스템은 아래 세 계층의 후보를 모두 모아 고객 부담이 가장 낮은 것을 자동으로 적용합니다.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예시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기본(BASE)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상품군별 표준요율. 항상 후보에 포함되는 기준선.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국내주식 표준요율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이벤트(EVENT)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한시적 우대. 대상 편입 방식에 따라 4가지 유형.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온라인 위탁우대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협의(NEGOTIATED)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개별 고객 우대. 자격 조건 충족 시에만.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우수고객 협의수수료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고객이 부담하는 금액이 낮은 순으로 자동 선택됩니다. 우대라고 등록했더라도 특정 구간에서 기준선보다 비싸면(지배관계 불통과) 그 구간에서는 선택되지 않습니다.</w:t>
      </w:r>
    </w:p>
    <w:p>
      <w:pPr>
        <w:pStyle w:val="Heading3"/>
      </w:pPr>
      <w:r>
        <w:rPr>
          <w:rFonts w:ascii="맑은 고딕" w:hAnsi="맑은 고딕" w:eastAsia="맑은 고딕"/>
          <w:color w:val="000000"/>
        </w:rPr>
        <w:t>1.2.1 동률일 때(같은 값이 여럿) 처리 규칙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여러 후보의 고객 부담이 똑같이 최저인 경우, 아래 순서로 하나를 확정합니다. 고객이 내는 금액은 어차피 같으므로, 이 규칙은 “어느 우대로 적용·집계할지”를 항상 같은 결과로 정하기 위한 것입니다.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① 계층 우선</w:t>
      </w:r>
      <w:r>
        <w:rPr>
          <w:rFonts w:ascii="맑은 고딕" w:hAnsi="맑은 고딕" w:eastAsia="맑은 고딕"/>
        </w:rPr>
        <w:t xml:space="preserve"> — 협의 &gt; 이벤트 &gt; 기본 (협의가 있으면 협의로 귀속)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② 같은 계층 이벤트끼리는 “더 구체적인 적용범위”가 우선</w:t>
      </w:r>
    </w:p>
    <w:p>
      <w:pPr>
        <w:spacing w:after="120"/>
      </w:pPr>
      <w:r>
        <w:rPr>
          <w:rFonts w:ascii="맑은 고딕" w:hAnsi="맑은 고딕" w:eastAsia="맑은 고딕"/>
          <w:i/>
          <w:color w:val="555555"/>
          <w:sz w:val="21"/>
        </w:rPr>
        <w:t>예) ‘국내주식 정규세션 온라인’ 이벤트와 ‘국내주식 전체’ 이벤트가 같은 값이면, 더 좁게 겨냥한 세션·채널 한정 이벤트가 적용됩니다(의도한 우대가 이기도록).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③ 그래도 같으면</w:t>
      </w:r>
      <w:r>
        <w:rPr>
          <w:rFonts w:ascii="맑은 고딕" w:hAnsi="맑은 고딕" w:eastAsia="맑은 고딕"/>
        </w:rPr>
        <w:t xml:space="preserve"> — 더 최근에 시작된 이벤트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④ 최종</w:t>
      </w:r>
      <w:r>
        <w:rPr>
          <w:rFonts w:ascii="맑은 고딕" w:hAnsi="맑은 고딕" w:eastAsia="맑은 고딕"/>
        </w:rPr>
        <w:t xml:space="preserve"> — 규칙 식별자 순서(언제 조회해도 동일한 결과 보장)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1.3 이벤트 대상 편입 4유형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대상이 정해지는 방식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고객 행위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예시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타겟추출형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적용범위에 맞는 전 계좌 자동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NXT 거래 전 계좌 인하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고객이 신청하고 승인된 계좌만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 필요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온라인 약정 우대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가입형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이벤트에 가입(유입)한 계좌만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 필요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신규 가입 우대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휴면복귀형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휴면에서 복귀한 계좌 자동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없음(자동 감지)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복귀 고객 면제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1.4 현업이 설정할 수 있는 값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이벤트·협의를 등록할 때 현업이 직접 정하는 값과, 시스템이 자동으로 처리해 현업이 건드리지 않는 값이 나뉩니다.</w:t>
      </w: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이벤트 등록 시 현업이 정하는 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설정할 수 있는 값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예시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이벤트명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자유 입력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 가을 온라인 우대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유형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 / 협의수수료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적용형태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타겟추출 / 신청 / 가입 / 휴면복귀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 가능기간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시작일 ~ 종료일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2026-09-01 ~ 09-30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적용기간 유형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캘린더 고정 / 유입시점 상대(+N개월)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 +2개월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상품군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국내주식·해외주식·국내파생·해외파생·금현물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국내주식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거래소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국내주식은 KRX·NXT 선택 / 그 외는 품목에 따름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KRX, NXT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세션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프리 · 정규 · 애프터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주문채널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HTS·MTS·API·ARS·센터·반대매매(복수 선택)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HTS, MTS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품목(파생만)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선택 품목 / 제외 품목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6A, 6B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구성요소별 종류·부담주체·방식·요율·최소수수료·구간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자사 위탁 1bp 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대상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전체 계좌 / 지정 계좌 리스트(계좌번호 붙여넣기)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(협의) 자격 조건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지표(6개월 평균자산·약정액) · 임계값 · 액션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평균자산 5억 이상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요율표 구성요소에서 고를 수 있는 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종류(kind)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자사(위탁수수료) · 유관기관(거래소·예탁원) · 세금(증권거래세 등)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부담주체(payer)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고객부과 · 회사부담 · 면제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방식(rate_type)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정률(bp) · 정액(원) · 구간표(금액대별 차등)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부가값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요율(bp/원) · 최소수수료 · 구간 경계·구간별 요율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시스템이 자동 처리(현업이 정하지 않음)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최저가 선택·계층/동률 tie-break</w:t>
      </w:r>
      <w:r>
        <w:rPr>
          <w:rFonts w:ascii="맑은 고딕" w:hAnsi="맑은 고딕" w:eastAsia="맑은 고딕"/>
        </w:rPr>
        <w:t xml:space="preserve"> — 후보 중 자동 결정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조회키 종목 붕괴</w:t>
      </w:r>
      <w:r>
        <w:rPr>
          <w:rFonts w:ascii="맑은 고딕" w:hAnsi="맑은 고딕" w:eastAsia="맑은 고딕"/>
        </w:rPr>
        <w:t xml:space="preserve"> — 주식은 종목을 키에서 제거(거래소·세션·채널만)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해석 결과 캐시·무효화</w:t>
      </w:r>
      <w:r>
        <w:rPr>
          <w:rFonts w:ascii="맑은 고딕" w:hAnsi="맑은 고딕" w:eastAsia="맑은 고딕"/>
        </w:rPr>
        <w:t xml:space="preserve"> — 성능을 위한 저장/갱신은 시스템 담당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1.5 고객이 이벤트에 참여·대상이 되는 방식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유형마다 고객이 무엇을 해야 대상이 되는지가 다릅니다.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고객이 대상이 되는 방법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타겟추출형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아무 행위도 필요 없음. 체결이 적용범위(상품군·거래소·세션·채널)에 맞으면 자동으로 최저가 후보에 포함.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고객이 채널(HTS/MTS/센터 등)로 신청 → 심사·승인 → 대상. 신청 이력에 신청 채널·시점이 남고, 이 이력이 있어야 대상이 됨.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가입형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고객이 이벤트에 가입(유입)하면 대상. 적용기간이 상대형이면 이 “가입일”이 혜택 시작 기준이 되어, 고객마다 혜택 종료일이 달라짐.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휴면복귀형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고객이 따로 신청하지 않아도, 원장이 휴면 계좌의 복귀를 감지하면 자동으로 편입.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협의수수료</w:t>
            </w:r>
          </w:p>
        </w:tc>
        <w:tc>
          <w:tcPr>
            <w:tcW w:type="dxa" w:w="731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고객(또는 담당 PB)이 신청 → 자격 조건(예: 6개월 평균자산 5억 이상) 충족 확인 → 승인 시 그 계좌에 부여. 만료가 오면 그룹 단위로 연장 대상이 다시 산출됨.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주문채널의 의미</w:t>
      </w:r>
      <w:r>
        <w:rPr>
          <w:rFonts w:ascii="맑은 고딕" w:hAnsi="맑은 고딕" w:eastAsia="맑은 고딕"/>
        </w:rPr>
        <w:t xml:space="preserve"> — 어떤 채널로 참여·체결했는지가 기록되며, 채널을 한정한 이벤트(예: 온라인 HTS·MTS 전용)의 대상 판정에 사용됨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가입일의 의미</w:t>
      </w:r>
      <w:r>
        <w:rPr>
          <w:rFonts w:ascii="맑은 고딕" w:hAnsi="맑은 고딕" w:eastAsia="맑은 고딕"/>
        </w:rPr>
        <w:t xml:space="preserve"> — 상대형 혜택(“가입 시 두 달 무료” 등)에서 고객별 혜택 기간의 시작점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1.6 이벤트 기간 — 신청 가능기간과 적용기간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이벤트에는 두 개의 서로 다른 기간이 있습니다. 실무에서 자주 혼동되므로 구분해서 설정합니다.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신청/유입 가능기간</w:t>
      </w:r>
      <w:r>
        <w:rPr>
          <w:rFonts w:ascii="맑은 고딕" w:hAnsi="맑은 고딕" w:eastAsia="맑은 고딕"/>
        </w:rPr>
        <w:t xml:space="preserve"> — 고객이 이벤트에 들어올 수 있는 캘린더 구간(예: 4/1~6/30)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적용기간(혜택 기간)</w:t>
      </w:r>
      <w:r>
        <w:rPr>
          <w:rFonts w:ascii="맑은 고딕" w:hAnsi="맑은 고딕" w:eastAsia="맑은 고딕"/>
        </w:rPr>
        <w:t xml:space="preserve"> — 실제 우대가 적용되는 구간. 룰마다 두 방식 중 선택</w:t>
      </w:r>
    </w:p>
    <w:p>
      <w:pPr>
        <w:pStyle w:val="ListBullet2"/>
        <w:spacing w:after="60"/>
      </w:pPr>
      <w:r>
        <w:rPr>
          <w:rFonts w:ascii="맑은 고딕" w:hAnsi="맑은 고딕" w:eastAsia="맑은 고딕"/>
          <w:b/>
        </w:rPr>
        <w:t>캘린더 고정형</w:t>
      </w:r>
      <w:r>
        <w:rPr>
          <w:rFonts w:ascii="맑은 고딕" w:hAnsi="맑은 고딕" w:eastAsia="맑은 고딕"/>
        </w:rPr>
        <w:t xml:space="preserve"> — 신청 가능기간(룰 종료일)까지 적용. 모든 고객이 같은 날 종료</w:t>
      </w:r>
    </w:p>
    <w:p>
      <w:pPr>
        <w:pStyle w:val="ListBullet2"/>
        <w:spacing w:after="60"/>
      </w:pPr>
      <w:r>
        <w:rPr>
          <w:rFonts w:ascii="맑은 고딕" w:hAnsi="맑은 고딕" w:eastAsia="맑은 고딕"/>
          <w:b/>
        </w:rPr>
        <w:t>유입시점 상대형</w:t>
      </w:r>
      <w:r>
        <w:rPr>
          <w:rFonts w:ascii="맑은 고딕" w:hAnsi="맑은 고딕" w:eastAsia="맑은 고딕"/>
        </w:rPr>
        <w:t xml:space="preserve"> — 계좌마다 “가입일 + N개월”. 예) 6/20 가입 = 8/20까지, 신청 마감(6/30)이 지나도 남은 기간 유지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상대형은 고객마다 가입일이 다르므로 혜택 종료일도 제각각입니다. 이 계좌별 기간은 체결 시 해석에서 자동으로 반영됩니다.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86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peri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1.7 등록 → 승인 → 활성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① 현업 기안</w:t>
      </w:r>
      <w:r>
        <w:rPr>
          <w:rFonts w:ascii="맑은 고딕" w:hAnsi="맑은 고딕" w:eastAsia="맑은 고딕"/>
        </w:rPr>
        <w:t xml:space="preserve"> — 적용범위·요율표·기간·대상을 지정해 올림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② 시뮬레이션 검증</w:t>
      </w:r>
      <w:r>
        <w:rPr>
          <w:rFonts w:ascii="맑은 고딕" w:hAnsi="맑은 고딕" w:eastAsia="맑은 고딕"/>
        </w:rPr>
        <w:t xml:space="preserve"> — 지배관계(전 구간에서 기준선보다 싼지)·역마진(회사 부담이 자사 수취를 넘는지) 자동 점검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③ 심사 승인</w:t>
      </w:r>
      <w:r>
        <w:rPr>
          <w:rFonts w:ascii="맑은 고딕" w:hAnsi="맑은 고딕" w:eastAsia="맑은 고딕"/>
        </w:rPr>
        <w:t xml:space="preserve"> — 담당 심사자가 검토 후 승인 또는 반려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④ 활성</w:t>
      </w:r>
      <w:r>
        <w:rPr>
          <w:rFonts w:ascii="맑은 고딕" w:hAnsi="맑은 고딕" w:eastAsia="맑은 고딕"/>
        </w:rPr>
        <w:t xml:space="preserve"> — 이후 계좌별 전개 없이, 체결 시 규칙이 해석되어 적용</w:t>
      </w:r>
    </w:p>
    <w:p>
      <w:pPr>
        <w:spacing w:after="120"/>
      </w:pPr>
      <w:r>
        <w:rPr>
          <w:rFonts w:ascii="맑은 고딕" w:hAnsi="맑은 고딕" w:eastAsia="맑은 고딕"/>
          <w:i/>
          <w:color w:val="555555"/>
          <w:sz w:val="21"/>
        </w:rPr>
        <w:t>주식은 종목 단위로 우대를 걸지 않습니다. 주식 수수료는 거래소·세션·주문채널로만 결정되므로 시뮬레이션·적용범위도 “거래소×세션×채널” 구간 단위로 다룹니다. 종목별 지정은 파생상품에만 해당합니다.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1.8 협의수수료 — 신청과 연장 대상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협의수수료는 개별 고객이 신청하고 자격 조건을 충족하면 승인되어 부여됩니다(계좌별). 반면 만료가 다가올 때의 연장은 계좌를 일일이 보지 않고 그룹 단위로 대상을 한 번에 산출합니다.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그룹 축</w:t>
      </w:r>
      <w:r>
        <w:rPr>
          <w:rFonts w:ascii="맑은 고딕" w:hAnsi="맑은 고딕" w:eastAsia="맑은 고딕"/>
        </w:rPr>
        <w:t xml:space="preserve"> — 주식형 협의는 상품군 단위(국내주식·해외주식·금현물), 파생 협의는 품목 단위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재평가 분류</w:t>
      </w:r>
      <w:r>
        <w:rPr>
          <w:rFonts w:ascii="맑은 고딕" w:hAnsi="맑은 고딕" w:eastAsia="맑은 고딕"/>
        </w:rPr>
        <w:t xml:space="preserve"> — 신규(새로 충족)·유지(계속 충족)·탈락(더는 미충족)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탈락 노출</w:t>
      </w:r>
      <w:r>
        <w:rPr>
          <w:rFonts w:ascii="맑은 고딕" w:hAnsi="맑은 고딕" w:eastAsia="맑은 고딕"/>
        </w:rPr>
        <w:t xml:space="preserve"> — 기존 보유자와 비교하므로 이번에 빠지는 “탈락 대상”이 함께 드러남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수행 방식</w:t>
      </w:r>
      <w:r>
        <w:rPr>
          <w:rFonts w:ascii="맑은 고딕" w:hAnsi="맑은 고딕" w:eastAsia="맑은 고딕"/>
        </w:rPr>
        <w:t xml:space="preserve"> — 정기 배치가 아니라, 만료 임박 시 대상을 자동 산출 → 담당자가 확인·조정 → 일괄 승인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86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ne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1.9 휴면복귀 적용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원장에서 휴면 계좌의 복귀가 감지되면, 휴면복귀형 이벤트가 그 계좌에 자동으로 적용됩니다(시그널 기반 즉시).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1.10 역할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책임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현업(마케팅·PB)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이벤트·협의 기안, 적용범위·요율표·기간·대상 설계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심사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지배관계·역마진 검토 후 승인/반려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업무개발·시스템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해석·캐시·무효화, 원장 연계, 지표 적재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 처리, 계좌 지표 산정, 수수료 실제 부과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2. 데이터 구조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물리 테이블 명세라기보다, 어떤 정보가 어디에 담기고 서로 어떻게 연결되는지를 봅니다. 이어서 주요 테이블의 대표 컬럼까지 정리합니다.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60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6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2.1 핵심 정보 묶음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정보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자사·유관기관·세금 항목과 요율 방식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이벤트·협의·기본이 참조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규칙(룰)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유형·상태·적용범위·기간(2축)·조건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이벤트/협의 공통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예외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계좌×요율표·유효기간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단위 저장(유일)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가입/신청 이력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계좌×규칙·가입일·채널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상대형·협의 자격 근거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지표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6개월 평균자산·약정액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자격 판정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결과 보관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계좌×조회키 → 답(캐시)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읽기 지연 감소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이력·감사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변경·협의 부여/해지·조건 평가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감사 추적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2.2 “전량 전개 테이블”을 두지 않는 이유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계좌마다 모든 종목의 수수료를 미리 펼쳐 저장하는 방식은 수천만 계좌 × 수천 종목 규모에서 저장량이 폭증해 감당하기 어렵습니다. 그래서 전개 테이블을 두지 않고 규칙만 저장했다가 체결 시 해석합니다. 계좌 단위로 저장되는 것은 “협의 예외”뿐입니다.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2.3 핵심 테이블 (주요 컬럼)</w:t>
      </w: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요율표 계열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테이블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주요 컬럼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요율표(FEE_SCHEDULE)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schedule_id(PK) · name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규칙이 참조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구성요소(FEE_COMPONENT)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schedule_id(FK) · seq · name · kind[자사/유관기관/세금] · payer[고객부과/회사부담/면제] · rate_type[정률/정액/구간표] · rate_bp · flat_amount · min_fee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 1:N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구간(FEE_RATE_BAND)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schedule_id·seq(FK) · from · to · rate_bp / flat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구간표일 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규칙 계열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테이블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주요 컬럼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규칙(FEE_RULE)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rule_id(PK) · name · type[BASE/EVENT/NEGOTIATED] · status · apply_mode[일괄/신청/가입/휴면복귀] · start_date · end_date · benefit_kind[캘린더/상대] · benefit_months · schedule_id(FK)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적용범위(FEE_RULE_SCOPE)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rule_id(FK) · asset_class · exchanges · sessions · channels · products · exclude_products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조건(FEE_RULE_CONDITION)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rule_id(FK) · metric[6개월평균자산/약정액] · threshold · action[자동연장/승인후연장]  (협의 전용)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계좌 관련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테이블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주요 컬럼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예외(NEGO_GRANT)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account_id · schedule_id · asset_class 등 범위 · valid_from · valid_to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단위 저장(유일)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가입/신청(ENROLLMENT)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account_id · rule_id · enrolled_at · channel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상대형·협의 자격 근거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지표(ACCOUNT_METRIC)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account_id · avg_asset_6m · volume_6m · dormant_returned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 적재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캐시(RESOLVED_CACHE)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account_id · fee_key · schedule_id · source_rule_id · source[협의/이벤트/기본] · computed_at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읽기 지연 감소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조회키(FEE_KEY) — 계좌에 수수료를 매기는 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컬럼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주식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파생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asset_class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상품군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exchange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거래소(KRX/NXT/CME…)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session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세션(프리/정규/애프터)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channel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주문채널(HTS/MTS/API/ARS/센터/반대매매)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product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품목(종목/계약)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✗ (null)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3. 적용 방식 — 배치 / 신청 / 시그널 즉시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각 업무가 언제 반영되는지를 세 가지로 나눕니다. 정기 배치가 꼭 필요한 것과, 고객 행위·시그널로 즉시 반영되는 것을 구분합니다.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778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app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778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업무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트리거/주기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즉시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 발효·만료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기간 도래(일 점검)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배치 시점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타겟추출형 이벤트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활성 즉시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승인·발효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즉시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신청형·가입형 편입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 신청/가입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 행위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즉시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상대형 혜택 종료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시 판정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가입일+N 경과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 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 적용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시그널 즉시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 감지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즉시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지표 재산정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주기(월/일)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배치 시점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자격 평가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지표 연동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지표 재산정 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갱신 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연장 대상 산출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요청형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만료 임박→담당자 확인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 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결과 무효화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변경 연동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승인/연장/지표 변경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즉시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정기 배치가 반드시 필요한 것은 “기간 도래(발효·만료)”와 “지표 재산정”입니다. 협의 연장 대상 산출은 고정 시각 배치가 아니라 만료 임박 시 자동으로 뽑아 담당자가 확인·승인하는 요청형입니다. 신청·가입·휴면복귀·상대형 종료는 배치 없이 즉시 또는 조회 시점에 반영됩니다.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4. 아키텍처 — 규칙은 저장, 금액은 체결 때 해석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01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4.1 기본 원리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금액 미저장</w:t>
      </w:r>
      <w:r>
        <w:rPr>
          <w:rFonts w:ascii="맑은 고딕" w:hAnsi="맑은 고딕" w:eastAsia="맑은 고딕"/>
        </w:rPr>
        <w:t xml:space="preserve"> — 규칙만 보관하고, 체결이 일어날 때 그 계좌·조건에 맞는 규칙을 해석해 즉석 계산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캐시</w:t>
      </w:r>
      <w:r>
        <w:rPr>
          <w:rFonts w:ascii="맑은 고딕" w:hAnsi="맑은 고딕" w:eastAsia="맑은 고딕"/>
        </w:rPr>
        <w:t xml:space="preserve"> — 한 번 해석한 답을 (계좌, 조회키) 단위로 임시 보관해 읽기 지연을 줄임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무효화</w:t>
      </w:r>
      <w:r>
        <w:rPr>
          <w:rFonts w:ascii="맑은 고딕" w:hAnsi="맑은 고딕" w:eastAsia="맑은 고딕"/>
        </w:rPr>
        <w:t xml:space="preserve"> — 규칙이 바뀌면 영향받는 범위만 무효화 → 다음 조회 때 다시 해석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4.2 플랫폼 / 원장 경계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영역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플랫폼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등록·심사·승인, 적용범위·기간 관리, 체결 시 해석, 협의 부여/연장, 캐시·무효화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체결·잔고 반영, 계좌 지표 산정·전달, 해석 결과에 따른 실제 수수료 부과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4.3 규모 대응 — 전개형에서 해석형으로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전개형(계좌×종목 사전 전개)</w:t>
      </w:r>
      <w:r>
        <w:rPr>
          <w:rFonts w:ascii="맑은 고딕" w:hAnsi="맑은 고딕" w:eastAsia="맑은 고딕"/>
        </w:rPr>
        <w:t xml:space="preserve"> — 조회는 빠르나 저장량 폭증 → 대규모에서 불가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해석형(체결 시 해석 + 캐시)</w:t>
      </w:r>
      <w:r>
        <w:rPr>
          <w:rFonts w:ascii="맑은 고딕" w:hAnsi="맑은 고딕" w:eastAsia="맑은 고딕"/>
        </w:rPr>
        <w:t xml:space="preserve"> — 저장은 규칙과 예외뿐. 읽기 지연은 캐시로, 변경은 증분 무효화로 관리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주식은 조회키에서 종목을 제거(거래소·세션·채널)해 가장 큰 카디널리티를 없앰. 파생만 품목을 키에 유지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4.4 조회키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상품군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조회키 구성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국내·해외주식, 금현물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상품군·거래소·세션·주문채널 (종목 없음)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국내·해외파생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상품군·거래소·세션·주문채널·품목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4.5 성능 — 캐시 미스는 느리지 않은가?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현재 방식(계좌 등급 조회 → 등급별 상품 요율 조회, 색인 읽기 2회)과 비교하면 다음과 같습니다.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캐시 적중</w:t>
      </w:r>
      <w:r>
        <w:rPr>
          <w:rFonts w:ascii="맑은 고딕" w:hAnsi="맑은 고딕" w:eastAsia="맑은 고딕"/>
        </w:rPr>
        <w:t xml:space="preserve"> — 저장된 답 1건 조회 = 등급 방식(2회)보다 오히려 적거나 동급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캐시 미스</w:t>
      </w:r>
      <w:r>
        <w:rPr>
          <w:rFonts w:ascii="맑은 고딕" w:hAnsi="맑은 고딕" w:eastAsia="맑은 고딕"/>
        </w:rPr>
        <w:t xml:space="preserve"> — 그 (계좌,조회키)에 걸리는 후보(기본 + 활성 이벤트/협의 소수)만 메모리 안에서 최저가 계산</w:t>
      </w:r>
    </w:p>
    <w:p>
      <w:pPr>
        <w:pStyle w:val="ListBullet2"/>
        <w:spacing w:after="60"/>
      </w:pPr>
      <w:r>
        <w:rPr>
          <w:rFonts w:ascii="맑은 고딕" w:hAnsi="맑은 고딕" w:eastAsia="맑은 고딕"/>
          <w:b/>
        </w:rPr>
        <w:t>미스 특성</w:t>
      </w:r>
      <w:r>
        <w:rPr>
          <w:rFonts w:ascii="맑은 고딕" w:hAnsi="맑은 고딕" w:eastAsia="맑은 고딕"/>
        </w:rPr>
        <w:t xml:space="preserve"> — 추가 디스크 조회 없음(규칙·요율표는 상주) · 후보 수 소수(수 개) · (계좌,조회키)당 최초 1회만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즉, 미스 1건은 단순 2회 읽기보다 연산은 조금 많지만 디스크 왕복이 없고 최초 1회뿐입니다. 무엇보다 등급 방식으로는 이벤트·협의·최저가·기간을 애초에 표현할 수 없고, 이를 담으려면 전개(저장 폭발)거나 결국 체결 시 최저가 계산이 필요합니다. 활성 계좌×빈출 조회키를 미리 계산해 두는 캐시 예열을 쓰면 정상 운영에서 미스는 드물어집니다.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4.6 “동시에 도는 이벤트가 많지 않다”는 전제 활용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실제 운영에서 같은 시점에 활성인 규칙은 많지 않습니다. 대략 다음 정도입니다.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기본수수료</w:t>
      </w:r>
      <w:r>
        <w:rPr>
          <w:rFonts w:ascii="맑은 고딕" w:hAnsi="맑은 고딕" w:eastAsia="맑은 고딕"/>
        </w:rPr>
        <w:t xml:space="preserve"> — 상품군별 1개(5종)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협의수수료</w:t>
      </w:r>
      <w:r>
        <w:rPr>
          <w:rFonts w:ascii="맑은 고딕" w:hAnsi="맑은 고딕" w:eastAsia="맑은 고딕"/>
        </w:rPr>
        <w:t xml:space="preserve"> — 소수(상품군/파생 품목별 몇 건)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산발적 이벤트</w:t>
      </w:r>
      <w:r>
        <w:rPr>
          <w:rFonts w:ascii="맑은 고딕" w:hAnsi="맑은 고딕" w:eastAsia="맑은 고딕"/>
        </w:rPr>
        <w:t xml:space="preserve"> — 상품군별(국내주식·해외주식·국내파생·해외파생, 파생은 품목별) 몇 건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세션 단위 이벤트</w:t>
      </w:r>
      <w:r>
        <w:rPr>
          <w:rFonts w:ascii="맑은 고딕" w:hAnsi="맑은 고딕" w:eastAsia="맑은 고딕"/>
        </w:rPr>
        <w:t xml:space="preserve"> — 상품별 몇 건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따라서 하나의 조회키에 실제로 걸리는 후보는 손에 꼽을 정도(대개 기본 1개 + 이벤트/협의 몇 개)입니다. 이 전제를 다음과 같이 활용합니다.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후보 인덱스·최저가 계산이 가벼움 → 캐시 미스 비용이 작음(4.5절을 뒷받침)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무거운 분산 인덱스나 대규모 사전계산이 불필요 — 규칙셋을 메모리에 상주시키고 선형 필터로 충분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규칙 변경이 드물어 캐시 무효화 빈도도 낮음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전제가 깨질 경우(이벤트 급증)</w:t>
      </w:r>
      <w:r>
        <w:rPr>
          <w:rFonts w:ascii="맑은 고딕" w:hAnsi="맑은 고딕" w:eastAsia="맑은 고딕"/>
        </w:rPr>
        <w:t xml:space="preserve"> — 적용범위 기반 인덱스 세분화·캐시 예열 강화로 확장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5. 체결 시 수수료 적용 플로우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고객이 실제로 거래를 체결했을 때 수수료가 매겨지는 과정을 단계로 봅니다.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85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8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① 체결 발생</w:t>
      </w:r>
      <w:r>
        <w:rPr>
          <w:rFonts w:ascii="맑은 고딕" w:hAnsi="맑은 고딕" w:eastAsia="맑은 고딕"/>
        </w:rPr>
        <w:t xml:space="preserve"> — 계좌·거래소·세션·주문채널·(파생)품목·체결가·수량 확정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② 조회키 구성</w:t>
      </w:r>
      <w:r>
        <w:rPr>
          <w:rFonts w:ascii="맑은 고딕" w:hAnsi="맑은 고딕" w:eastAsia="맑은 고딕"/>
        </w:rPr>
        <w:t xml:space="preserve"> — 주식은 종목을 붕괴시켜 거래소·세션·채널로만 구성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③ 후보 수집</w:t>
      </w:r>
      <w:r>
        <w:rPr>
          <w:rFonts w:ascii="맑은 고딕" w:hAnsi="맑은 고딕" w:eastAsia="맑은 고딕"/>
        </w:rPr>
        <w:t xml:space="preserve"> — 협의·이벤트·기본 후보를 모음(대상 편입·적용기간 통과분만)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④ 최저가 결정</w:t>
      </w:r>
      <w:r>
        <w:rPr>
          <w:rFonts w:ascii="맑은 고딕" w:hAnsi="맑은 고딕" w:eastAsia="맑은 고딕"/>
        </w:rPr>
        <w:t xml:space="preserve"> — 고객 부담 최저 선택(동률 시 1.2.1의 규칙) → 답을 캐시에 저장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⑤ 금액 산정</w:t>
      </w:r>
      <w:r>
        <w:rPr>
          <w:rFonts w:ascii="맑은 고딕" w:hAnsi="맑은 고딕" w:eastAsia="맑은 고딕"/>
        </w:rPr>
        <w:t xml:space="preserve"> — 선택된 요율표에 체결가·수량을 대입해 자사·유관기관·세금 계산(미리 저장하지 않음)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⑥ 원장 반영</w:t>
      </w:r>
      <w:r>
        <w:rPr>
          <w:rFonts w:ascii="맑은 고딕" w:hAnsi="맑은 고딕" w:eastAsia="맑은 고딕"/>
        </w:rPr>
        <w:t xml:space="preserve"> — 계산된 수수료 구성을 원장에 전달 → 실제 부과·잔고 반영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5.1 캐시 적중/미스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첫 조회(미스)</w:t>
      </w:r>
      <w:r>
        <w:rPr>
          <w:rFonts w:ascii="맑은 고딕" w:hAnsi="맑은 고딕" w:eastAsia="맑은 고딕"/>
        </w:rPr>
        <w:t xml:space="preserve"> — 후보를 계산해 답을 저장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이후 조회(적중)</w:t>
      </w:r>
      <w:r>
        <w:rPr>
          <w:rFonts w:ascii="맑은 고딕" w:hAnsi="맑은 고딕" w:eastAsia="맑은 고딕"/>
        </w:rPr>
        <w:t xml:space="preserve"> — 저장된 답을 바로 사용(재계산 없음)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변경 시</w:t>
      </w:r>
      <w:r>
        <w:rPr>
          <w:rFonts w:ascii="맑은 고딕" w:hAnsi="맑은 고딕" w:eastAsia="맑은 고딕"/>
        </w:rPr>
        <w:t xml:space="preserve"> — 규칙 승인/연장·지표 변경 등으로 답이 달라질 수 있으면 영향 범위만 무효화 → 다음 조회 때 재해석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5.2 예시 — 상대형 이벤트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“신규 가입 2개월 무료”에 6/20 가입한 고객이 7월 초 국내주식을 온라인으로 체결 → 자사 수수료 0원 무료 요율(유관·세금은 정상 부과)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같은 이벤트라도 4월에 가입해 2개월이 지난 고객 → 무료가 아니라 표준요율로 복귀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고객마다 다른 이유</w:t>
      </w:r>
      <w:r>
        <w:rPr>
          <w:rFonts w:ascii="맑은 고딕" w:hAnsi="맑은 고딕" w:eastAsia="맑은 고딕"/>
        </w:rPr>
        <w:t xml:space="preserve"> — 적용기간이 “가입일 기준 상대형”이기 때문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5.3 해석 상세 (기술)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906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resol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후보 인덱스</w:t>
      </w:r>
      <w:r>
        <w:rPr>
          <w:rFonts w:ascii="맑은 고딕" w:hAnsi="맑은 고딕" w:eastAsia="맑은 고딕"/>
        </w:rPr>
        <w:t xml:space="preserve"> — 활성 이벤트·협의를 적용범위로 미리 인덱싱해, 조회키로 매칭되는 것만 추출(전 규칙 스캔 아님)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대상 게이트</w:t>
      </w:r>
      <w:r>
        <w:rPr>
          <w:rFonts w:ascii="맑은 고딕" w:hAnsi="맑은 고딕" w:eastAsia="맑은 고딕"/>
        </w:rPr>
        <w:t xml:space="preserve"> — 일괄=전 계좌 / 신청·가입=이력 존재 / 휴면복귀=복귀 계좌 / 협의=신청+조건 충족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기간 게이트</w:t>
      </w:r>
      <w:r>
        <w:rPr>
          <w:rFonts w:ascii="맑은 고딕" w:hAnsi="맑은 고딕" w:eastAsia="맑은 고딕"/>
        </w:rPr>
        <w:t xml:space="preserve"> — 캘린더형=룰 기간 내 / 상대형=가입일~가입일+N (신청 마감과 무관)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협의 예외 결합</w:t>
      </w:r>
      <w:r>
        <w:rPr>
          <w:rFonts w:ascii="맑은 고딕" w:hAnsi="맑은 고딕" w:eastAsia="맑은 고딕"/>
        </w:rPr>
        <w:t xml:space="preserve"> — (계좌, 요율표)가 맞고 유효기간 내인 부여분을 후보에 추가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최저가 비교</w:t>
      </w:r>
      <w:r>
        <w:rPr>
          <w:rFonts w:ascii="맑은 고딕" w:hAnsi="맑은 고딕" w:eastAsia="맑은 고딕"/>
        </w:rPr>
        <w:t xml:space="preserve"> — 후보 공동 검사구간(구간 경계+표본가) 평균 고객부담 최소 선택. 동률 시 협의&gt;이벤트&gt;기본, 그다음 더 구체적 범위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캐시·무효화</w:t>
      </w:r>
      <w:r>
        <w:rPr>
          <w:rFonts w:ascii="맑은 고딕" w:hAnsi="맑은 고딕" w:eastAsia="맑은 고딕"/>
        </w:rPr>
        <w:t xml:space="preserve"> — 결과를 (계좌, 조회키)로 저장. 규칙 승인/연장·지표 변경 시 영향 범위(계좌 또는 스코프)만 무효화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