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140" w:line="240" w:lineRule="auto" w:before="0"/>
      </w:pPr>
      <w:r>
        <w:rPr>
          <w:b/>
          <w:sz w:val="22"/>
        </w:rPr>
        <w:t xml:space="preserve">Table 1. </w:t>
      </w:r>
      <w:r>
        <w:rPr>
          <w:b w:val="0"/>
          <w:sz w:val="22"/>
        </w:rPr>
        <w:t>Representative electrolyte strategies reveal multiple kinetic pathways for magnesium transfer.</w:t>
      </w:r>
    </w:p>
    <w:tbl>
      <w:tblPr>
        <w:tblW w:type="dxa" w:w="15477"/>
        <w:jc w:val="center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H w:val="nil"/>
          <w:insideV w:val="nil"/>
        </w:tblBorders>
        <w:tblCellMar>
          <w:top w:w="28" w:type="dxa"/>
          <w:bottom w:w="28" w:type="dxa"/>
          <w:left w:w="60" w:type="dxa"/>
          <w:right w:w="60" w:type="dxa"/>
        </w:tblCellMar>
      </w:tblPr>
      <w:tblGrid>
        <w:gridCol w:w="1701"/>
        <w:gridCol w:w="2835"/>
        <w:gridCol w:w="1020"/>
        <w:gridCol w:w="3402"/>
        <w:gridCol w:w="5669"/>
        <w:gridCol w:w="850"/>
      </w:tblGrid>
      <w:tr>
        <w:trPr>
          <w:tblHeader w:val="true"/>
        </w:trPr>
        <w:tc>
          <w:tcPr>
            <w:tcW w:type="dxa" w:w="1701"/>
            <w:vAlign w:val="center"/>
            <w:tcBorders>
              <w:top w:val="single" w:sz="10" w:color="000000"/>
              <w:bottom w:val="single" w:sz="5" w:color="000000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/>
                <w:color w:val="000000"/>
                <w:sz w:val="19"/>
              </w:rPr>
              <w:t>Design strategy</w:t>
            </w:r>
          </w:p>
        </w:tc>
        <w:tc>
          <w:tcPr>
            <w:tcW w:type="dxa" w:w="2835"/>
            <w:vAlign w:val="center"/>
            <w:tcBorders>
              <w:top w:val="single" w:sz="10" w:color="000000"/>
              <w:bottom w:val="single" w:sz="5" w:color="000000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/>
                <w:color w:val="000000"/>
                <w:sz w:val="19"/>
              </w:rPr>
              <w:t>Representative chemistry</w:t>
            </w:r>
          </w:p>
        </w:tc>
        <w:tc>
          <w:tcPr>
            <w:tcW w:type="dxa" w:w="1020"/>
            <w:vAlign w:val="center"/>
            <w:tcBorders>
              <w:top w:val="single" w:sz="10" w:color="000000"/>
              <w:bottom w:val="single" w:sz="5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/>
                <w:color w:val="000000"/>
                <w:sz w:val="19"/>
              </w:rPr>
              <w:t>Reported Mg CE (%)</w:t>
            </w:r>
          </w:p>
        </w:tc>
        <w:tc>
          <w:tcPr>
            <w:tcW w:type="dxa" w:w="3402"/>
            <w:vAlign w:val="center"/>
            <w:tcBorders>
              <w:top w:val="single" w:sz="10" w:color="000000"/>
              <w:bottom w:val="single" w:sz="5" w:color="000000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/>
                <w:color w:val="000000"/>
                <w:sz w:val="19"/>
              </w:rPr>
              <w:t>Reported readout context</w:t>
            </w:r>
          </w:p>
        </w:tc>
        <w:tc>
          <w:tcPr>
            <w:tcW w:type="dxa" w:w="5669"/>
            <w:vAlign w:val="center"/>
            <w:tcBorders>
              <w:top w:val="single" w:sz="10" w:color="000000"/>
              <w:bottom w:val="single" w:sz="5" w:color="000000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/>
                <w:color w:val="000000"/>
                <w:sz w:val="19"/>
              </w:rPr>
              <w:t>Mechanistic question to test</w:t>
            </w:r>
          </w:p>
        </w:tc>
        <w:tc>
          <w:tcPr>
            <w:tcW w:type="dxa" w:w="850"/>
            <w:vAlign w:val="center"/>
            <w:tcBorders>
              <w:top w:val="single" w:sz="10" w:color="000000"/>
              <w:bottom w:val="single" w:sz="5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/>
                <w:color w:val="000000"/>
                <w:sz w:val="19"/>
              </w:rPr>
              <w:t>Refs.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Weakly coordinating anion</w:t>
            </w:r>
          </w:p>
        </w:tc>
        <w:tc>
          <w:tcPr>
            <w:tcW w:type="dxa" w:w="2835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Mg(CB₁₁H₁₂)₂/G4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&gt;94.4</w:t>
            </w:r>
          </w:p>
        </w:tc>
        <w:tc>
          <w:tcPr>
            <w:tcW w:type="dxa" w:w="3402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Mg reversibility; value compiled by Zhang et al.</w:t>
            </w:r>
          </w:p>
        </w:tc>
        <w:tc>
          <w:tcPr>
            <w:tcW w:type="dxa" w:w="5669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Does solvent rearrangement remain accessible as persistent anion association is reduced?</w:t>
            </w:r>
          </w:p>
        </w:tc>
        <w:tc>
          <w:tcPr>
            <w:tcW w:type="dxa" w:w="85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9">
              <w:r>
                <w:rPr>
                  <w:rFonts w:ascii="Liberation Serif" w:hAnsi="Liberation Serif"/>
                  <w:color w:val="000000"/>
                  <w:sz w:val="19"/>
                </w:rPr>
                <w:t>[43]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Weakly coordinating anion</w:t>
            </w:r>
          </w:p>
        </w:tc>
        <w:tc>
          <w:tcPr>
            <w:tcW w:type="dxa" w:w="2835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Mg perfluorinated pinacolatoborate (Mg-FPB)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95</w:t>
            </w:r>
          </w:p>
        </w:tc>
        <w:tc>
          <w:tcPr>
            <w:tcW w:type="dxa" w:w="3402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Original report of reversible Mg deposition</w:t>
            </w:r>
          </w:p>
        </w:tc>
        <w:tc>
          <w:tcPr>
            <w:tcW w:type="dxa" w:w="5669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Does weak anion association leave solvent rearrangement as the main limitation?</w:t>
            </w:r>
          </w:p>
        </w:tc>
        <w:tc>
          <w:tcPr>
            <w:tcW w:type="dxa" w:w="85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10">
              <w:r>
                <w:rPr>
                  <w:rFonts w:ascii="Liberation Serif" w:hAnsi="Liberation Serif"/>
                  <w:color w:val="000000"/>
                  <w:sz w:val="19"/>
                </w:rPr>
                <w:t>[47]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Promote pair dissociation</w:t>
            </w:r>
          </w:p>
        </w:tc>
        <w:tc>
          <w:tcPr>
            <w:tcW w:type="dxa" w:w="2835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Mg(TFSI)₂/DME–G2–BTFE–TEP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95.2</w:t>
            </w:r>
          </w:p>
        </w:tc>
        <w:tc>
          <w:tcPr>
            <w:tcW w:type="dxa" w:w="3402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Mg plating/stripping; value compiled by Zhang et al.</w:t>
            </w:r>
          </w:p>
        </w:tc>
        <w:tc>
          <w:tcPr>
            <w:tcW w:type="dxa" w:w="5669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Does dissociation increase reactive precursor availability independently of surface and growth changes?</w:t>
            </w:r>
          </w:p>
        </w:tc>
        <w:tc>
          <w:tcPr>
            <w:tcW w:type="dxa" w:w="85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11">
              <w:r>
                <w:rPr>
                  <w:rFonts w:ascii="Liberation Serif" w:hAnsi="Liberation Serif"/>
                  <w:color w:val="000000"/>
                  <w:sz w:val="19"/>
                </w:rPr>
                <w:t>[23]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Introduce primary-shell pairing</w:t>
            </w:r>
          </w:p>
        </w:tc>
        <w:tc>
          <w:tcPr>
            <w:tcW w:type="dxa" w:w="2835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Weakly solvated amine + strongly coordinating Mg salt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99.6</w:t>
            </w:r>
          </w:p>
        </w:tc>
        <w:tc>
          <w:tcPr>
            <w:tcW w:type="dxa" w:w="3402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CE reported for 800 cycles</w:t>
            </w:r>
          </w:p>
        </w:tc>
        <w:tc>
          <w:tcPr>
            <w:tcW w:type="dxa" w:w="5669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Pairing suppresses amine reduction and H₂ evolution; does ligand exchange also change?</w:t>
            </w:r>
          </w:p>
        </w:tc>
        <w:tc>
          <w:tcPr>
            <w:tcW w:type="dxa" w:w="85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12">
              <w:r>
                <w:rPr>
                  <w:rFonts w:ascii="Liberation Serif" w:hAnsi="Liberation Serif"/>
                  <w:color w:val="000000"/>
                  <w:sz w:val="19"/>
                </w:rPr>
                <w:t>[79]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Reshape solvent coordination</w:t>
            </w:r>
          </w:p>
        </w:tc>
        <w:tc>
          <w:tcPr>
            <w:tcW w:type="dxa" w:w="2835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Mg(TFSI)₂/DME–MOPA-1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99.5</w:t>
            </w:r>
          </w:p>
        </w:tc>
        <w:tc>
          <w:tcPr>
            <w:tcW w:type="dxa" w:w="3402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Mg plating/stripping; value compiled by Zhang et al.</w:t>
            </w:r>
          </w:p>
        </w:tc>
        <w:tc>
          <w:tcPr>
            <w:tcW w:type="dxa" w:w="5669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Does modified solvent coordination speed rearrangement, charge transfer or both?</w:t>
            </w:r>
          </w:p>
        </w:tc>
        <w:tc>
          <w:tcPr>
            <w:tcW w:type="dxa" w:w="85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13">
              <w:r>
                <w:rPr>
                  <w:rFonts w:ascii="Liberation Serif" w:hAnsi="Liberation Serif"/>
                  <w:color w:val="000000"/>
                  <w:sz w:val="19"/>
                </w:rPr>
                <w:t>[75]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Mixed-ion coordination</w:t>
            </w:r>
          </w:p>
        </w:tc>
        <w:tc>
          <w:tcPr>
            <w:tcW w:type="dxa" w:w="2835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Mg(TFSI)₂ + LiOTf/DME–TMP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98</w:t>
            </w:r>
          </w:p>
        </w:tc>
        <w:tc>
          <w:tcPr>
            <w:tcW w:type="dxa" w:w="3402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Original report of Mg-metal reversibility</w:t>
            </w:r>
          </w:p>
        </w:tc>
        <w:tc>
          <w:tcPr>
            <w:tcW w:type="dxa" w:w="5669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How much comes from altered Mg–DME interaction versus the phosphate-rich interface?</w:t>
            </w:r>
          </w:p>
        </w:tc>
        <w:tc>
          <w:tcPr>
            <w:tcW w:type="dxa" w:w="85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14">
              <w:r>
                <w:rPr>
                  <w:rFonts w:ascii="Liberation Serif" w:hAnsi="Liberation Serif"/>
                  <w:color w:val="000000"/>
                  <w:sz w:val="19"/>
                </w:rPr>
                <w:t>[82]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Coordinate salt and solvent</w:t>
            </w:r>
          </w:p>
        </w:tc>
        <w:tc>
          <w:tcPr>
            <w:tcW w:type="dxa" w:w="2835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Mg(OTf)₂/G2–MOEA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98.3</w:t>
            </w:r>
          </w:p>
        </w:tc>
        <w:tc>
          <w:tcPr>
            <w:tcW w:type="dxa" w:w="3402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Reported average CE after 8200 cycles; symmetric lifetime is separate</w:t>
            </w:r>
          </w:p>
        </w:tc>
        <w:tc>
          <w:tcPr>
            <w:tcW w:type="dxa" w:w="5669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How do coordination and distinct electrode interphases share the contribution to reversibility?</w:t>
            </w:r>
          </w:p>
        </w:tc>
        <w:tc>
          <w:tcPr>
            <w:tcW w:type="dxa" w:w="85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15">
              <w:r>
                <w:rPr>
                  <w:rFonts w:ascii="Liberation Serif" w:hAnsi="Liberation Serif"/>
                  <w:color w:val="000000"/>
                  <w:sz w:val="19"/>
                </w:rPr>
                <w:t>[85]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Chloride complexes + interphase</w:t>
            </w:r>
          </w:p>
        </w:tc>
        <w:tc>
          <w:tcPr>
            <w:tcW w:type="dxa" w:w="2835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Mg(pftb)₂ + MgCl₂/THF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99.7</w:t>
            </w:r>
          </w:p>
        </w:tc>
        <w:tc>
          <w:tcPr>
            <w:tcW w:type="dxa" w:w="3402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CE reported over 3000 cycles; symmetric lifetime is separate</w:t>
            </w:r>
          </w:p>
        </w:tc>
        <w:tc>
          <w:tcPr>
            <w:tcW w:type="dxa" w:w="5669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Does a retained hybrid interphase sustain transfer when solution coordination is changed?</w:t>
            </w:r>
          </w:p>
        </w:tc>
        <w:tc>
          <w:tcPr>
            <w:tcW w:type="dxa" w:w="85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16">
              <w:r>
                <w:rPr>
                  <w:rFonts w:ascii="Liberation Serif" w:hAnsi="Liberation Serif"/>
                  <w:color w:val="000000"/>
                  <w:sz w:val="19"/>
                </w:rPr>
                <w:t>[20]</w:t>
              </w:r>
            </w:hyperlink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bottom w:val="single" w:sz="10" w:color="000000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Dissociation + interphase</w:t>
            </w:r>
          </w:p>
        </w:tc>
        <w:tc>
          <w:tcPr>
            <w:tcW w:type="dxa" w:w="2835"/>
            <w:vAlign w:val="center"/>
            <w:tcBorders>
              <w:bottom w:val="single" w:sz="10" w:color="000000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Mg(OTf)₂ + MgCl₂/DME–TEP</w:t>
            </w:r>
          </w:p>
        </w:tc>
        <w:tc>
          <w:tcPr>
            <w:tcW w:type="dxa" w:w="1020"/>
            <w:vAlign w:val="center"/>
            <w:tcBorders>
              <w:bottom w:val="single" w:sz="1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99.4</w:t>
            </w:r>
          </w:p>
        </w:tc>
        <w:tc>
          <w:tcPr>
            <w:tcW w:type="dxa" w:w="3402"/>
            <w:vAlign w:val="center"/>
            <w:tcBorders>
              <w:bottom w:val="single" w:sz="10" w:color="000000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Mg||Mo: 0.5 mA cm⁻², 0.25 mAh cm⁻²; CE reported after 3000 h</w:t>
            </w:r>
          </w:p>
        </w:tc>
        <w:tc>
          <w:tcPr>
            <w:tcW w:type="dxa" w:w="5669"/>
            <w:vAlign w:val="center"/>
            <w:tcBorders>
              <w:bottom w:val="single" w:sz="10" w:color="000000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Can a molecular transfer gain be separated from suppressed losses at the interphase?</w:t>
            </w:r>
          </w:p>
        </w:tc>
        <w:tc>
          <w:tcPr>
            <w:tcW w:type="dxa" w:w="850"/>
            <w:vAlign w:val="center"/>
            <w:tcBorders>
              <w:bottom w:val="single" w:sz="1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17">
              <w:r>
                <w:rPr>
                  <w:rFonts w:ascii="Liberation Serif" w:hAnsi="Liberation Serif"/>
                  <w:color w:val="000000"/>
                  <w:sz w:val="19"/>
                </w:rPr>
                <w:t>[86]</w:t>
              </w:r>
            </w:hyperlink>
          </w:p>
        </w:tc>
      </w:tr>
    </w:tbl>
    <w:p>
      <w:pPr>
        <w:keepLines/>
        <w:spacing w:before="100" w:after="0" w:line="240" w:lineRule="auto"/>
      </w:pPr>
      <w:r>
        <w:rPr>
          <w:rFonts w:ascii="Liberation Serif" w:hAnsi="Liberation Serif"/>
          <w:sz w:val="17"/>
        </w:rPr>
        <w:t>Reported efficiencies describe independent protocols and are not a performance ranking or measurements of a desolvation barrier. Readout windows are retained where reported, without recasting unspecified statistics as averages or terminal values. First-cycle-only, symmetric-lifetime and full-cell efficiency claims are excluded from the CE column. Match current, deposited capacity, substrate, temperature and conditioning before testing a cross-system kinetic ordering.</w:t>
      </w:r>
    </w:p>
    <w:p>
      <w:pPr>
        <w:keepLines/>
        <w:spacing w:before="40" w:after="0" w:line="240" w:lineRule="auto"/>
      </w:pPr>
      <w:r>
        <w:rPr>
          <w:rFonts w:ascii="Liberation Serif" w:hAnsi="Liberation Serif"/>
          <w:sz w:val="17"/>
        </w:rPr>
        <w:t>The chemistry identifies the design rather than a complete recipe. Mechanistic questions are proposed tests, not established limiting steps. CE for the carborane, solvent-designed TFSI and MOPA-1 cases is quoted from the compilation by Zhang et al. [87]; original-study references are retained. Numerical provenance and protocol-verification limits are provided separately. Reference numbers link to DOI records.</w:t>
      </w:r>
    </w:p>
    <w:p>
      <w:pPr>
        <w:keepLines/>
        <w:spacing w:before="40" w:after="0" w:line="240" w:lineRule="auto"/>
      </w:pPr>
      <w:r>
        <w:rPr>
          <w:rFonts w:ascii="Liberation Serif" w:hAnsi="Liberation Serif"/>
          <w:sz w:val="17"/>
        </w:rPr>
        <w:t>THF: tetrahydrofuran; DME: 1,2-dimethoxyethane; G2/G4: diglyme/tetraglyme; BTFE: bis(2,2,2-trifluoroethyl) ether; TMP/TEP: trimethyl/triethyl phosphate; MOPA-1: 1-methoxy-2-propylamine; MOEA: 2-methoxyethylamine; pftb: perfluorinated tert-butoxide; OTf: triflate; TFSI: bis(trifluoromethanesulfonyl)imide. TMP denotes the phosphate here, not the piperidide ligand used in some Hauser bases.</w:t>
      </w:r>
    </w:p>
    <w:sectPr w:rsidR="00FC693F" w:rsidRPr="0006063C" w:rsidSect="00034616">
      <w:pgSz w:w="16838" w:h="11906" w:orient="landscape"/>
      <w:pgMar w:top="624" w:right="680" w:bottom="624" w:left="68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40" w:lineRule="auto"/>
    </w:pPr>
    <w:rPr>
      <w:rFonts w:ascii="Liberation Serif" w:hAnsi="Liberation Serif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erif" w:hAnsi="Liberation Serif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erif" w:hAnsi="Liberation Serif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Liberation Serif" w:hAnsi="Liberation Serif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erif" w:hAnsi="Liberation Serif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1002/anie.201412202" TargetMode="External"/><Relationship Id="rId10" Type="http://schemas.openxmlformats.org/officeDocument/2006/relationships/hyperlink" Target="https://doi.org/10.1002/anie.201902009" TargetMode="External"/><Relationship Id="rId11" Type="http://schemas.openxmlformats.org/officeDocument/2006/relationships/hyperlink" Target="https://doi.org/10.1039/d3ee02861e" TargetMode="External"/><Relationship Id="rId12" Type="http://schemas.openxmlformats.org/officeDocument/2006/relationships/hyperlink" Target="https://doi.org/10.1002/aenm.202301544" TargetMode="External"/><Relationship Id="rId13" Type="http://schemas.openxmlformats.org/officeDocument/2006/relationships/hyperlink" Target="https://doi.org/10.1126/science.abg3954" TargetMode="External"/><Relationship Id="rId14" Type="http://schemas.openxmlformats.org/officeDocument/2006/relationships/hyperlink" Target="https://doi.org/10.1002/anie.202304411" TargetMode="External"/><Relationship Id="rId15" Type="http://schemas.openxmlformats.org/officeDocument/2006/relationships/hyperlink" Target="https://doi.org/10.1002/aenm.202301795" TargetMode="External"/><Relationship Id="rId16" Type="http://schemas.openxmlformats.org/officeDocument/2006/relationships/hyperlink" Target="https://doi.org/10.1002/adma.202203783" TargetMode="External"/><Relationship Id="rId17" Type="http://schemas.openxmlformats.org/officeDocument/2006/relationships/hyperlink" Target="https://doi.org/10.1021/acscentsci.6c0116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1 Magnesium Transfer Pathways</dc:title>
  <dc:subject>Shared Mg Coulombic efficiency endpoint and mechanistic questions for Perspective V6</dc:subject>
  <dc:creator/>
  <cp:keywords>magnesium, electrolyte, plating, stripping, solvation, Table 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