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913F9">
      <w:pPr>
        <w:pStyle w:val="32"/>
        <w:jc w:val="center"/>
      </w:pPr>
      <w:r>
        <w:rPr>
          <w:rFonts w:hint="eastAsia"/>
        </w:rPr>
        <w:t xml:space="preserve">Beyond </w:t>
      </w:r>
      <w:r>
        <w:rPr>
          <w:rFonts w:hint="eastAsia" w:eastAsia="宋体"/>
          <w:lang w:val="en-US" w:eastAsia="zh-CN"/>
        </w:rPr>
        <w:t>the First Solvation Shell</w:t>
      </w:r>
      <w:r>
        <w:rPr>
          <w:rFonts w:hint="eastAsia"/>
        </w:rPr>
        <w:t>: Anion-Regulated Desolvation and Magnesium Transfer Pathways</w:t>
      </w:r>
    </w:p>
    <w:p w14:paraId="62CEB31D">
      <w:pPr>
        <w:jc w:val="center"/>
        <w:sectPr>
          <w:headerReference r:id="rId5" w:type="default"/>
          <w:footerReference r:id="rId6" w:type="default"/>
          <w:pgSz w:w="11906" w:h="16838"/>
          <w:pgMar w:top="1077" w:right="1020" w:bottom="1020" w:left="1020" w:header="567" w:footer="510" w:gutter="0"/>
          <w:pgNumType w:fmt="decimal"/>
          <w:cols w:space="720" w:num="1"/>
          <w:docGrid w:linePitch="360" w:charSpace="0"/>
        </w:sectPr>
      </w:pPr>
      <w:bookmarkStart w:id="0" w:name="_GoBack"/>
      <w:bookmarkEnd w:id="0"/>
    </w:p>
    <w:p w14:paraId="570DCF5A">
      <w:pPr>
        <w:pStyle w:val="4"/>
        <w:spacing w:before="0"/>
        <w:rPr>
          <w:rFonts w:hint="default" w:ascii="Times New Roman" w:hAnsi="Times New Roman" w:cs="Times New Roman"/>
          <w:sz w:val="24"/>
          <w:szCs w:val="24"/>
        </w:rPr>
      </w:pPr>
      <w:r>
        <w:rPr>
          <w:rFonts w:hint="default" w:ascii="Times New Roman" w:hAnsi="Times New Roman" w:cs="Times New Roman"/>
          <w:sz w:val="24"/>
          <w:szCs w:val="24"/>
        </w:rPr>
        <w:t>Abstract</w:t>
      </w:r>
    </w:p>
    <w:p w14:paraId="068BB6A2">
      <w:pPr>
        <w:keepNext w:val="0"/>
        <w:keepLines w:val="0"/>
        <w:pageBreakBefore w:val="0"/>
        <w:widowControl/>
        <w:shd w:val="clear" w:fill="E3E3E3"/>
        <w:kinsoku/>
        <w:wordWrap/>
        <w:overflowPunct/>
        <w:topLinePunct w:val="0"/>
        <w:autoSpaceDE/>
        <w:autoSpaceDN/>
        <w:bidi w:val="0"/>
        <w:adjustRightInd/>
        <w:snapToGrid/>
        <w:spacing w:after="100" w:line="30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b/>
          <w:sz w:val="24"/>
          <w:szCs w:val="24"/>
        </w:rPr>
        <w:t>Anion coordination is widely used to tune magnesium electrolytes, yet reversible Mg deposition has been achieved both by increasing and by reducing ion pairing. This apparent contradiction cannot be resolved from the first solvation shell alone. Here, we examine how coordinated anions can assist Mg²⁺ desolvation by changing Mg–solvent interactions and the sequence of ligand rearrangement and release. This molecular role extends beyond their contribution to solid–electrolyte interphase formation. We distinguish changes in the abundance of reactive Mg species from changes in their reactivity, and explain why stable coordination can either enable deposition or hinder it. Representative electrolytes illustrate how these effects coexist with suppressed decomposition and surface protection. We then discuss the measurements needed to connect solvation structure with ligand-exchange kinetics, Mg deposition and anion consumption. Finally, we outline how controlled electrolyte series and interfacial modelling can guide anion selection while accounting for cathode compatibility and limited material inventories. The aim is to establish which desolvation step an anion assists, and under which conditions that benefit survives in a working cell.</w:t>
      </w:r>
    </w:p>
    <w:p w14:paraId="44D4737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Keywords: magnesium electrolytes; solvation structure; anion coordination; desolvation; interphase; multivalent batteries</w:t>
      </w:r>
    </w:p>
    <w:p w14:paraId="5FB4D36F">
      <w:pPr>
        <w:widowControl w:val="0"/>
        <w:spacing w:after="0" w:line="360" w:lineRule="auto"/>
        <w:jc w:val="left"/>
        <w:rPr>
          <w:rFonts w:hint="default" w:ascii="Times New Roman" w:hAnsi="Times New Roman" w:eastAsia="宋体" w:cs="Times New Roman"/>
          <w:b/>
          <w:bCs/>
          <w:kern w:val="2"/>
          <w:sz w:val="24"/>
          <w:szCs w:val="24"/>
          <w:lang w:eastAsia="zh-CN"/>
        </w:rPr>
      </w:pPr>
      <w:r>
        <w:rPr>
          <w:rFonts w:hint="default" w:ascii="Times New Roman" w:hAnsi="Times New Roman" w:eastAsia="宋体" w:cs="Times New Roman"/>
          <w:b/>
          <w:bCs/>
          <w:kern w:val="2"/>
          <w:sz w:val="24"/>
          <w:szCs w:val="24"/>
          <w:lang w:eastAsia="zh-CN"/>
        </w:rPr>
        <w:t>1. Introduction</w:t>
      </w:r>
    </w:p>
    <w:p w14:paraId="62A483D3">
      <w:pPr>
        <w:widowControl w:val="0"/>
        <w:spacing w:after="0" w:line="360" w:lineRule="auto"/>
        <w:jc w:val="left"/>
        <w:rPr>
          <w:rFonts w:hint="default" w:ascii="Times New Roman" w:hAnsi="Times New Roman" w:eastAsia="宋体" w:cs="Times New Roman"/>
          <w:b/>
          <w:bCs/>
          <w:kern w:val="2"/>
          <w:sz w:val="24"/>
          <w:szCs w:val="24"/>
          <w:lang w:eastAsia="zh-CN"/>
        </w:rPr>
      </w:pPr>
      <w:r>
        <w:rPr>
          <w:rFonts w:hint="default" w:ascii="Times New Roman" w:hAnsi="Times New Roman" w:eastAsia="宋体" w:cs="Times New Roman"/>
          <w:b/>
          <w:bCs/>
          <w:kern w:val="2"/>
          <w:sz w:val="24"/>
          <w:szCs w:val="24"/>
          <w:lang w:eastAsia="zh-CN"/>
        </w:rPr>
        <w:t>1.1. Magnesium solvation and interphase chemistry</w:t>
      </w:r>
    </w:p>
    <w:p w14:paraId="61F75D1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Magnesium electrolyte design must address two connected problems: removing ligands from solvated Mg species and maintaining a surface at which Mg can be deposited and stripped. The early rechargeable Mg battery prototype met these requirements with an organohaloaluminate electrolyte and a Chevrel-phase cathode.[1–2]</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Electrochemical studies before and after that demonstration showed how strongly Mg plating/stripping depends on the coordinating solvent and electrode preparation.[3–5]</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same constraints remain central to magnesium and other multivalent batteries.[6–9]</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They also explain why a formulation that dissolves a Mg salt readily may still fail to support reversible deposition.</w:t>
      </w:r>
    </w:p>
    <w:p w14:paraId="0F80A4B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Lithium batteries offer useful guidance, but electrolyte decomposition has different consequences for Mg. In Li electrolytes, salt concentration and anion coordination can redirect reduction reactions and improve electrode compatibility.[10–15]</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functional solid–electrolyte interphase (SEI) limits electron leakage while allowing Li-ion transport.[16–17]</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Many decomposition layers on Mg instead block plating and stripping, although suitable artificial and electrolyte-derived interphases can sustain cycling.[18–20]</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distinction concerns transport and stability within the operating layer.[21] A component familiar from Li batteries does not, by itself, establish that the layer permits Mg transport.</w:t>
      </w:r>
    </w:p>
    <w:p w14:paraId="5ADEF21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hybrid organic/inorganic Mg interphase illustrates this distinction. After the treated electrode is transferred to a TFSI-containing electrolyte, the preformed layer continues to suppress side reactions.[20] This retained protection establishes a surface contribution. It leaves a molecular question: how does solvated Mg release its ligands in the replacement liquid? Efficient deposition may require favourable ligand exchange and a stable, permeable interphase together; evidence for either contribution cannot establish the other.</w:t>
      </w:r>
    </w:p>
    <w:p w14:paraId="24744FBF">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Mg²⁺ generally binds comparable donor groups more strongly than Li⁺, so changes in polarisation, ion association and coordination geometry can have pronounced effects on ligand exchange.[22–23] A multidentate ligand adds another constraint because several donor contacts may have to open before the molecule leaves. When an anion coordinates directly, it changes the charge and geometry of the Mg complex while Mg retains its formal +2 oxidation state. The new coordination environment may facilitate ligand rearrangement or make subsequent release more difficult. Indeed, reversible deposition has been reported after either reducing ion pairing or promoting selected anion–solvent interactions.[24–25] These apparently opposing strategies suggest that the role of the anion must be understood through the reaction it changes.</w:t>
      </w:r>
    </w:p>
    <w:p w14:paraId="3F2F314F">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1.2. Limits of a structure-only interpretation</w:t>
      </w:r>
    </w:p>
    <w:p w14:paraId="7CDEC87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diversity of Mg electrolytes makes a universal structural descriptor unlikely. Organometallic complexes, simple salts and mixtures of donors generate different equilibria and different interfacial reactants.[26–29] Changing one component can alter ion association, ligand exchange and reduction chemistry together. Coordination numbers and isolated binding energies describe part of this chemistry, but they do not identify the slow step in deposition.[23,30–31] Calculations on chloride-containing Mg complexes, for example, suggest that clustering can facilitate desolvation while hindering electron transfer.[32] Chemical equilibria and oxidative stability impose further constraints.[33] A descriptor becomes useful for design when it is tied to a defined reaction and predicts the response to composition or electrode potential.</w:t>
      </w:r>
    </w:p>
    <w:p w14:paraId="0BE7CF1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Comparisons between electrolyte families make this requirement clear. Organoboron, non-Grignard and alkoxide formulations contain chemically distinct Mg species,[34–36] and substituent changes affect electrochemistry even within a Grignard-derived family.[37] Similar Coulombic efficiencies may arise from more reactive complexes, faster ligand release or suppressed electrolyte reduction. Distinguishing these contributions determines whether an explanation developed for one formulation can guide another.</w:t>
      </w:r>
    </w:p>
    <w:p w14:paraId="38E85E19">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1.3. The molecular role of coordinated anions</w:t>
      </w:r>
    </w:p>
    <w:p w14:paraId="58CB896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In this Perspective, we argue that anions in the first solvation shell should be considered for their ability to assist Mg²⁺ desolvation, beyond their role as possible SEI precursors. A coordinated anion can redistribute Mg–ligand interactions, replace a strongly bound solvent or favour a configuration from which ligands can leave more readily. These effects do not require the anion to decompose into a protective film. Studies of competing coordination, dynamic solvation and interactions outside the first shell provide evidence and testable explanations for such molecular contributions.[25,38–39] Here, direct coordination means contact between Mg and a donor atom of the anion. This contact defines a contact ion pair; a solvent-separated pair has intervening solvent molecules.</w:t>
      </w:r>
    </w:p>
    <w:p w14:paraId="1F9175BF">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 first consider why weak ion pairing and direct anion coordination can each support reversible Mg deposition. We then examine the measurements that distinguish changes in Mg-species populations, ligand-exchange kinetics and side reactions. A precursor denotes the solvated or interfacial Mg species present before the particular reaction step being considered. This distinction allows the design discussion to move from a preferred shell composition to a specific chemical function. The final sections address how that function can be tested across electrolyte compositions and retained at both electrodes in a working cell.</w:t>
      </w:r>
    </w:p>
    <w:p w14:paraId="37B1FAA7">
      <w:pPr>
        <w:rPr>
          <w:rFonts w:hint="default" w:ascii="Times New Roman" w:hAnsi="Times New Roman" w:cs="Times New Roman"/>
        </w:rPr>
        <w:sectPr>
          <w:headerReference r:id="rId7" w:type="default"/>
          <w:footerReference r:id="rId8" w:type="default"/>
          <w:type w:val="continuous"/>
          <w:pgSz w:w="11906" w:h="16838"/>
          <w:pgMar w:top="1077" w:right="1020" w:bottom="1020" w:left="1020" w:header="567" w:footer="510" w:gutter="0"/>
          <w:pgNumType w:fmt="decimal"/>
          <w:cols w:space="425" w:num="1"/>
          <w:docGrid w:linePitch="360" w:charSpace="0"/>
        </w:sectPr>
      </w:pPr>
    </w:p>
    <w:p w14:paraId="305F1082">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 Anion Coordination and the Routes to Magnesium Deposition</w:t>
      </w:r>
    </w:p>
    <w:p w14:paraId="55AC3496">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108700" cy="3054350"/>
            <wp:effectExtent l="0" t="0" r="6350" b="12700"/>
            <wp:docPr id="1" name="Picture 1" descr="Figure 1.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Original conceptual schematic for magnesium electrolyte design."/>
                    <pic:cNvPicPr>
                      <a:picLocks noChangeAspect="1"/>
                    </pic:cNvPicPr>
                  </pic:nvPicPr>
                  <pic:blipFill>
                    <a:blip r:embed="rId36"/>
                    <a:stretch>
                      <a:fillRect/>
                    </a:stretch>
                  </pic:blipFill>
                  <pic:spPr>
                    <a:xfrm>
                      <a:off x="0" y="0"/>
                      <a:ext cx="6108700" cy="3054350"/>
                    </a:xfrm>
                    <a:prstGeom prst="rect">
                      <a:avLst/>
                    </a:prstGeom>
                  </pic:spPr>
                </pic:pic>
              </a:graphicData>
            </a:graphic>
          </wp:inline>
        </w:drawing>
      </w:r>
    </w:p>
    <w:p w14:paraId="2BF6D086">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Figure 1. Distinct coordination environments can support different routes to Mg deposition. a) Weak ion pairing leaves solvent ligands to rearrange or detach. b) Labile anion coordination can provide a route for ligand rearrangement and release. c) Persistent binding can slow release even when the initial shell resembles that in b. L denotes a neutral ligand and A⁻ a monovalent anion. Mg²⁺ labels the metal centre, not the net complex charge; ligand numbers are illustrative. The arrows summarise possible reaction sequences, not resolved elementary steps. The two-electron label denotes net Mg reduction, which may be coupled to further ligand release. Released ligands and anions remain in the electrolyte; their positions are schematic.</w:t>
      </w:r>
    </w:p>
    <w:p w14:paraId="21EFA046">
      <w:pPr>
        <w:rPr>
          <w:rFonts w:hint="default" w:ascii="Times New Roman" w:hAnsi="Times New Roman" w:cs="Times New Roman"/>
        </w:rPr>
        <w:sectPr>
          <w:headerReference r:id="rId9" w:type="default"/>
          <w:footerReference r:id="rId10" w:type="default"/>
          <w:type w:val="continuous"/>
          <w:pgSz w:w="11906" w:h="16838"/>
          <w:pgMar w:top="1077" w:right="1020" w:bottom="1020" w:left="1020" w:header="567" w:footer="510" w:gutter="0"/>
          <w:pgNumType w:fmt="decimal"/>
          <w:cols w:space="360" w:num="1"/>
          <w:docGrid w:linePitch="360" w:charSpace="0"/>
        </w:sectPr>
      </w:pPr>
    </w:p>
    <w:p w14:paraId="3750EE9F">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2.1. Weak ion pairing and solvent-controlled desolvation</w:t>
      </w:r>
    </w:p>
    <w:p w14:paraId="5C45ECB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Reducing ion pairing is beneficial when Mg–anion association limits the supply of reactive Mg species or favours decomposition. Solvent selection in a Mg(TFSI)₂ electrolyte has combined greater pair dissociation with reversible deposition,[24]</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whereas earlier TFSI-based studies show strong dependence on solvent identity and cycling history.[40–42] Dissociation removes one possible constraint, but Mg remains coordinated by solvent. Those ligands must still rearrange or detach during the interfacial reaction. Consequently, a well-dissociated electrolyte can retain slow desolvation or unfavourable surface chemistry. An increase in conductivity cannot establish which constraint has been relieved, because conductivity also reflects viscosity, mobility and correlated ion motion.</w:t>
      </w:r>
    </w:p>
    <w:p w14:paraId="339E3A0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Weakly coordinating anions offer a chemically distinct route to reducing Mg–anion association. Boron clusters and carboranes expanded the range of Mg electrolytes beyond organohalide formulations; subsequent modifications improved their solubility and stability.[43–46] Fluorinated borates and alkoxyaluminates introduced less corrosive options compatible with higher voltages.[47–51] These advances do not imply complete anion exclusion under every condition. Rather, they show the value of avoiding detrimental association while retaining a solvent environment that permits Mg to react at the electrode.</w:t>
      </w:r>
    </w:p>
    <w:p w14:paraId="3EC9077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Once persistent Mg–anion contacts are reduced, solvent exchange becomes a design target. Competitive ethers can loosen a borate solvation environment,[52] and hydrofluoroether–diglyme mixtures also modify Mg coordination.[53] If anion contacts decrease while deposition slows in a controlled series, another step has become restrictive. Solvent-exchange, adsorption and surface measurements can identify it. Further dissociation is then useful only if it relieves that remaining constraint.</w:t>
      </w:r>
    </w:p>
    <w:p w14:paraId="22A3694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Cycling can change the interface independently of the initial shell. Comparisons of carborane- and TFSI-based electrolytes follow this evolution alongside anion identity.[54] With solvent composition and electrode history controlled, Mg recovery, soluble products and surface analysis help distinguish fewer side reactions from improved protection. Combining these observations with exchange measurements tests whether ligand release also changes.</w:t>
      </w:r>
    </w:p>
    <w:p w14:paraId="76834DDB">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2.2. Direct coordination and reversible deposition</w:t>
      </w:r>
    </w:p>
    <w:p w14:paraId="43722C7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Chloride-based electrolytes demonstrate that direct anion coordination is compatible with reversible Mg deposition. Structural studies identify chloride-containing Mg complexes with charges and coordination environments different from those of solvent-only Mg²⁺ solvates.[55–60] Their electrochemistry depends on Mg/Al speciation, solvent identity and conditioning.[61–67] Chloride may therefore act within the dissolved complex and at the metal surface. These coupled roles help explain why neither complete anion exclusion nor extensive contact pairing is a general design rule. The relevant comparison is between the reaction steps made accessible by each coordination environment.</w:t>
      </w:r>
    </w:p>
    <w:p w14:paraId="37BBE16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Phenolate, phenoxyimine, amido and Hauser-base electrolytes broaden the range of coordinating ligands compatible with Mg electrochemistry.[68–72] Borohydride electrolytes show a similarly strong response to concentration and solvent identity.[73–75] Amine cosolvents and redesigned solvents can also enable deposition despite appreciable Mg–donor interactions.[76–79] Strong coordination is not necessarily incompatible with rapid reaction: it may help dissolve the salt and stabilise a reactive Mg species, provided that a route for ligand rearrangement and release remains accessible. Equilibrium stability and the barrier to the next reaction are different quantities.</w:t>
      </w:r>
    </w:p>
    <w:p w14:paraId="30EAAD3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Amine-containing electrolytes show why this distinction must be tested experimentally. In one study, weakened amine coordination suppresses amine reduction and H₂ evolution, giving a reported Coulombic efficiency (CE) of 99.6% for 800 cycles.[80] Another proposes that competition between solvent and anion coordination enables synchronous ligand release; it reports a reduction overpotential of 0.06 V at 1 mA cm⁻² and an MgH₂-containing interphase.[25] The first result directly connects coordination to reduced parasitic chemistry. The second points to coupled molecular and interphase effects. Their different protocols preclude a direct kinetic ranking, and the presence of MgH₂ does not identify the phase, boundary or defect through which Mg crosses the operating layer.</w:t>
      </w:r>
    </w:p>
    <w:p w14:paraId="2DFCBCD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Chelating anions make the coupling equally clear. MgEDTF is magnesium (1R,2R)-1,2-diphenylethane-1,2-diylbis(trifluoromethylsulfonylamide); its EDTF²⁻ anion forms a coordinatively unsaturated Mg–anion–DME complex.[81] The reported plating/stripping overpotential falls from 2.0 to 0.24 V relative to the non-chelating analogue, with a substantial contribution assigned to the anion-derived SEI. This overpotential is defined differently from the reduction overpotential above. A separate desolvation contribution could be tested by changing the coordinating species on comparably conditioned electrodes and then replacing the electrolyte to determine how much of the improvement remains with the surface layer.</w:t>
      </w:r>
    </w:p>
    <w:p w14:paraId="2BF58AA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Table 1 compares alternative routes to reversible deposition. Dissociation changes reactive-species supply, ligand rearrangement changes reactivity, and suppression of decomposition or interphase modification reduces other losses. CE is a common measure of reversibility, but differing protocols prevent kinetic ranking. Each reported result is therefore paired with the mechanistic question it leaves open.</w:t>
      </w:r>
    </w:p>
    <w:p w14:paraId="43243862">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2.3. Coordination stability and reaction barriers</w:t>
      </w:r>
    </w:p>
    <w:p w14:paraId="13039FD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fraction of Mg–anion contacts does not reveal how readily those complexes react. An abundant species may exchange ligands rapidly, remain trapped in a stable configuration or decompose on reduction.[23,30–31]</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activation barrier is measured from the populated initial state to the transition state. An interaction that stabilises the initial state more strongly than the transition state raises this barrier, even if both states move down in energy. Figure 2 illustrates the consequence: a low cluster energy can indicate strong binding without demonstrating easier desolvation.</w:t>
      </w:r>
    </w:p>
    <w:p w14:paraId="6607534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Anion coordination changes Mg–solvent interactions through electron redistribution and geometry without necessarily weakening every bond. Calculated partial charges describe that redistribution but depend on the method and differ from the formal Mg oxidation state. Anion–solvent interactions can also alter Mg speciation without the cosolvent entering the first shell.[82–84] In the solvent–anion “counterpoised” strategy, competition for Mg coordination is proposed to facilitate ligand release.[25] Weak solvent–solvent interactions provide another route by which the surrounding liquid influences the complex.[85]</w:t>
      </w:r>
    </w:p>
    <w:p w14:paraId="3E80B54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predominantly noncoordinating additive 7-aminoindole illustrates this outer-shell contribution.[39] Its reported CH–π and hydrogen-bonding interactions with bound and free ethers are linked to weaker Mg–solvent binding, greater mobility and a lower ligand-release barrier. This neutral additive does not demonstrate direct anion coordination. It shows how similar first-shell compositions can conceal different dynamics. Varying the surrounding solvent network at comparable first-shell populations would test this prediction through exchange and deposition measurements.</w:t>
      </w:r>
    </w:p>
    <w:p w14:paraId="1D4C8D2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Species abundance and species reactivity can be separated with a simple kinetic model. If local Mg precursors interconvert much faster than they proceed towards deposition, the effective rate constant is:</w:t>
      </w:r>
    </w:p>
    <w:p w14:paraId="338A297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m:oMathPara>
        <m:oMath>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k</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eff</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(U) =</m:t>
          </m:r>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i</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p</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i</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(U)</m:t>
          </m:r>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k</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i</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(U)</m:t>
          </m:r>
        </m:oMath>
      </m:oMathPara>
    </w:p>
    <w:p w14:paraId="5F929DB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Here, pᵢ(U) is the local fraction of precursor i at potential U, with Σᵢpᵢ(U) = 1, and kᵢ(U) is its effective first-order rate constant for conversion towards Mg deposition. These are interfacial populations, which need not match those measured in the bulk. The expression applies to rapidly equilibrating precursors. Slow exchange, changing surface coverage or coupled side reactions instead require a time-dependent description.</w:t>
      </w:r>
    </w:p>
    <w:p w14:paraId="348336F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For two hypothetical species with k₁ = 1 s⁻¹ and k₂ = 10 s⁻¹, fractions of p₁ = 0.9 and p₂ = 0.1 give an effective rate constant of 1.9 s⁻¹. Setting p₁ = p₂ = 0.5 raises it to 5.5 s⁻¹ without accelerating either species. Changing k₂ at fixed fractions instead alters reactivity. These illustrative values explain why faster deposition need not indicate a lower ligand-release barrier.</w:t>
      </w:r>
    </w:p>
    <w:p w14:paraId="592DE343">
      <w:pPr>
        <w:spacing w:before="0" w:after="0" w:line="20" w:lineRule="exact"/>
        <w:rPr>
          <w:rFonts w:hint="default" w:ascii="Times New Roman" w:hAnsi="Times New Roman" w:cs="Times New Roman"/>
        </w:rPr>
        <w:sectPr>
          <w:headerReference r:id="rId11" w:type="default"/>
          <w:footerReference r:id="rId12" w:type="default"/>
          <w:type w:val="continuous"/>
          <w:pgSz w:w="11906" w:h="16838"/>
          <w:pgMar w:top="1077" w:right="1020" w:bottom="1020" w:left="1020" w:header="567" w:footer="510" w:gutter="0"/>
          <w:pgNumType w:fmt="decimal"/>
          <w:cols w:space="425" w:num="1"/>
          <w:docGrid w:linePitch="360" w:charSpace="0"/>
        </w:sectPr>
      </w:pPr>
    </w:p>
    <w:p w14:paraId="185888E1">
      <w:pPr>
        <w:spacing w:before="0" w:after="0" w:line="20" w:lineRule="exact"/>
        <w:rPr>
          <w:rFonts w:hint="default" w:ascii="Times New Roman" w:hAnsi="Times New Roman" w:cs="Times New Roman"/>
        </w:rPr>
        <w:sectPr>
          <w:headerReference r:id="rId13" w:type="default"/>
          <w:footerReference r:id="rId14" w:type="default"/>
          <w:type w:val="continuous"/>
          <w:pgSz w:w="11906" w:h="16838"/>
          <w:pgMar w:top="1077" w:right="1020" w:bottom="1020" w:left="1020" w:header="567" w:footer="510" w:gutter="0"/>
          <w:pgNumType w:fmt="decimal"/>
          <w:cols w:space="360" w:num="1"/>
          <w:docGrid w:linePitch="360" w:charSpace="0"/>
        </w:sectPr>
      </w:pPr>
    </w:p>
    <w:p w14:paraId="10C8BDC4">
      <w:pPr>
        <w:pStyle w:val="15"/>
        <w:keepNext/>
        <w:spacing w:before="0" w:after="140" w:line="240" w:lineRule="auto"/>
        <w:rPr>
          <w:rFonts w:hint="default" w:ascii="Times New Roman" w:hAnsi="Times New Roman" w:cs="Times New Roman"/>
        </w:rPr>
      </w:pPr>
      <w:r>
        <w:rPr>
          <w:rFonts w:hint="default" w:ascii="Times New Roman" w:hAnsi="Times New Roman" w:cs="Times New Roman"/>
          <w:b/>
          <w:sz w:val="22"/>
        </w:rPr>
        <w:t xml:space="preserve">Table 1. </w:t>
      </w:r>
      <w:r>
        <w:rPr>
          <w:rFonts w:hint="default" w:ascii="Times New Roman" w:hAnsi="Times New Roman" w:cs="Times New Roman"/>
          <w:b w:val="0"/>
          <w:sz w:val="22"/>
        </w:rPr>
        <w:t>Representative electrolyte strategies illustrate different pathways to reversible magnesium deposition.</w:t>
      </w:r>
    </w:p>
    <w:tbl>
      <w:tblPr>
        <w:tblStyle w:val="33"/>
        <w:tblW w:w="154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8" w:type="dxa"/>
          <w:left w:w="60" w:type="dxa"/>
          <w:bottom w:w="28" w:type="dxa"/>
          <w:right w:w="60" w:type="dxa"/>
        </w:tblCellMar>
      </w:tblPr>
      <w:tblGrid>
        <w:gridCol w:w="1701"/>
        <w:gridCol w:w="2835"/>
        <w:gridCol w:w="1020"/>
        <w:gridCol w:w="3402"/>
        <w:gridCol w:w="5499"/>
        <w:gridCol w:w="1020"/>
      </w:tblGrid>
      <w:tr w14:paraId="315BF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tblHeader/>
          <w:jc w:val="center"/>
        </w:trPr>
        <w:tc>
          <w:tcPr>
            <w:tcW w:w="1701" w:type="dxa"/>
            <w:tcBorders>
              <w:top w:val="single" w:color="000000" w:sz="10" w:space="0"/>
              <w:bottom w:val="single" w:color="000000" w:sz="4" w:space="0"/>
            </w:tcBorders>
            <w:vAlign w:val="center"/>
          </w:tcPr>
          <w:p w14:paraId="0A63D014">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Design strategy</w:t>
            </w:r>
          </w:p>
        </w:tc>
        <w:tc>
          <w:tcPr>
            <w:tcW w:w="2835" w:type="dxa"/>
            <w:tcBorders>
              <w:top w:val="single" w:color="000000" w:sz="10" w:space="0"/>
              <w:bottom w:val="single" w:color="000000" w:sz="4" w:space="0"/>
            </w:tcBorders>
            <w:vAlign w:val="center"/>
          </w:tcPr>
          <w:p w14:paraId="1A651B97">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Representative chemistry</w:t>
            </w:r>
          </w:p>
        </w:tc>
        <w:tc>
          <w:tcPr>
            <w:tcW w:w="1020" w:type="dxa"/>
            <w:tcBorders>
              <w:top w:val="single" w:color="000000" w:sz="10" w:space="0"/>
              <w:bottom w:val="single" w:color="000000" w:sz="4" w:space="0"/>
            </w:tcBorders>
            <w:vAlign w:val="center"/>
          </w:tcPr>
          <w:p w14:paraId="2ABC75BB">
            <w:pPr>
              <w:keepLines/>
              <w:spacing w:before="0" w:after="0" w:line="240" w:lineRule="auto"/>
              <w:jc w:val="center"/>
              <w:rPr>
                <w:rFonts w:hint="default" w:ascii="Times New Roman" w:hAnsi="Times New Roman" w:cs="Times New Roman"/>
              </w:rPr>
            </w:pPr>
            <w:r>
              <w:rPr>
                <w:rFonts w:hint="default" w:ascii="Times New Roman" w:hAnsi="Times New Roman" w:cs="Times New Roman"/>
                <w:b/>
                <w:color w:val="000000"/>
                <w:sz w:val="19"/>
              </w:rPr>
              <w:t>Reported Mg CE (%)</w:t>
            </w:r>
          </w:p>
        </w:tc>
        <w:tc>
          <w:tcPr>
            <w:tcW w:w="3402" w:type="dxa"/>
            <w:tcBorders>
              <w:top w:val="single" w:color="000000" w:sz="10" w:space="0"/>
              <w:bottom w:val="single" w:color="000000" w:sz="4" w:space="0"/>
            </w:tcBorders>
            <w:vAlign w:val="center"/>
          </w:tcPr>
          <w:p w14:paraId="74168D27">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Measurement context</w:t>
            </w:r>
          </w:p>
        </w:tc>
        <w:tc>
          <w:tcPr>
            <w:tcW w:w="5499" w:type="dxa"/>
            <w:tcBorders>
              <w:top w:val="single" w:color="000000" w:sz="10" w:space="0"/>
              <w:bottom w:val="single" w:color="000000" w:sz="4" w:space="0"/>
            </w:tcBorders>
            <w:vAlign w:val="center"/>
          </w:tcPr>
          <w:p w14:paraId="42E99407">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Mechanistic question</w:t>
            </w:r>
          </w:p>
        </w:tc>
        <w:tc>
          <w:tcPr>
            <w:tcW w:w="1020" w:type="dxa"/>
            <w:tcBorders>
              <w:top w:val="single" w:color="000000" w:sz="10" w:space="0"/>
              <w:bottom w:val="single" w:color="000000" w:sz="4" w:space="0"/>
            </w:tcBorders>
            <w:vAlign w:val="center"/>
          </w:tcPr>
          <w:p w14:paraId="44C8D52A">
            <w:pPr>
              <w:keepLines/>
              <w:spacing w:before="0" w:after="0" w:line="240" w:lineRule="auto"/>
              <w:jc w:val="center"/>
              <w:rPr>
                <w:rFonts w:hint="default" w:ascii="Times New Roman" w:hAnsi="Times New Roman" w:cs="Times New Roman"/>
              </w:rPr>
            </w:pPr>
            <w:r>
              <w:rPr>
                <w:rFonts w:hint="default" w:ascii="Times New Roman" w:hAnsi="Times New Roman" w:cs="Times New Roman"/>
                <w:b/>
                <w:color w:val="000000"/>
                <w:sz w:val="19"/>
              </w:rPr>
              <w:t>References</w:t>
            </w:r>
          </w:p>
        </w:tc>
      </w:tr>
      <w:tr w14:paraId="24F9E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53E627F3">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Weakly coordinating anion</w:t>
            </w:r>
          </w:p>
        </w:tc>
        <w:tc>
          <w:tcPr>
            <w:tcW w:w="2835" w:type="dxa"/>
            <w:vAlign w:val="center"/>
          </w:tcPr>
          <w:p w14:paraId="1D550114">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Mg(CB₁₁H₁₂)₂/G4</w:t>
            </w:r>
          </w:p>
        </w:tc>
        <w:tc>
          <w:tcPr>
            <w:tcW w:w="1020" w:type="dxa"/>
            <w:vAlign w:val="center"/>
          </w:tcPr>
          <w:p w14:paraId="281ED526">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&gt;94.4</w:t>
            </w:r>
          </w:p>
        </w:tc>
        <w:tc>
          <w:tcPr>
            <w:tcW w:w="3402" w:type="dxa"/>
            <w:vAlign w:val="center"/>
          </w:tcPr>
          <w:p w14:paraId="77572ECA">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reversibility; value compiled by Zhang et al.</w:t>
            </w:r>
          </w:p>
        </w:tc>
        <w:tc>
          <w:tcPr>
            <w:tcW w:w="5499" w:type="dxa"/>
            <w:vAlign w:val="center"/>
          </w:tcPr>
          <w:p w14:paraId="276F4D1D">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Is solvent exchange sufficiently fast when persistent Mg–anion contacts are reduced?</w:t>
            </w:r>
          </w:p>
        </w:tc>
        <w:tc>
          <w:tcPr>
            <w:tcW w:w="1020" w:type="dxa"/>
            <w:vAlign w:val="center"/>
          </w:tcPr>
          <w:p w14:paraId="6C4F46F6">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"https://doi.org/10.1002/anie.201412202" \h </w:instrText>
            </w:r>
            <w:r>
              <w:rPr>
                <w:rFonts w:hint="default" w:ascii="Times New Roman" w:hAnsi="Times New Roman" w:cs="Times New Roman"/>
              </w:rPr>
              <w:fldChar w:fldCharType="separate"/>
            </w:r>
            <w:r>
              <w:rPr>
                <w:rFonts w:hint="default" w:ascii="Times New Roman" w:hAnsi="Times New Roman" w:cs="Times New Roman"/>
                <w:color w:val="000000"/>
                <w:sz w:val="19"/>
              </w:rPr>
              <w:t>[44]</w:t>
            </w:r>
            <w:r>
              <w:rPr>
                <w:rFonts w:hint="default" w:ascii="Times New Roman" w:hAnsi="Times New Roman" w:cs="Times New Roman"/>
                <w:color w:val="000000"/>
                <w:sz w:val="19"/>
              </w:rPr>
              <w:fldChar w:fldCharType="end"/>
            </w:r>
            <w:r>
              <w:rPr>
                <w:rFonts w:hint="default" w:ascii="Times New Roman" w:hAnsi="Times New Roman" w:cs="Times New Roman"/>
                <w:sz w:val="17"/>
              </w:rPr>
              <w:br w:type="textWrapping"/>
            </w:r>
            <w:r>
              <w:rPr>
                <w:rFonts w:hint="default" w:ascii="Times New Roman" w:hAnsi="Times New Roman" w:cs="Times New Roman"/>
                <w:sz w:val="17"/>
              </w:rPr>
              <w:t xml:space="preserve">via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"https://doi.org/10.1002/adma.202417652" \h </w:instrText>
            </w:r>
            <w:r>
              <w:rPr>
                <w:rFonts w:hint="default" w:ascii="Times New Roman" w:hAnsi="Times New Roman" w:cs="Times New Roman"/>
              </w:rPr>
              <w:fldChar w:fldCharType="separate"/>
            </w:r>
            <w:r>
              <w:rPr>
                <w:rFonts w:hint="default" w:ascii="Times New Roman" w:hAnsi="Times New Roman" w:cs="Times New Roman"/>
                <w:color w:val="000000"/>
                <w:sz w:val="19"/>
              </w:rPr>
              <w:t>[86]</w:t>
            </w:r>
            <w:r>
              <w:rPr>
                <w:rFonts w:hint="default" w:ascii="Times New Roman" w:hAnsi="Times New Roman" w:cs="Times New Roman"/>
                <w:color w:val="000000"/>
                <w:sz w:val="19"/>
              </w:rPr>
              <w:fldChar w:fldCharType="end"/>
            </w:r>
          </w:p>
        </w:tc>
      </w:tr>
      <w:tr w14:paraId="7B60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625A38E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Weakly coordinating anion</w:t>
            </w:r>
          </w:p>
        </w:tc>
        <w:tc>
          <w:tcPr>
            <w:tcW w:w="2835" w:type="dxa"/>
            <w:vAlign w:val="center"/>
          </w:tcPr>
          <w:p w14:paraId="4B77107D">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perfluorinated pinacolatoborate (Mg-FPB)</w:t>
            </w:r>
          </w:p>
        </w:tc>
        <w:tc>
          <w:tcPr>
            <w:tcW w:w="1020" w:type="dxa"/>
            <w:vAlign w:val="center"/>
          </w:tcPr>
          <w:p w14:paraId="35E5CBF6">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95</w:t>
            </w:r>
          </w:p>
        </w:tc>
        <w:tc>
          <w:tcPr>
            <w:tcW w:w="3402" w:type="dxa"/>
            <w:vAlign w:val="center"/>
          </w:tcPr>
          <w:p w14:paraId="32E9EA3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Original report of reversible Mg deposition</w:t>
            </w:r>
          </w:p>
        </w:tc>
        <w:tc>
          <w:tcPr>
            <w:tcW w:w="5499" w:type="dxa"/>
            <w:vAlign w:val="center"/>
          </w:tcPr>
          <w:p w14:paraId="1A193951">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solvent exchange limit deposition once anion association is weakened?</w:t>
            </w:r>
          </w:p>
        </w:tc>
        <w:tc>
          <w:tcPr>
            <w:tcW w:w="1020" w:type="dxa"/>
            <w:vAlign w:val="center"/>
          </w:tcPr>
          <w:p w14:paraId="3DE3B0E3">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"https://doi.org/10.1002/anie.201902009" \h </w:instrText>
            </w:r>
            <w:r>
              <w:rPr>
                <w:rFonts w:hint="default" w:ascii="Times New Roman" w:hAnsi="Times New Roman" w:cs="Times New Roman"/>
              </w:rPr>
              <w:fldChar w:fldCharType="separate"/>
            </w:r>
            <w:r>
              <w:rPr>
                <w:rFonts w:hint="default" w:ascii="Times New Roman" w:hAnsi="Times New Roman" w:cs="Times New Roman"/>
                <w:color w:val="000000"/>
                <w:sz w:val="19"/>
              </w:rPr>
              <w:t>[48]</w:t>
            </w:r>
            <w:r>
              <w:rPr>
                <w:rFonts w:hint="default" w:ascii="Times New Roman" w:hAnsi="Times New Roman" w:cs="Times New Roman"/>
                <w:color w:val="000000"/>
                <w:sz w:val="19"/>
              </w:rPr>
              <w:fldChar w:fldCharType="end"/>
            </w:r>
          </w:p>
        </w:tc>
      </w:tr>
      <w:tr w14:paraId="0A52A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786B5C16">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Promote pair dissociation</w:t>
            </w:r>
          </w:p>
        </w:tc>
        <w:tc>
          <w:tcPr>
            <w:tcW w:w="2835" w:type="dxa"/>
            <w:vAlign w:val="center"/>
          </w:tcPr>
          <w:p w14:paraId="3EAD6B90">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Mg(TFSI)₂/DME–G2–BTFE–TEP</w:t>
            </w:r>
          </w:p>
        </w:tc>
        <w:tc>
          <w:tcPr>
            <w:tcW w:w="1020" w:type="dxa"/>
            <w:vAlign w:val="center"/>
          </w:tcPr>
          <w:p w14:paraId="165BF4AE">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95.2</w:t>
            </w:r>
          </w:p>
        </w:tc>
        <w:tc>
          <w:tcPr>
            <w:tcW w:w="3402" w:type="dxa"/>
            <w:vAlign w:val="center"/>
          </w:tcPr>
          <w:p w14:paraId="74FE77F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plating/stripping; value compiled by Zhang et al.</w:t>
            </w:r>
          </w:p>
        </w:tc>
        <w:tc>
          <w:tcPr>
            <w:tcW w:w="5499" w:type="dxa"/>
            <w:vAlign w:val="center"/>
          </w:tcPr>
          <w:p w14:paraId="6968BBAF">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dissociation increase reactive Mg species independently of changes in the surface or deposit growth?</w:t>
            </w:r>
          </w:p>
        </w:tc>
        <w:tc>
          <w:tcPr>
            <w:tcW w:w="1020" w:type="dxa"/>
            <w:vAlign w:val="center"/>
          </w:tcPr>
          <w:p w14:paraId="120A4202">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"https://doi.org/10.1039/d3ee02861e" \h </w:instrText>
            </w:r>
            <w:r>
              <w:rPr>
                <w:rFonts w:hint="default" w:ascii="Times New Roman" w:hAnsi="Times New Roman" w:cs="Times New Roman"/>
              </w:rPr>
              <w:fldChar w:fldCharType="separate"/>
            </w:r>
            <w:r>
              <w:rPr>
                <w:rFonts w:hint="default" w:ascii="Times New Roman" w:hAnsi="Times New Roman" w:cs="Times New Roman"/>
                <w:color w:val="000000"/>
                <w:sz w:val="19"/>
              </w:rPr>
              <w:t>[24]</w:t>
            </w:r>
            <w:r>
              <w:rPr>
                <w:rFonts w:hint="default" w:ascii="Times New Roman" w:hAnsi="Times New Roman" w:cs="Times New Roman"/>
                <w:color w:val="000000"/>
                <w:sz w:val="19"/>
              </w:rPr>
              <w:fldChar w:fldCharType="end"/>
            </w:r>
            <w:r>
              <w:rPr>
                <w:rFonts w:hint="default" w:ascii="Times New Roman" w:hAnsi="Times New Roman" w:cs="Times New Roman"/>
                <w:sz w:val="17"/>
              </w:rPr>
              <w:br w:type="textWrapping"/>
            </w:r>
            <w:r>
              <w:rPr>
                <w:rFonts w:hint="default" w:ascii="Times New Roman" w:hAnsi="Times New Roman" w:cs="Times New Roman"/>
                <w:sz w:val="17"/>
              </w:rPr>
              <w:t xml:space="preserve">via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"https://doi.org/10.1002/adma.202417652" \h </w:instrText>
            </w:r>
            <w:r>
              <w:rPr>
                <w:rFonts w:hint="default" w:ascii="Times New Roman" w:hAnsi="Times New Roman" w:cs="Times New Roman"/>
              </w:rPr>
              <w:fldChar w:fldCharType="separate"/>
            </w:r>
            <w:r>
              <w:rPr>
                <w:rFonts w:hint="default" w:ascii="Times New Roman" w:hAnsi="Times New Roman" w:cs="Times New Roman"/>
                <w:color w:val="000000"/>
                <w:sz w:val="19"/>
              </w:rPr>
              <w:t>[86]</w:t>
            </w:r>
            <w:r>
              <w:rPr>
                <w:rFonts w:hint="default" w:ascii="Times New Roman" w:hAnsi="Times New Roman" w:cs="Times New Roman"/>
                <w:color w:val="000000"/>
                <w:sz w:val="19"/>
              </w:rPr>
              <w:fldChar w:fldCharType="end"/>
            </w:r>
          </w:p>
        </w:tc>
      </w:tr>
      <w:tr w14:paraId="33A87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667A5B50">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Introduce primary-shell pairing</w:t>
            </w:r>
          </w:p>
        </w:tc>
        <w:tc>
          <w:tcPr>
            <w:tcW w:w="2835" w:type="dxa"/>
            <w:vAlign w:val="center"/>
          </w:tcPr>
          <w:p w14:paraId="1A839FC6">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Weakly solvated amine + strongly coordinating Mg salt</w:t>
            </w:r>
          </w:p>
        </w:tc>
        <w:tc>
          <w:tcPr>
            <w:tcW w:w="1020" w:type="dxa"/>
            <w:vAlign w:val="center"/>
          </w:tcPr>
          <w:p w14:paraId="627425B0">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99.6</w:t>
            </w:r>
          </w:p>
        </w:tc>
        <w:tc>
          <w:tcPr>
            <w:tcW w:w="3402" w:type="dxa"/>
            <w:vAlign w:val="center"/>
          </w:tcPr>
          <w:p w14:paraId="685C2D67">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CE reported for 800 cycles</w:t>
            </w:r>
          </w:p>
        </w:tc>
        <w:tc>
          <w:tcPr>
            <w:tcW w:w="5499" w:type="dxa"/>
            <w:vAlign w:val="center"/>
          </w:tcPr>
          <w:p w14:paraId="4E3C0B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Pairing suppresses amine reduction and H₂ evolution; does ligand exchange also change?</w:t>
            </w:r>
          </w:p>
        </w:tc>
        <w:tc>
          <w:tcPr>
            <w:tcW w:w="1020" w:type="dxa"/>
            <w:vAlign w:val="center"/>
          </w:tcPr>
          <w:p w14:paraId="1C596949">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"https://doi.org/10.1002/aenm.202301544" \h </w:instrText>
            </w:r>
            <w:r>
              <w:rPr>
                <w:rFonts w:hint="default" w:ascii="Times New Roman" w:hAnsi="Times New Roman" w:cs="Times New Roman"/>
              </w:rPr>
              <w:fldChar w:fldCharType="separate"/>
            </w:r>
            <w:r>
              <w:rPr>
                <w:rFonts w:hint="default" w:ascii="Times New Roman" w:hAnsi="Times New Roman" w:cs="Times New Roman"/>
                <w:color w:val="000000"/>
                <w:sz w:val="19"/>
              </w:rPr>
              <w:t>[80]</w:t>
            </w:r>
            <w:r>
              <w:rPr>
                <w:rFonts w:hint="default" w:ascii="Times New Roman" w:hAnsi="Times New Roman" w:cs="Times New Roman"/>
                <w:color w:val="000000"/>
                <w:sz w:val="19"/>
              </w:rPr>
              <w:fldChar w:fldCharType="end"/>
            </w:r>
          </w:p>
        </w:tc>
      </w:tr>
      <w:tr w14:paraId="4F4AA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262B5135">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Reshape solvent coordination</w:t>
            </w:r>
          </w:p>
        </w:tc>
        <w:tc>
          <w:tcPr>
            <w:tcW w:w="2835" w:type="dxa"/>
            <w:vAlign w:val="center"/>
          </w:tcPr>
          <w:p w14:paraId="69E805B7">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Mg(TFSI)₂/DME–MOPA-1</w:t>
            </w:r>
          </w:p>
        </w:tc>
        <w:tc>
          <w:tcPr>
            <w:tcW w:w="1020" w:type="dxa"/>
            <w:vAlign w:val="center"/>
          </w:tcPr>
          <w:p w14:paraId="1C6B70F8">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99.5</w:t>
            </w:r>
          </w:p>
        </w:tc>
        <w:tc>
          <w:tcPr>
            <w:tcW w:w="3402" w:type="dxa"/>
            <w:vAlign w:val="center"/>
          </w:tcPr>
          <w:p w14:paraId="6CDD1C9E">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plating/stripping; value compiled by Zhang et al.</w:t>
            </w:r>
          </w:p>
        </w:tc>
        <w:tc>
          <w:tcPr>
            <w:tcW w:w="5499" w:type="dxa"/>
            <w:vAlign w:val="center"/>
          </w:tcPr>
          <w:p w14:paraId="62BE1C23">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the modified solvent environment accelerate ligand exchange, electron transfer or both?</w:t>
            </w:r>
          </w:p>
        </w:tc>
        <w:tc>
          <w:tcPr>
            <w:tcW w:w="1020" w:type="dxa"/>
            <w:vAlign w:val="center"/>
          </w:tcPr>
          <w:p w14:paraId="173899CD">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"https://doi.org/10.1126/science.abg3954" \h </w:instrText>
            </w:r>
            <w:r>
              <w:rPr>
                <w:rFonts w:hint="default" w:ascii="Times New Roman" w:hAnsi="Times New Roman" w:cs="Times New Roman"/>
              </w:rPr>
              <w:fldChar w:fldCharType="separate"/>
            </w:r>
            <w:r>
              <w:rPr>
                <w:rFonts w:hint="default" w:ascii="Times New Roman" w:hAnsi="Times New Roman" w:cs="Times New Roman"/>
                <w:color w:val="000000"/>
                <w:sz w:val="19"/>
              </w:rPr>
              <w:t>[76]</w:t>
            </w:r>
            <w:r>
              <w:rPr>
                <w:rFonts w:hint="default" w:ascii="Times New Roman" w:hAnsi="Times New Roman" w:cs="Times New Roman"/>
                <w:color w:val="000000"/>
                <w:sz w:val="19"/>
              </w:rPr>
              <w:fldChar w:fldCharType="end"/>
            </w:r>
            <w:r>
              <w:rPr>
                <w:rFonts w:hint="default" w:ascii="Times New Roman" w:hAnsi="Times New Roman" w:cs="Times New Roman"/>
                <w:sz w:val="17"/>
              </w:rPr>
              <w:br w:type="textWrapping"/>
            </w:r>
            <w:r>
              <w:rPr>
                <w:rFonts w:hint="default" w:ascii="Times New Roman" w:hAnsi="Times New Roman" w:cs="Times New Roman"/>
                <w:sz w:val="17"/>
              </w:rPr>
              <w:t xml:space="preserve">via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"https://doi.org/10.1002/adma.202417652" \h </w:instrText>
            </w:r>
            <w:r>
              <w:rPr>
                <w:rFonts w:hint="default" w:ascii="Times New Roman" w:hAnsi="Times New Roman" w:cs="Times New Roman"/>
              </w:rPr>
              <w:fldChar w:fldCharType="separate"/>
            </w:r>
            <w:r>
              <w:rPr>
                <w:rFonts w:hint="default" w:ascii="Times New Roman" w:hAnsi="Times New Roman" w:cs="Times New Roman"/>
                <w:color w:val="000000"/>
                <w:sz w:val="19"/>
              </w:rPr>
              <w:t>[86]</w:t>
            </w:r>
            <w:r>
              <w:rPr>
                <w:rFonts w:hint="default" w:ascii="Times New Roman" w:hAnsi="Times New Roman" w:cs="Times New Roman"/>
                <w:color w:val="000000"/>
                <w:sz w:val="19"/>
              </w:rPr>
              <w:fldChar w:fldCharType="end"/>
            </w:r>
          </w:p>
        </w:tc>
      </w:tr>
      <w:tr w14:paraId="3B1E4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0521FE7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Mixed-ion coordination</w:t>
            </w:r>
          </w:p>
        </w:tc>
        <w:tc>
          <w:tcPr>
            <w:tcW w:w="2835" w:type="dxa"/>
            <w:vAlign w:val="center"/>
          </w:tcPr>
          <w:p w14:paraId="3946AD7B">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Mg(TFSI)₂ + LiOTf/DME–TMP</w:t>
            </w:r>
          </w:p>
        </w:tc>
        <w:tc>
          <w:tcPr>
            <w:tcW w:w="1020" w:type="dxa"/>
            <w:vAlign w:val="center"/>
          </w:tcPr>
          <w:p w14:paraId="55DE853B">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98</w:t>
            </w:r>
          </w:p>
        </w:tc>
        <w:tc>
          <w:tcPr>
            <w:tcW w:w="3402" w:type="dxa"/>
            <w:vAlign w:val="center"/>
          </w:tcPr>
          <w:p w14:paraId="3F60AD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Original report of Mg-metal reversibility</w:t>
            </w:r>
          </w:p>
        </w:tc>
        <w:tc>
          <w:tcPr>
            <w:tcW w:w="5499" w:type="dxa"/>
            <w:vAlign w:val="center"/>
          </w:tcPr>
          <w:p w14:paraId="75604DD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How do changes in Mg–DME coordination and the phosphate-rich interphase each contribute?</w:t>
            </w:r>
          </w:p>
        </w:tc>
        <w:tc>
          <w:tcPr>
            <w:tcW w:w="1020" w:type="dxa"/>
            <w:vAlign w:val="center"/>
          </w:tcPr>
          <w:p w14:paraId="69017BA3">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"https://doi.org/10.1002/anie.202304411" \h </w:instrText>
            </w:r>
            <w:r>
              <w:rPr>
                <w:rFonts w:hint="default" w:ascii="Times New Roman" w:hAnsi="Times New Roman" w:cs="Times New Roman"/>
              </w:rPr>
              <w:fldChar w:fldCharType="separate"/>
            </w:r>
            <w:r>
              <w:rPr>
                <w:rFonts w:hint="default" w:ascii="Times New Roman" w:hAnsi="Times New Roman" w:cs="Times New Roman"/>
                <w:color w:val="000000"/>
                <w:sz w:val="19"/>
              </w:rPr>
              <w:t>[83]</w:t>
            </w:r>
            <w:r>
              <w:rPr>
                <w:rFonts w:hint="default" w:ascii="Times New Roman" w:hAnsi="Times New Roman" w:cs="Times New Roman"/>
                <w:color w:val="000000"/>
                <w:sz w:val="19"/>
              </w:rPr>
              <w:fldChar w:fldCharType="end"/>
            </w:r>
          </w:p>
        </w:tc>
      </w:tr>
      <w:tr w14:paraId="75483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7BEBFB3B">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Adjust salt–solvent coordination</w:t>
            </w:r>
          </w:p>
        </w:tc>
        <w:tc>
          <w:tcPr>
            <w:tcW w:w="2835" w:type="dxa"/>
            <w:vAlign w:val="center"/>
          </w:tcPr>
          <w:p w14:paraId="1370CFB7">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Mg(OTf)₂/G2–MOEA</w:t>
            </w:r>
          </w:p>
        </w:tc>
        <w:tc>
          <w:tcPr>
            <w:tcW w:w="1020" w:type="dxa"/>
            <w:vAlign w:val="center"/>
          </w:tcPr>
          <w:p w14:paraId="762A2405">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98.3</w:t>
            </w:r>
          </w:p>
        </w:tc>
        <w:tc>
          <w:tcPr>
            <w:tcW w:w="3402" w:type="dxa"/>
            <w:vAlign w:val="center"/>
          </w:tcPr>
          <w:p w14:paraId="32E4608B">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Asymmetric-cell average CE after 8200 cycles; symmetric lifetime reported separately</w:t>
            </w:r>
          </w:p>
        </w:tc>
        <w:tc>
          <w:tcPr>
            <w:tcW w:w="5499" w:type="dxa"/>
            <w:vAlign w:val="center"/>
          </w:tcPr>
          <w:p w14:paraId="0139763E">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How do solvation and the interphases at each electrode contribute to reversibility?</w:t>
            </w:r>
          </w:p>
        </w:tc>
        <w:tc>
          <w:tcPr>
            <w:tcW w:w="1020" w:type="dxa"/>
            <w:vAlign w:val="center"/>
          </w:tcPr>
          <w:p w14:paraId="78AEFE3B">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"https://doi.org/10.1002/aenm.202301795" \h </w:instrText>
            </w:r>
            <w:r>
              <w:rPr>
                <w:rFonts w:hint="default" w:ascii="Times New Roman" w:hAnsi="Times New Roman" w:cs="Times New Roman"/>
              </w:rPr>
              <w:fldChar w:fldCharType="separate"/>
            </w:r>
            <w:r>
              <w:rPr>
                <w:rFonts w:hint="default" w:ascii="Times New Roman" w:hAnsi="Times New Roman" w:cs="Times New Roman"/>
                <w:color w:val="000000"/>
                <w:sz w:val="19"/>
              </w:rPr>
              <w:t>[87]</w:t>
            </w:r>
            <w:r>
              <w:rPr>
                <w:rFonts w:hint="default" w:ascii="Times New Roman" w:hAnsi="Times New Roman" w:cs="Times New Roman"/>
                <w:color w:val="000000"/>
                <w:sz w:val="19"/>
              </w:rPr>
              <w:fldChar w:fldCharType="end"/>
            </w:r>
          </w:p>
        </w:tc>
      </w:tr>
      <w:tr w14:paraId="53AE1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5D42B348">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Chloride complexes + interphase</w:t>
            </w:r>
          </w:p>
        </w:tc>
        <w:tc>
          <w:tcPr>
            <w:tcW w:w="2835" w:type="dxa"/>
            <w:vAlign w:val="center"/>
          </w:tcPr>
          <w:p w14:paraId="6F84F2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Mg(pftb)₂ + MgCl₂/THF</w:t>
            </w:r>
          </w:p>
        </w:tc>
        <w:tc>
          <w:tcPr>
            <w:tcW w:w="1020" w:type="dxa"/>
            <w:vAlign w:val="center"/>
          </w:tcPr>
          <w:p w14:paraId="44D6C3B1">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99.7</w:t>
            </w:r>
          </w:p>
        </w:tc>
        <w:tc>
          <w:tcPr>
            <w:tcW w:w="3402" w:type="dxa"/>
            <w:vAlign w:val="center"/>
          </w:tcPr>
          <w:p w14:paraId="60BC1214">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CE reported over 3000 cycles; symmetric lifetime is separate</w:t>
            </w:r>
          </w:p>
        </w:tc>
        <w:tc>
          <w:tcPr>
            <w:tcW w:w="5499" w:type="dxa"/>
            <w:vAlign w:val="center"/>
          </w:tcPr>
          <w:p w14:paraId="13902891">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the hybrid interphase remain effective after changing the electrolyte?</w:t>
            </w:r>
          </w:p>
        </w:tc>
        <w:tc>
          <w:tcPr>
            <w:tcW w:w="1020" w:type="dxa"/>
            <w:vAlign w:val="center"/>
          </w:tcPr>
          <w:p w14:paraId="1EF01AC7">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"https://doi.org/10.1002/adma.202203783" \h </w:instrText>
            </w:r>
            <w:r>
              <w:rPr>
                <w:rFonts w:hint="default" w:ascii="Times New Roman" w:hAnsi="Times New Roman" w:cs="Times New Roman"/>
              </w:rPr>
              <w:fldChar w:fldCharType="separate"/>
            </w:r>
            <w:r>
              <w:rPr>
                <w:rFonts w:hint="default" w:ascii="Times New Roman" w:hAnsi="Times New Roman" w:cs="Times New Roman"/>
                <w:color w:val="000000"/>
                <w:sz w:val="19"/>
              </w:rPr>
              <w:t>[20]</w:t>
            </w:r>
            <w:r>
              <w:rPr>
                <w:rFonts w:hint="default" w:ascii="Times New Roman" w:hAnsi="Times New Roman" w:cs="Times New Roman"/>
                <w:color w:val="000000"/>
                <w:sz w:val="19"/>
              </w:rPr>
              <w:fldChar w:fldCharType="end"/>
            </w:r>
          </w:p>
        </w:tc>
      </w:tr>
      <w:tr w14:paraId="4A1A9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69000DF4">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Dissociation + interphase</w:t>
            </w:r>
          </w:p>
        </w:tc>
        <w:tc>
          <w:tcPr>
            <w:tcW w:w="2835" w:type="dxa"/>
            <w:vAlign w:val="center"/>
          </w:tcPr>
          <w:p w14:paraId="099F4101">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Mg(OTf)₂ + MgCl₂/DME–TEP</w:t>
            </w:r>
          </w:p>
        </w:tc>
        <w:tc>
          <w:tcPr>
            <w:tcW w:w="1020" w:type="dxa"/>
            <w:vAlign w:val="center"/>
          </w:tcPr>
          <w:p w14:paraId="01E1E52E">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99.4</w:t>
            </w:r>
          </w:p>
        </w:tc>
        <w:tc>
          <w:tcPr>
            <w:tcW w:w="3402" w:type="dxa"/>
            <w:vAlign w:val="center"/>
          </w:tcPr>
          <w:p w14:paraId="2B71995E">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Mg||Mo: 0.5 mA cm⁻², 0.25 mAh cm⁻²; CE reported after 3000 h</w:t>
            </w:r>
          </w:p>
        </w:tc>
        <w:tc>
          <w:tcPr>
            <w:tcW w:w="5499" w:type="dxa"/>
            <w:vAlign w:val="center"/>
          </w:tcPr>
          <w:p w14:paraId="1D195862">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improved deposition arise from easier ligand removal or fewer interfacial side reactions?</w:t>
            </w:r>
          </w:p>
        </w:tc>
        <w:tc>
          <w:tcPr>
            <w:tcW w:w="1020" w:type="dxa"/>
            <w:vAlign w:val="center"/>
          </w:tcPr>
          <w:p w14:paraId="768446CC">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"https://doi.org/10.1021/acscentsci.6c01164" \h </w:instrText>
            </w:r>
            <w:r>
              <w:rPr>
                <w:rFonts w:hint="default" w:ascii="Times New Roman" w:hAnsi="Times New Roman" w:cs="Times New Roman"/>
              </w:rPr>
              <w:fldChar w:fldCharType="separate"/>
            </w:r>
            <w:r>
              <w:rPr>
                <w:rFonts w:hint="default" w:ascii="Times New Roman" w:hAnsi="Times New Roman" w:cs="Times New Roman"/>
                <w:color w:val="000000"/>
                <w:sz w:val="19"/>
              </w:rPr>
              <w:t>[88]</w:t>
            </w:r>
            <w:r>
              <w:rPr>
                <w:rFonts w:hint="default" w:ascii="Times New Roman" w:hAnsi="Times New Roman" w:cs="Times New Roman"/>
                <w:color w:val="000000"/>
                <w:sz w:val="19"/>
              </w:rPr>
              <w:fldChar w:fldCharType="end"/>
            </w:r>
          </w:p>
        </w:tc>
      </w:tr>
      <w:tr w14:paraId="28ED3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tcBorders>
              <w:bottom w:val="single" w:color="000000" w:sz="10" w:space="0"/>
            </w:tcBorders>
            <w:vAlign w:val="center"/>
          </w:tcPr>
          <w:p w14:paraId="34470C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Mixed donors + chloride carrier</w:t>
            </w:r>
          </w:p>
        </w:tc>
        <w:tc>
          <w:tcPr>
            <w:tcW w:w="2835" w:type="dxa"/>
            <w:tcBorders>
              <w:bottom w:val="single" w:color="000000" w:sz="10" w:space="0"/>
            </w:tcBorders>
            <w:vAlign w:val="center"/>
          </w:tcPr>
          <w:p w14:paraId="48CF28AF">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Mg(OTf)₂ + MgCl₂/DME–MOEA</w:t>
            </w:r>
          </w:p>
        </w:tc>
        <w:tc>
          <w:tcPr>
            <w:tcW w:w="1020" w:type="dxa"/>
            <w:tcBorders>
              <w:bottom w:val="single" w:color="000000" w:sz="10" w:space="0"/>
            </w:tcBorders>
            <w:vAlign w:val="center"/>
          </w:tcPr>
          <w:p w14:paraId="6EAFA53F">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&gt;92.3</w:t>
            </w:r>
          </w:p>
        </w:tc>
        <w:tc>
          <w:tcPr>
            <w:tcW w:w="3402" w:type="dxa"/>
            <w:tcBorders>
              <w:bottom w:val="single" w:color="000000" w:sz="10" w:space="0"/>
            </w:tcBorders>
            <w:vAlign w:val="center"/>
          </w:tcPr>
          <w:p w14:paraId="12EC3178">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Reported Mg CE; donor ratio MOEA:DME = 1:6 (v/v)</w:t>
            </w:r>
          </w:p>
        </w:tc>
        <w:tc>
          <w:tcPr>
            <w:tcW w:w="5499" w:type="dxa"/>
            <w:tcBorders>
              <w:bottom w:val="single" w:color="000000" w:sz="10" w:space="0"/>
            </w:tcBorders>
            <w:vAlign w:val="center"/>
          </w:tcPr>
          <w:p w14:paraId="1AEFC8E0">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improved performance arise from Mg solvation, the surface layer or both across different cathodes?</w:t>
            </w:r>
          </w:p>
        </w:tc>
        <w:tc>
          <w:tcPr>
            <w:tcW w:w="1020" w:type="dxa"/>
            <w:tcBorders>
              <w:bottom w:val="single" w:color="000000" w:sz="10" w:space="0"/>
            </w:tcBorders>
            <w:vAlign w:val="center"/>
          </w:tcPr>
          <w:p w14:paraId="54E1F256">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"https://doi.org/10.1021/acs.langmuir.6c03054" \h </w:instrText>
            </w:r>
            <w:r>
              <w:rPr>
                <w:rFonts w:hint="default" w:ascii="Times New Roman" w:hAnsi="Times New Roman" w:cs="Times New Roman"/>
              </w:rPr>
              <w:fldChar w:fldCharType="separate"/>
            </w:r>
            <w:r>
              <w:rPr>
                <w:rFonts w:hint="default" w:ascii="Times New Roman" w:hAnsi="Times New Roman" w:cs="Times New Roman"/>
                <w:color w:val="000000"/>
                <w:sz w:val="19"/>
              </w:rPr>
              <w:t>[89]</w:t>
            </w:r>
            <w:r>
              <w:rPr>
                <w:rFonts w:hint="default" w:ascii="Times New Roman" w:hAnsi="Times New Roman" w:cs="Times New Roman"/>
                <w:color w:val="000000"/>
                <w:sz w:val="19"/>
              </w:rPr>
              <w:fldChar w:fldCharType="end"/>
            </w:r>
          </w:p>
        </w:tc>
      </w:tr>
    </w:tbl>
    <w:p w14:paraId="6D447113">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CE is the common measure of reversibility, rather than a reaction rate or activation barrier. Different protocols and averaging periods prevent direct ranking. Symmetric-cell lifetimes and full-cell efficiencies are excluded. Kinetic comparisons require consistent substrate, capacity, temperature and conditioning, with rates compared at matched potential or overpotentials at matched current.</w:t>
      </w:r>
    </w:p>
    <w:p w14:paraId="3A2DE4B1">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The listed compositions identify the electrolyte strategies and are not complete preparation recipes. The mechanistic questions propose further tests. For the carborane, solvent-designed TFSI and MOPA-1 entries, “via” identifies Zhang et al. [86] as the source of the CE value; the accompanying original references identify the electrolyte chemistry. These values were obtained under different protocols.</w:t>
      </w:r>
    </w:p>
    <w:p w14:paraId="547F6AB4">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THF: tetrahydrofuran; DME: 1,2-dimethoxyethane; G2/G4: diglyme/tetraglyme; BTFE: bis(2,2,2-trifluoroethyl) ether; TMP/TEP: trimethyl/triethyl phosphate; MOPA-1: 1-methoxy-2-propylamine; MOEA: 2-methoxyethylamine; pftb: perfluorinated tert-butoxide; OTf: triflate; TFSI: bis(trifluoromethanesulfonyl)imide. TMP denotes the phosphate here, not the piperidide ligand used in some Hauser bases.</w:t>
      </w:r>
    </w:p>
    <w:p w14:paraId="0534E08C">
      <w:pPr>
        <w:rPr>
          <w:rFonts w:hint="default" w:ascii="Times New Roman" w:hAnsi="Times New Roman" w:cs="Times New Roman"/>
        </w:rPr>
        <w:sectPr>
          <w:headerReference r:id="rId15" w:type="default"/>
          <w:footerReference r:id="rId16" w:type="default"/>
          <w:pgSz w:w="16838" w:h="11906" w:orient="landscape"/>
          <w:pgMar w:top="624" w:right="680" w:bottom="624" w:left="680" w:header="198" w:footer="227" w:gutter="0"/>
          <w:pgNumType w:fmt="decimal"/>
          <w:cols w:space="360" w:num="1"/>
          <w:docGrid w:linePitch="360" w:charSpace="0"/>
        </w:sectPr>
      </w:pPr>
    </w:p>
    <w:p w14:paraId="1D9C704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fate of the anion determines whether a molecular benefit can be sustained. Release of an active anion allows it to participate again, whereas decomposition changes the liquid composition and may build an interphase.[90–91] Calling the process catalytic requires evidence of repeated kinetic assistance with regeneration and no net consumption of the active species. Neither high CE nor anion survival establishes that condition. For a fixed overall reaction, catalysis changes the route without changing the equilibrium free energy; changing the formulation can also alter reactant activities and equilibrium. The broader design argument does not depend on proving catalysis: coordination can assist desolvation even when the anion is subsequently consumed.</w:t>
      </w:r>
    </w:p>
    <w:p w14:paraId="10496F2F">
      <w:pPr>
        <w:rPr>
          <w:rFonts w:hint="default" w:ascii="Times New Roman" w:hAnsi="Times New Roman" w:cs="Times New Roman"/>
        </w:rPr>
        <w:sectPr>
          <w:headerReference r:id="rId17" w:type="default"/>
          <w:footerReference r:id="rId18" w:type="default"/>
          <w:pgSz w:w="11906" w:h="16838"/>
          <w:pgMar w:top="1077" w:right="1020" w:bottom="1020" w:left="1020" w:header="567" w:footer="510" w:gutter="0"/>
          <w:pgNumType w:fmt="decimal"/>
          <w:cols w:space="425" w:num="1"/>
          <w:docGrid w:linePitch="360" w:charSpace="0"/>
        </w:sectPr>
      </w:pPr>
    </w:p>
    <w:p w14:paraId="5A5D7C4A">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3475" cy="3107055"/>
            <wp:effectExtent l="0" t="0" r="15875" b="17145"/>
            <wp:docPr id="2" name="Picture 2" descr="Figure 2.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Original conceptual schematic for magnesium electrolyte design."/>
                    <pic:cNvPicPr>
                      <a:picLocks noChangeAspect="1"/>
                    </pic:cNvPicPr>
                  </pic:nvPicPr>
                  <pic:blipFill>
                    <a:blip r:embed="rId37"/>
                    <a:stretch>
                      <a:fillRect/>
                    </a:stretch>
                  </pic:blipFill>
                  <pic:spPr>
                    <a:xfrm>
                      <a:off x="0" y="0"/>
                      <a:ext cx="6213475" cy="3107055"/>
                    </a:xfrm>
                    <a:prstGeom prst="rect">
                      <a:avLst/>
                    </a:prstGeom>
                  </pic:spPr>
                </pic:pic>
              </a:graphicData>
            </a:graphic>
          </wp:inline>
        </w:drawing>
      </w:r>
    </w:p>
    <w:p w14:paraId="7C3AECAE">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Figure 2. Reaction barriers and anion fate define the value of coordination. a) Schematic free-energy paths at the same electrode potential and for a consistently defined overall reaction. Assistance can lower a barrier, whereas a strongly stabilised intermediate may have a substantial escape barrier measured from its own local minimum. Curve heights are illustrative and do not quantify reaction driving force. b) Ligand rearrangement can lead towards Mg deposition or competing electrolyte decomposition. The two-electron arrow denotes the net reduction of Mg(II) to Mg metal. Coordination motifs omit ligand counts and released solvent; they are not balanced elementary reactions. The dashed return arrow represents possible anion reuse that requires experimental evidence of recovery and repeated kinetic assistance.</w:t>
      </w:r>
    </w:p>
    <w:p w14:paraId="5FC34A9A">
      <w:pPr>
        <w:rPr>
          <w:rFonts w:hint="default" w:ascii="Times New Roman" w:hAnsi="Times New Roman" w:cs="Times New Roman"/>
        </w:rPr>
        <w:sectPr>
          <w:headerReference r:id="rId19" w:type="default"/>
          <w:footerReference r:id="rId20" w:type="default"/>
          <w:type w:val="continuous"/>
          <w:pgSz w:w="11906" w:h="16838"/>
          <w:pgMar w:top="1077" w:right="1020" w:bottom="1020" w:left="1020" w:header="567" w:footer="510" w:gutter="0"/>
          <w:pgNumType w:fmt="decimal"/>
          <w:cols w:space="360" w:num="1"/>
          <w:docGrid w:linePitch="360" w:charSpace="0"/>
        </w:sectPr>
      </w:pPr>
    </w:p>
    <w:p w14:paraId="0516134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These distinctions give the published examples a more precise interpretation. The amine study supports suppression of parasitic reduction,[80] the weak-pairing electrolyte combines dissociation with altered Mg growth,[24] and the chelating salt changes the Mg complex together with the interphase.[81] Their comparison identifies plausible molecular contributions,[86] while also showing why matched measurements are needed to assign them. The decisive evidence would connect a controlled coordination change to ligand exchange and Mg deposition while independently accounting for decomposition and surface protection.</w:t>
      </w:r>
    </w:p>
    <w:p w14:paraId="300BBB8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Different responses then point to different limitations. Faster exchange with unchanged Mg deposition suggests that adsorption, reduction or incorporation remains slow. Higher CE at unchanged exchange rates is consistent with reduced parasitic losses. If an improvement survives electrolyte replacement and the original film remains intact, a surface contribution is supported. These outcomes guide the next chemical change more effectively than a shell assignment alone.</w:t>
      </w:r>
    </w:p>
    <w:p w14:paraId="4C242A1E">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 Evidence for Anion-Assisted Desolvation</w:t>
      </w:r>
    </w:p>
    <w:p w14:paraId="3310CF3D">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3.1. Free energies of defined reactions</w:t>
      </w:r>
    </w:p>
    <w:p w14:paraId="7352526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Evidence for anion-assisted desolvation must distinguish binding from reaction. Ion-pairing free energy describes the equilibrium between associated and dissociated ions. Ligand-exchange free energy compares states before and after one ligand replaces another. The activation barrier measures the free-energy difference between an initial state and its transition state. Each quantity refers to a different process and requires a balanced reaction with specified charge, solvent activity and reference conditions. Association changes both the population and reactivity of Mg complexes.[23,32] Stronger stabilisation of a complex can nevertheless increase its release barrier if the transition state is stabilised less. Association energy alone cannot resolve this possibility.</w:t>
      </w:r>
    </w:p>
    <w:p w14:paraId="7C685FE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calculation is therefore most informative when it follows the coordination change proposed in the experiment. If an anion replaces a solvent ligand, both the incoming anion and the departing solvent belong in the reaction balance. If a chelate opens, its accessible conformations and their entropic contributions matter. Comparisons between complexes of different charges also need a consistent chemical or electrode reservoir. These choices define the meaning of the calculated barrier. A useful pathway should then predict an observable consequence, such as altered ligand exchange or a different potential dependence of Mg deposition.</w:t>
      </w:r>
    </w:p>
    <w:p w14:paraId="7F18B29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Enhanced sampling can connect these coordination changes to free-energy surfaces.[92–93] Solvent and anion contact numbers, together with distance from the electrode, provide possible reaction coordinates. More than one coordinate may be needed to capture alternative release pathways. Reweighting can recover equilibrium properties where sampled distributions overlap, but cannot reconstruct a transition that was never sampled.[94] Adsorption and reduction introduce electrode-potential dependence and call for an appropriate constant-potential or grand-canonical treatment.[31,95] Reporting the reaction definition and sampling uncertainty is essential when using a calculated barrier to explain an experimental trend.</w:t>
      </w:r>
    </w:p>
    <w:p w14:paraId="5A0F50A3">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3.2. Mg speciation in the liquid and near the electrode</w:t>
      </w:r>
    </w:p>
    <w:p w14:paraId="01CC2596">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proposed reactive complex must first be identified in the electrolyte. Raman and IR spectra distinguish donor and anion environments, while ²⁵Mg NMR combined with computation can resolve aspects of Mg solvation and dynamics.[96] Measurements across electrolyte compositions show the value of combining these methods.[57–58,74,97] For multidentate ligands, an assignment must distinguish the number of donor atoms from the number of ligand molecules. Spectroscopy then establishes which environments are present; it does not, on its own, determine how rapidly those environments undergo desolvation.</w:t>
      </w:r>
    </w:p>
    <w:p w14:paraId="3222D59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choice of NMR experiment depends on the exchange time scale and whether the relevant environments can be resolved. Quadrupolar broadening and low sensitivity make ²⁵Mg particularly demanding. Where bound and free ligands give distinct signals, EXSY can probe exchange, provided that nuclear Overhauser effects are distinguished from exchange cross-peaks. DOSY instead constrains diffusion and association, not ligand-release rates. Raman intensities likewise need appropriate response factors before they can be interpreted as populations. These limitations favour complementary measurements over a detailed assignment from one spectrum.</w:t>
      </w:r>
    </w:p>
    <w:p w14:paraId="1C3FBEC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Complex charge adds another layer to the interpretation, particularly in chloride-containing and mixed-salt electrolytes.[60,82,98] Two liquids with the same total Mg concentration may contain complexes of different charge, size and abundance, and consequently show different transport behaviour. Mass spectrometry and crystallography help identify possible structures, but ionisation or crystallisation can favour species that are scarce in solution. Conversely, a minor bulk species may contribute substantially to deposition at a polarised electrode. Its importance must be established through an electrochemical response consistent with its proposed reactivity, rather than its detection alone.</w:t>
      </w:r>
    </w:p>
    <w:p w14:paraId="792E63A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Anion exclusion requires the same level of care. A bulky anion or a shifted vibrational band does not establish that every Mg–anion contact has disappeared. An associated fraction with an uncertainty estimate is more useful than a binary assignment of “present” or “absent”. Exchange measurements can then show whether changing that fraction alters coordination dynamics. Mg recovery provides the electrochemical outcome. If the surface evolves during the comparison, its contribution must be assessed before assigning the response to solution coordination.</w:t>
      </w:r>
    </w:p>
    <w:p w14:paraId="2CE9EEC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Together, these measurements establish which Mg complexes are present, how rapidly their ligands exchange and which reactions they undergo. Figure 3 separates these observables because none can substitute for the others. For example, reducing the abundance of a proposed active complex should change exchange and deposition in the direction predicted by the mechanism. A different response would point towards an alternative species, surface protection or suppressed decomposition. Such a perturbation tests the chemical explanation more directly than confirming the same shell assignment with several techniques.</w:t>
      </w:r>
    </w:p>
    <w:p w14:paraId="2B50DD47">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3.3. Ligand exchange and Mg deposition rates</w:t>
      </w:r>
    </w:p>
    <w:p w14:paraId="1DA3F3B5">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Ligand exchange becomes relevant to electrolyte design when it can be connected to Mg deposition. Faster exchange in the bulk need not increase deposition at the electrode, where diffusion, adsorption, electron transfer and nucleation also contribute. Their relative importance changes with potential and surface history. Exchange-sensitive NMR, temperature-dependent measurements and molecular dynamics can test whether ligand release affects the observed rate. The underlying model must specify which exchange process produces the signal and whether it belongs to the dominant complex or to a minor, more reactive species.</w:t>
      </w:r>
    </w:p>
    <w:p w14:paraId="0CE7963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Even a ligand residence time depends on its definition. A brief departure followed by rebinding counts differently in continuous and intermittent analyses. Distance cutoffs, correlation functions, treatment of rebinding and sampling duration should therefore accompany reported values. Diffusion calculations also need convergence and finite-size checks,[99] while conductivity depends on correlated ion motion. These are not interchangeable measures of desolvation. Improved transport can lower cell polarisation without accelerating ligand release, so transport must be characterised independently when relating exchange to deposition.</w:t>
      </w:r>
    </w:p>
    <w:p w14:paraId="69BCD01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Impedance and current transients add information about the interfacial response, although a frequency range cannot uniquely identify film transport, electron transfer or diffusion. Adsorption, nucleation and an evolving surface can produce overlapping signals. Potential and temperature dependence, transport measurements and the current associated with Mg deposition provide additional constraints. Electron transfer depends on reorganisation,[100] and Mg deposition also involves coordination changes and metal growth. Consistent changes in exchange and deposition, with little change in the film response, support a molecular contribution. Improvement that instead follows surface activation while exchange remains unchanged supports an interphase contribution.</w:t>
      </w:r>
    </w:p>
    <w:p w14:paraId="240DACE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CE answers a different question. It compares the charge recovered during stripping with the charge passed during plating, whereas an exchange barrier describes a molecular reaction step. Suppressing decomposition can increase CE without changing exchange, and faster ligand release may leave adsorption or metal incorporation limiting. A universal correlation between binding energy and CE is therefore unlikely. A more useful test asks whether a controlled change in donor identity or potential produces the predicted changes in both exchange and Mg deposition. Agreement supports the descriptor within that system; disagreement identifies a missing process.</w:t>
      </w:r>
    </w:p>
    <w:p w14:paraId="6660B586">
      <w:pPr>
        <w:rPr>
          <w:rFonts w:hint="default" w:ascii="Times New Roman" w:hAnsi="Times New Roman" w:cs="Times New Roman"/>
        </w:rPr>
        <w:sectPr>
          <w:headerReference r:id="rId21" w:type="default"/>
          <w:footerReference r:id="rId22" w:type="default"/>
          <w:type w:val="continuous"/>
          <w:pgSz w:w="11906" w:h="16838"/>
          <w:pgMar w:top="1077" w:right="1020" w:bottom="1020" w:left="1020" w:header="567" w:footer="510" w:gutter="0"/>
          <w:pgNumType w:fmt="decimal"/>
          <w:cols w:space="425" w:num="1"/>
          <w:docGrid w:linePitch="360" w:charSpace="0"/>
        </w:sectPr>
      </w:pPr>
    </w:p>
    <w:p w14:paraId="17847CE8">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84570" cy="3042285"/>
            <wp:effectExtent l="0" t="0" r="11430" b="5715"/>
            <wp:docPr id="3" name="Picture 3" descr="Figure 3.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Original conceptual schematic for magnesium electrolyte design."/>
                    <pic:cNvPicPr>
                      <a:picLocks noChangeAspect="1"/>
                    </pic:cNvPicPr>
                  </pic:nvPicPr>
                  <pic:blipFill>
                    <a:blip r:embed="rId38"/>
                    <a:stretch>
                      <a:fillRect/>
                    </a:stretch>
                  </pic:blipFill>
                  <pic:spPr>
                    <a:xfrm>
                      <a:off x="0" y="0"/>
                      <a:ext cx="6084570" cy="3042285"/>
                    </a:xfrm>
                    <a:prstGeom prst="rect">
                      <a:avLst/>
                    </a:prstGeom>
                  </pic:spPr>
                </pic:pic>
              </a:graphicData>
            </a:graphic>
          </wp:inline>
        </w:drawing>
      </w:r>
    </w:p>
    <w:p w14:paraId="1DB9FAC4">
      <w:pPr>
        <w:pStyle w:val="15"/>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pPr>
      <w:r>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t>Figure 3. Complementary measurements connect Mg speciation, ligand exchange and reaction selectivity. a) Illustrative coordination motifs and spectra represent the identification of Mg environments. The spectra contain no measured peak positions or quantitative population assignments. b) One-for-one exchange conserves L and L*, where L* denotes a distinguishable neutral ligand rather than a radical; other ligands are omitted. The correlation decay is schematic. c) Cathodic charge can produce Mg or drive electrolyte reduction. Mg recovery and product balances distinguish these outcomes; chemical corrosion must be assessed separately. Comparisons require controlled composition, temperature, potential and surface history. Mg²⁺ labels the metal centre rather than the net complex charge.</w:t>
      </w:r>
    </w:p>
    <w:p w14:paraId="05A80A3B">
      <w:pPr>
        <w:rPr>
          <w:rFonts w:hint="default" w:ascii="Times New Roman" w:hAnsi="Times New Roman" w:cs="Times New Roman"/>
        </w:rPr>
        <w:sectPr>
          <w:headerReference r:id="rId23" w:type="default"/>
          <w:footerReference r:id="rId24" w:type="default"/>
          <w:type w:val="continuous"/>
          <w:pgSz w:w="11906" w:h="16838"/>
          <w:pgMar w:top="1077" w:right="1020" w:bottom="1020" w:left="1020" w:header="567" w:footer="510" w:gutter="0"/>
          <w:pgNumType w:fmt="decimal"/>
          <w:cols w:space="360" w:num="1"/>
          <w:docGrid w:linePitch="360" w:charSpace="0"/>
        </w:sectPr>
      </w:pPr>
    </w:p>
    <w:p w14:paraId="7971CF4B">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3.4. Reaction selectivity and anion consumption</w:t>
      </w:r>
    </w:p>
    <w:p w14:paraId="43A6602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Facilitating ligand release helps only if the subsequent chemistry favours Mg deposition. Calculations identify chelation-induced instability and potential-dependent solvent decomposition in the double layer as competing processes.[30–31] Electron transfer needs electronic coupling, but neither complete desolvation nor direct adsorption of every reacting molecule is a universal prerequisite. Orbital energies describe one aspect of reduction susceptibility; liquid reorganisation, bond cleavage and activation barriers also determine products. A cathodic onset consequently cannot distinguish Mg deposition from electrolyte reduction. That assignment needs measurements of the deposited metal and accompanying products.</w:t>
      </w:r>
    </w:p>
    <w:p w14:paraId="4A491DA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material balance can separate these outcomes. Deposited Mg and recovered charge should be considered together with gas, soluble products and film growth. The instantaneous current producing Mg differs from cycle-integrated CE, and chemical corrosion consumes Mg without contributing to that deposition current. Both early plating studies and later interphase work make these distinctions relevant.[3,78,101] Operando EQCM-D follows changes in coupled mass and dissipation during conditioning and passivation.[102] Because solvent coupling, porosity and surface area also affect the signal, mass gain cannot be assigned automatically to a compact SEI.</w:t>
      </w:r>
    </w:p>
    <w:p w14:paraId="35CA262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Anion recovery is equally important. An intact anion may be a spectator, while a benefit sustained for many cycles may still rely on slow consumption from a large reservoir. Repeated molecular assistance requires the recovered species to retain its kinetic effect under controlled surface conditions. Table 2 sets out experiments that distinguish these possibilities. The contributions can coexist: the same anion may facilitate solvent release, suppress a competing reduction and later form a film. Resolving when each occurs gives the desolvation argument its practical value.</w:t>
      </w:r>
    </w:p>
    <w:p w14:paraId="06D4BA6E">
      <w:pPr>
        <w:rPr>
          <w:rFonts w:hint="default" w:ascii="Times New Roman" w:hAnsi="Times New Roman" w:cs="Times New Roman"/>
        </w:rPr>
      </w:pPr>
    </w:p>
    <w:p w14:paraId="42036A94">
      <w:pPr>
        <w:rPr>
          <w:rFonts w:hint="default" w:ascii="Times New Roman" w:hAnsi="Times New Roman" w:cs="Times New Roman"/>
        </w:rPr>
      </w:pPr>
    </w:p>
    <w:p w14:paraId="4095CC45">
      <w:pPr>
        <w:rPr>
          <w:rFonts w:hint="default" w:ascii="Times New Roman" w:hAnsi="Times New Roman" w:cs="Times New Roman"/>
        </w:rPr>
        <w:sectPr>
          <w:headerReference r:id="rId25" w:type="default"/>
          <w:footerReference r:id="rId26" w:type="default"/>
          <w:type w:val="continuous"/>
          <w:pgSz w:w="11906" w:h="16838"/>
          <w:pgMar w:top="1077" w:right="1020" w:bottom="1020" w:left="1020" w:header="567" w:footer="510" w:gutter="0"/>
          <w:pgNumType w:fmt="decimal"/>
          <w:cols w:space="425" w:num="1"/>
          <w:docGrid w:linePitch="360" w:charSpace="0"/>
        </w:sectPr>
      </w:pPr>
    </w:p>
    <w:p w14:paraId="27E0C293">
      <w:pPr>
        <w:pStyle w:val="15"/>
        <w:keepNext/>
        <w:spacing w:before="140"/>
        <w:rPr>
          <w:rFonts w:hint="default" w:ascii="Times New Roman" w:hAnsi="Times New Roman" w:cs="Times New Roman"/>
          <w:b w:val="0"/>
          <w:bCs w:val="0"/>
          <w:sz w:val="22"/>
          <w:szCs w:val="22"/>
        </w:rPr>
      </w:pPr>
      <w:r>
        <w:rPr>
          <w:rFonts w:hint="default" w:ascii="Times New Roman" w:hAnsi="Times New Roman" w:cs="Times New Roman"/>
          <w:b/>
          <w:sz w:val="22"/>
          <w:szCs w:val="22"/>
        </w:rPr>
        <w:t xml:space="preserve">Table 2. </w:t>
      </w:r>
      <w:r>
        <w:rPr>
          <w:rFonts w:hint="default" w:ascii="Times New Roman" w:hAnsi="Times New Roman" w:cs="Times New Roman"/>
          <w:b w:val="0"/>
          <w:bCs w:val="0"/>
          <w:sz w:val="22"/>
          <w:szCs w:val="22"/>
        </w:rPr>
        <w:t>Experiments to distinguish molecular and interfacial contributions to magnesium transfer</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1928"/>
        <w:gridCol w:w="2835"/>
        <w:gridCol w:w="3628"/>
        <w:gridCol w:w="1474"/>
      </w:tblGrid>
      <w:tr w14:paraId="0F2E6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tblHeader/>
          <w:jc w:val="center"/>
        </w:trPr>
        <w:tc>
          <w:tcPr>
            <w:tcW w:w="1928" w:type="dxa"/>
            <w:tcBorders>
              <w:top w:val="single" w:color="000000" w:sz="10" w:space="0"/>
              <w:bottom w:val="single" w:color="000000" w:sz="4" w:space="0"/>
            </w:tcBorders>
            <w:vAlign w:val="center"/>
          </w:tcPr>
          <w:p w14:paraId="14792B49">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Possible contribution</w:t>
            </w:r>
          </w:p>
        </w:tc>
        <w:tc>
          <w:tcPr>
            <w:tcW w:w="2835" w:type="dxa"/>
            <w:tcBorders>
              <w:top w:val="single" w:color="000000" w:sz="10" w:space="0"/>
              <w:bottom w:val="single" w:color="000000" w:sz="4" w:space="0"/>
            </w:tcBorders>
            <w:vAlign w:val="center"/>
          </w:tcPr>
          <w:p w14:paraId="280ECF6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Matched perturbation</w:t>
            </w:r>
          </w:p>
        </w:tc>
        <w:tc>
          <w:tcPr>
            <w:tcW w:w="3628" w:type="dxa"/>
            <w:tcBorders>
              <w:top w:val="single" w:color="000000" w:sz="10" w:space="0"/>
              <w:bottom w:val="single" w:color="000000" w:sz="4" w:space="0"/>
            </w:tcBorders>
            <w:vAlign w:val="center"/>
          </w:tcPr>
          <w:p w14:paraId="10CCDED6">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Evidence supporting or limiting the interpretation</w:t>
            </w:r>
          </w:p>
        </w:tc>
        <w:tc>
          <w:tcPr>
            <w:tcW w:w="1474" w:type="dxa"/>
            <w:tcBorders>
              <w:top w:val="single" w:color="000000" w:sz="10" w:space="0"/>
              <w:bottom w:val="single" w:color="000000" w:sz="4" w:space="0"/>
            </w:tcBorders>
            <w:vAlign w:val="center"/>
          </w:tcPr>
          <w:p w14:paraId="406E24CB">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Relevant studies</w:t>
            </w:r>
          </w:p>
        </w:tc>
      </w:tr>
      <w:tr w14:paraId="58702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1119E639">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Precursor availability</w:t>
            </w:r>
          </w:p>
        </w:tc>
        <w:tc>
          <w:tcPr>
            <w:tcW w:w="2835" w:type="dxa"/>
            <w:vAlign w:val="center"/>
          </w:tcPr>
          <w:p w14:paraId="5228E422">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Vary association while matching transport and surface conditions.</w:t>
            </w:r>
          </w:p>
        </w:tc>
        <w:tc>
          <w:tcPr>
            <w:tcW w:w="3628" w:type="dxa"/>
            <w:vAlign w:val="center"/>
          </w:tcPr>
          <w:p w14:paraId="1476D61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Raman/NMR: carrier population tracks Mg current at unchanged exchange; transport or film changes prevent a unique assignment.</w:t>
            </w:r>
          </w:p>
        </w:tc>
        <w:tc>
          <w:tcPr>
            <w:tcW w:w="1474" w:type="dxa"/>
            <w:vAlign w:val="center"/>
          </w:tcPr>
          <w:p w14:paraId="0ECA5888">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"https://doi.org/10.1039/d3ee02861e"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24</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"https://doi.org/10.1002/aenm.202202602"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82</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7364B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3D39A8BA">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Ligand departure or rearrangement</w:t>
            </w:r>
          </w:p>
        </w:tc>
        <w:tc>
          <w:tcPr>
            <w:tcW w:w="2835" w:type="dxa"/>
            <w:vAlign w:val="center"/>
          </w:tcPr>
          <w:p w14:paraId="15765ABF">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Vary donor/anion identity on surfaces with matched preconditioning.</w:t>
            </w:r>
          </w:p>
        </w:tc>
        <w:tc>
          <w:tcPr>
            <w:tcW w:w="3628" w:type="dxa"/>
            <w:vAlign w:val="center"/>
          </w:tcPr>
          <w:p w14:paraId="47F98FD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Exchange NMR or validated MD: exchange tracks Mg current; faster exchange without higher current suggests another limiting step.</w:t>
            </w:r>
          </w:p>
        </w:tc>
        <w:tc>
          <w:tcPr>
            <w:tcW w:w="1474" w:type="dxa"/>
            <w:vAlign w:val="center"/>
          </w:tcPr>
          <w:p w14:paraId="2DBABAA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"https://doi.org/10.1002/anie.2598559"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25</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"https://doi.org/10.1002/anie.202513213"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39</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"https://doi.org/10.1126/science.abg3954"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76</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5E235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3536040D">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Suppression of unwanted reduction</w:t>
            </w:r>
          </w:p>
        </w:tc>
        <w:tc>
          <w:tcPr>
            <w:tcW w:w="2835" w:type="dxa"/>
            <w:vAlign w:val="center"/>
          </w:tcPr>
          <w:p w14:paraId="75954500">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Measure Mg current, gas evolution and soluble/film products.</w:t>
            </w:r>
          </w:p>
        </w:tc>
        <w:tc>
          <w:tcPr>
            <w:tcW w:w="3628" w:type="dxa"/>
            <w:vAlign w:val="center"/>
          </w:tcPr>
          <w:p w14:paraId="28A74F88">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Less H₂ or decomposition at matched Mg deposition and exchange supports selectivity; shell structure alone is insufficient.</w:t>
            </w:r>
          </w:p>
        </w:tc>
        <w:tc>
          <w:tcPr>
            <w:tcW w:w="1474" w:type="dxa"/>
            <w:vAlign w:val="center"/>
          </w:tcPr>
          <w:p w14:paraId="3BF87D76">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"https://doi.org/10.1021/jacs.9b12474"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31</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"https://doi.org/10.1002/aenm.202301544"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4810F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4688B8D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Repeated molecular assistance</w:t>
            </w:r>
          </w:p>
        </w:tc>
        <w:tc>
          <w:tcPr>
            <w:tcW w:w="2835" w:type="dxa"/>
            <w:vAlign w:val="center"/>
          </w:tcPr>
          <w:p w14:paraId="652FC9FE">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Quantify the active anion and its products as Mg throughput increases.</w:t>
            </w:r>
          </w:p>
        </w:tc>
        <w:tc>
          <w:tcPr>
            <w:tcW w:w="3628" w:type="dxa"/>
            <w:vAlign w:val="center"/>
          </w:tcPr>
          <w:p w14:paraId="07A875EC">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Anion recovery with a repeated kinetic benefit supports reuse; anion survival alone does not establish turnover.</w:t>
            </w:r>
          </w:p>
        </w:tc>
        <w:tc>
          <w:tcPr>
            <w:tcW w:w="1474" w:type="dxa"/>
            <w:vAlign w:val="center"/>
          </w:tcPr>
          <w:p w14:paraId="03F3B43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"https://doi.org/10.1002/adma.202203783"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"https://doi.org/10.1002/anie.6066611"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81</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2BC96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5EDC686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Persistent intermediate</w:t>
            </w:r>
          </w:p>
        </w:tc>
        <w:tc>
          <w:tcPr>
            <w:tcW w:w="2835" w:type="dxa"/>
            <w:vAlign w:val="center"/>
          </w:tcPr>
          <w:p w14:paraId="262672E8">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Determine residence time and the free-energy barrier to escape.</w:t>
            </w:r>
          </w:p>
        </w:tc>
        <w:tc>
          <w:tcPr>
            <w:tcW w:w="3628" w:type="dxa"/>
            <w:vAlign w:val="center"/>
          </w:tcPr>
          <w:p w14:paraId="055C679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Long residence plus a high local escape barrier supports trapping; low cluster energy alone does not.</w:t>
            </w:r>
          </w:p>
        </w:tc>
        <w:tc>
          <w:tcPr>
            <w:tcW w:w="1474" w:type="dxa"/>
            <w:vAlign w:val="center"/>
          </w:tcPr>
          <w:p w14:paraId="52A1D607">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"https://doi.org/10.1021/jacs.5b01004"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23</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"https://doi.org/10.1002/batt.202000168"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32</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13CB0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7E9825DB">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Retained surface benefit</w:t>
            </w:r>
          </w:p>
        </w:tc>
        <w:tc>
          <w:tcPr>
            <w:tcW w:w="2835" w:type="dxa"/>
            <w:vAlign w:val="center"/>
          </w:tcPr>
          <w:p w14:paraId="287F7C8B">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Replace the electrolyte; check film integrity and impedance.</w:t>
            </w:r>
          </w:p>
        </w:tc>
        <w:tc>
          <w:tcPr>
            <w:tcW w:w="3628" w:type="dxa"/>
            <w:vAlign w:val="center"/>
          </w:tcPr>
          <w:p w14:paraId="601A476A">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Retained activity with an intact film supports a surface contribution; film dissolution makes activity loss inconclusive.</w:t>
            </w:r>
          </w:p>
        </w:tc>
        <w:tc>
          <w:tcPr>
            <w:tcW w:w="1474" w:type="dxa"/>
            <w:vAlign w:val="center"/>
          </w:tcPr>
          <w:p w14:paraId="019FD39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"https://doi.org/10.1002/adma.202203783"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"https://doi.org/10.1021/acscentsci.6c01164"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88</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58982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tcBorders>
              <w:bottom w:val="single" w:color="000000" w:sz="10" w:space="0"/>
            </w:tcBorders>
            <w:vAlign w:val="center"/>
          </w:tcPr>
          <w:p w14:paraId="6B3A675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Coupled molecular and film effects</w:t>
            </w:r>
          </w:p>
        </w:tc>
        <w:tc>
          <w:tcPr>
            <w:tcW w:w="2835" w:type="dxa"/>
            <w:tcBorders>
              <w:bottom w:val="single" w:color="000000" w:sz="10" w:space="0"/>
            </w:tcBorders>
            <w:vAlign w:val="center"/>
          </w:tcPr>
          <w:p w14:paraId="7A106FEE">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Compare initial electrolyte and retained-film effects; quantify products.</w:t>
            </w:r>
          </w:p>
        </w:tc>
        <w:tc>
          <w:tcPr>
            <w:tcW w:w="3628" w:type="dxa"/>
            <w:tcBorders>
              <w:bottom w:val="single" w:color="000000" w:sz="10" w:space="0"/>
            </w:tcBorders>
            <w:vAlign w:val="center"/>
          </w:tcPr>
          <w:p w14:paraId="3AA75D4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A benefit that depends on both the modified electrolyte and retained film supports coupling; CE alone cannot separate their contributions.</w:t>
            </w:r>
          </w:p>
        </w:tc>
        <w:tc>
          <w:tcPr>
            <w:tcW w:w="1474" w:type="dxa"/>
            <w:tcBorders>
              <w:bottom w:val="single" w:color="000000" w:sz="10" w:space="0"/>
            </w:tcBorders>
            <w:vAlign w:val="center"/>
          </w:tcPr>
          <w:p w14:paraId="325703B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"https://doi.org/10.1021/acscentsci.6c01164"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88</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"https://doi.org/10.1021/acs.jpclett.6c02608"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90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bl>
    <w:p w14:paraId="58895B9A">
      <w:pPr>
        <w:pStyle w:val="15"/>
        <w:ind w:firstLine="480" w:firstLineChars="200"/>
        <w:jc w:val="both"/>
        <w:rPr>
          <w:rFonts w:hint="default" w:ascii="Times New Roman" w:hAnsi="Times New Roman" w:eastAsia="Segoe UI" w:cs="Times New Roman"/>
          <w:b w:val="0"/>
          <w:bCs w:val="0"/>
          <w:color w:val="000000" w:themeColor="text1"/>
          <w:kern w:val="2"/>
          <w:sz w:val="24"/>
          <w:szCs w:val="24"/>
          <w:shd w:val="clear" w:color="auto" w:fill="FFFFFF"/>
          <w:lang w:val="en-US" w:eastAsia="zh-CN" w:bidi="ar-SA"/>
          <w14:textFill>
            <w14:solidFill>
              <w14:schemeClr w14:val="tx1"/>
            </w14:solidFill>
          </w14:textFill>
        </w:rPr>
      </w:pPr>
      <w:r>
        <w:rPr>
          <w:rFonts w:hint="default" w:ascii="Times New Roman" w:hAnsi="Times New Roman" w:eastAsia="Segoe UI" w:cs="Times New Roman"/>
          <w:b w:val="0"/>
          <w:bCs w:val="0"/>
          <w:color w:val="000000" w:themeColor="text1"/>
          <w:kern w:val="2"/>
          <w:sz w:val="24"/>
          <w:szCs w:val="24"/>
          <w:shd w:val="clear" w:color="auto" w:fill="FFFFFF"/>
          <w:lang w:val="en-US" w:eastAsia="zh-CN" w:bidi="ar-SA"/>
          <w14:textFill>
            <w14:solidFill>
              <w14:schemeClr w14:val="tx1"/>
            </w14:solidFill>
          </w14:textFill>
        </w:rPr>
        <w:t>The rows describe possible contributions and proposed tests, which may overlap in one electrolyte. The cited studies motivate these comparisons but do not report every listed measurement or establish anion regeneration. Exchange NMR requires a suitable time scale and resolved environments; complementary methods may be needed for unambiguous assignments. The outer-shell example involves a neutral additive.</w:t>
      </w:r>
    </w:p>
    <w:p w14:paraId="7A6F2577">
      <w:pPr>
        <w:rPr>
          <w:rFonts w:hint="default" w:ascii="Times New Roman" w:hAnsi="Times New Roman" w:cs="Times New Roman"/>
        </w:rPr>
        <w:sectPr>
          <w:headerReference r:id="rId27" w:type="default"/>
          <w:footerReference r:id="rId28" w:type="default"/>
          <w:type w:val="continuous"/>
          <w:pgSz w:w="11906" w:h="16838"/>
          <w:pgMar w:top="1077" w:right="1020" w:bottom="1020" w:left="1020" w:header="567" w:footer="510" w:gutter="0"/>
          <w:pgNumType w:fmt="decimal"/>
          <w:cols w:space="360" w:num="1"/>
          <w:docGrid w:linePitch="360" w:charSpace="0"/>
        </w:sectPr>
      </w:pPr>
    </w:p>
    <w:p w14:paraId="5C0A5E95">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 Designing Magnesium–Anion–Solvent Interactions</w:t>
      </w:r>
    </w:p>
    <w:p w14:paraId="65424EBE">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4.1. Coordination that permits ligand release</w:t>
      </w:r>
    </w:p>
    <w:p w14:paraId="42AA0C5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useful Mg electrolyte must stabilise dissolved species without making their next reaction prohibitively slow. Solvent redesign, amine cosolvents and phosphate-containing formulations illustrate how coordination affects both desolvation and interfacial chemistry.[76,79,87,103] Depending on the starting environment, either greater or weaker anion coordination can improve Mg reversibility.[24,80] We therefore propose selecting anions for the ligand-release step they can facilitate. The useful interaction may displace a strongly bound solvent, permit a chelate to open or stabilise a rearranged intermediate. Its benefit is lost if the resulting complex remains trapped or decomposes before Mg can be deposited.</w:t>
      </w:r>
    </w:p>
    <w:p w14:paraId="69DE8ED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Denticity and steric structure help determine which release sequence is accessible. A chelate can open through successive loss of donor contacts, while mixed solvents provide alternative coordination environments during exchange. Competition between ether donors and steric effects thus offer design variables beyond donor affinity alone.[52] Fluoride boronic esters and approaches that jointly modify solvation and the interface provide other routes.[104–106] These strategies may achieve similar cycling performance through different elementary steps. A successful formulation should therefore be associated with a proposed release sequence, rather than treated as evidence for one optimum coordination number.</w:t>
      </w:r>
    </w:p>
    <w:p w14:paraId="3B5A4C3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surrounding liquid offers additional control. A cosolvent can change anion availability or Mg–solvent binding without becoming a major first-shell ligand. In amine-containing electrolytes, coordination and trace ionisation generate electrochemically active species,[84] while activation studies connect changes in those species with hydride-containing interfaces.[91] A single stable cluster cannot represent this evolving chemistry. Following speciation, exchange and products across the treatment reveals whether the benefit comes from direct anion binding, interactions outside the shell or changes in surface activation.</w:t>
      </w:r>
    </w:p>
    <w:p w14:paraId="196DB34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first design experiment should test the proposed coordination change against a deliberately chosen control. Association and transport measurements establish what changes in solution; exchange and initial Mg deposition on comparable surfaces test the kinetic consequence. Changing donor composition or potential is especially informative if the mechanism predicts that the ordering of reaction rates will reverse. An intermediate composition may give the highest CE because several processes compete. Predicting how that optimum moves with conditions provides stronger evidence than finding it in a single series.</w:t>
      </w:r>
    </w:p>
    <w:p w14:paraId="655A635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Mixed salts make such perturbations possible. Magnesium triflate formulations and tetrabutylammonium triflate additives have enabled reversible cycling in otherwise poorly reversible liquids.[107–108] A non-Mg salt can vary anion concentration while keeping total Mg fixed. The added counter-cation and the accompanying change in ionic strength remain part of the experiment, however, and need controls. Speciation analysis should include all added ions. In Li-containing mixtures, Li may also participate at the cathode, so an increase in capacity cannot automatically be attributed to improved Mg desolvation.</w:t>
      </w:r>
    </w:p>
    <w:p w14:paraId="0E2595D9">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4.2. Desolvation at an evolving Mg surface</w:t>
      </w:r>
    </w:p>
    <w:p w14:paraId="5F7C60B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Molecular design has to be reconciled with the surface on which deposition occurs. Adsorption, suppressed solvent reduction, removal of passivating compounds and protective interphases can each help sustain Mg plating/stripping.[20,109–111] Artificial interfaces and additives provide further ways to control that surface.[112–113] A perfluorinated pinacolatoaluminate salt, for example, uses anion–solvent coordination to promote a beneficial interphase.[114] The result supports an interphase contribution without establishing faster release of Mg-bound ligands. Any claim for solution-assisted desolvation in such a formulation must account for the surface changes produced by the same chemistry.</w:t>
      </w:r>
    </w:p>
    <w:p w14:paraId="5563EAC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Conditioning makes this separation particularly important. Controlled H₂O/Cl⁻ experiments demonstrate the effect of surface passivation on Mg reversibility.[115] Operando EQCM-D reveals formation and removal of contaminant-associated layers during conditioning in the borate electrolytes investigated. In the TFSI systems examined in the same study, chloride accelerates dissolution of passivating layers even without an applied current.[102] A water-scavenging additive can remove the need for conditioning,[116] whereas triphenolate–borohydride salts provide a distinct mixed-salt route to reversible cycling.[117] Comparing the liquid and activation products before and after treatment helps identify which species, rather than which nominal starting composition, supports deposition.</w:t>
      </w:r>
    </w:p>
    <w:p w14:paraId="066B56E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Interphase composition must also be connected to function. Borohydride-derived, gradient and hybrid layers provide different routes to sustained Mg transfer.[20,118–119] A multifunctional diamine combines an in situ cross-linked gel with an Mg–N-containing interphase for elevated-temperature operation.[120] Such layers are heterogeneous. Mg may cross through defects, phase boundaries, other components or exposed regions of metal. Identifying a hydride or nitride therefore does not establish transport through its bulk phase. Phase analysis becomes more informative when accompanied by resistance changes and Mg recovery during operation.</w:t>
      </w:r>
    </w:p>
    <w:p w14:paraId="716C68D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Deposit growth introduces a further contribution. Surface kinetic control, scaffolds, exposed facets, horizontal platelets and orientation-selective additives change nucleation and current distribution.[121–125] Diffusion-dependent growth and dendrite formation in glyme electrolytes also demonstrate that Mg is not intrinsically immune to nonuniform deposition.[126–127] A smoother deposit may improve cycling without any change in ligand-release kinetics. To connect morphology to desolvation, comparisons should retain the same capacity, transport conditions and substrate preparation, and the proposed coordination mechanism should explain the growth response under those conditions.</w:t>
      </w:r>
    </w:p>
    <w:p w14:paraId="7233405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Impurities can alter both the liquid and the surface, making them part of the mechanism rather than a minor experimental detail. The water tolerance reported for an AlCl₃/MgCl₂/Mg(TFSI)₂ formulation is specific to that system.[128] A solvent change may alter impurity uptake or conditioning chemistry as well as Mg binding. Water content with a stated ppm basis, handling conditions and halide controls are therefore needed to interpret the comparison. Testing dry and deliberately dosed liquids on fresh and conditioned Mg can reveal whether spectra, gas evolution and current follow the intended solvation change or an impurity-induced surface reaction.</w:t>
      </w:r>
    </w:p>
    <w:p w14:paraId="5444E68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 suggest a paired comparison of the original and modified liquids on fresh Mg and on Mg prepared by a common preconditioning protocol. The initial surface should be characterised, with substrate preparation, capacity and temperature matched. Mg deposition rates can be compared at the same potential, or overpotentials at the same current, after accounting for transport and ohmic losses. Replacing the liquid on a conditioned electrode then tests whether the benefit remains with the surface. Film integrity must be checked: loss of activity after film dissolution cannot distinguish a solution effect from destruction of protection. Section 5 extends this comparison to a composition series with replicate measurements.</w:t>
      </w:r>
    </w:p>
    <w:p w14:paraId="5B57D6E5">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4.3. Coordination and cathode compatibility</w:t>
      </w:r>
    </w:p>
    <w:p w14:paraId="322FAE6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cathode places a second set of requirements on the same electrolyte. A coordination change that facilitates Mg deposition may also promote oxidation, current-collector corrosion or dissolution of active material. Boron-based, non-nucleophilic and fluorinated dialkoxide electrolytes address different parts of this problem,[129–133] as does high-voltage phenolic electrolyte design.[134] At the cathode, desolvation and charge transfer can precede ion diffusion, a phase transition or a conversion reaction. Anion selection therefore has to account for the host chemistry and the associated material losses as well as the Mg-metal interface.</w:t>
      </w:r>
    </w:p>
    <w:p w14:paraId="0FA6143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CuSe illustrates a direct link between solvation and cathode response.[135] Adding OTf⁻ changes the assigned Mg environment from [Mg(DME)₃]²⁺ to the anion-containing average composition [Mg(DME)₂.₅OTf]⁺. The authors associate this change with easier desolvation and faster cathode charge transfer, and report a capacity increase from 228 to 357 mAh g⁻¹ at 0.1 A g⁻¹. These values compare cathode performance within that study, not Mg deposition efficiency. The anion enters the solvation shell; the assignment does not imply OTf⁻ insertion into CuSe, and the fractional ligand number represents an average environment. Phase-resolved measurements are needed to determine whether improved interfacial transfer also changes the conversion reaction.</w:t>
      </w:r>
    </w:p>
    <w:p w14:paraId="1FDEE88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Organic cathodes raise a related question about the species involved in storage. In a Mg-FPB/quinone battery, ATR-IR supports carbonyl reduction and Mg²⁺ coordination, while incompletely dissociated MgFPB⁺ ion pairs are also detected.[136] Association can thus affect the available Mg species as well as the energy needed to remove ligands. Polymer-based storage and enolisation reactions provide chemically distinct examples.[137–138] Measurements at comparable states of charge can identify which species are stored and where the host reaction becomes limiting. Capacity alone cannot separate improved interfacial transfer from a different storage reaction or participation of another ion.</w:t>
      </w:r>
    </w:p>
    <w:p w14:paraId="6B3619FF">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Sulfur cathodes expose the trade-off between reactive solution species and material retention. Electrolyte compatibility was central to an early Mg–S demonstration.[139] An MOEA-containing Mg(OTf)₂–MgCl₂/DME electrolyte has more recently been tested with Mo₆S₈, CuS and S–CNT cathodes, extending donor modification across several sulfur-containing chemistries.[89] Solvation that aids conversion through soluble intermediates may also increase dissolution or shuttling to Mg. The design task is to preserve the useful reaction while limiting those losses. Quantifying dissolved cathode species separately from electrolyte decomposition products is necessary to establish that balance.</w:t>
      </w:r>
    </w:p>
    <w:p w14:paraId="566FE8D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Cathode comparisons should therefore match loading, capacity and state of charge while following phase evolution, interfacial response and dissolved products. Faster kinetics with similar phase evolution support an interfacial contribution. A change in dissolution or the participation of an added cation offers a different explanation; mixed-metal electrolytes require elemental and charge balances to identify the stored ions. Finally, testing Mg deposition after cathode exposure reveals whether the molecular benefit survives chemical cross-talk between the electrodes.</w:t>
      </w:r>
    </w:p>
    <w:p w14:paraId="6D5A09A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Oxidation onset is useful for initial screening, but does not measure all decomposition at the cathode interface.[140–141] Electrode area, scan rate and the chosen current threshold affect the reported value. Voltage holds at the intended porous cathode are better suited to following sustained parasitic reactions and resistance growth. Full-cell comparisons also need Mg excess, electrolyte volume, cathode loading and capacity limits. Neither cathode-specific capacity nor long symmetric-cell cycling determines whole-cell energy or material consumption.[6,25] A useful coordination strategy should preserve its advantage after conditioning and cathode exposure, with losses at both electrodes measured.</w:t>
      </w:r>
    </w:p>
    <w:p w14:paraId="1EB607B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sectPr>
          <w:headerReference r:id="rId29" w:type="default"/>
          <w:footerReference r:id="rId30" w:type="default"/>
          <w:type w:val="continuous"/>
          <w:pgSz w:w="11906" w:h="16838"/>
          <w:pgMar w:top="1077" w:right="1020" w:bottom="1020" w:left="1020" w:header="567" w:footer="510" w:gutter="0"/>
          <w:pgNumType w:fmt="decimal"/>
          <w:cols w:space="425" w:num="1"/>
          <w:docGrid w:linePitch="360" w:charSpace="0"/>
        </w:sectPr>
      </w:pPr>
    </w:p>
    <w:p w14:paraId="39F5D9B1">
      <w:pPr>
        <w:pStyle w:val="4"/>
        <w:rPr>
          <w:rFonts w:hint="default" w:ascii="Times New Roman" w:hAnsi="Times New Roman" w:eastAsia="宋体" w:cs="Times New Roman"/>
          <w:b/>
          <w:bCs/>
          <w:color w:val="000000"/>
          <w:kern w:val="2"/>
          <w:sz w:val="24"/>
          <w:szCs w:val="24"/>
          <w:lang w:val="en-US" w:eastAsia="zh-CN" w:bidi="ar-SA"/>
        </w:rPr>
      </w:pPr>
    </w:p>
    <w:p w14:paraId="79C4C962">
      <w:pPr>
        <w:pStyle w:val="4"/>
        <w:rPr>
          <w:rFonts w:hint="default" w:ascii="Times New Roman" w:hAnsi="Times New Roman" w:eastAsia="宋体" w:cs="Times New Roman"/>
          <w:b/>
          <w:bCs/>
          <w:color w:val="000000"/>
          <w:kern w:val="2"/>
          <w:sz w:val="24"/>
          <w:szCs w:val="24"/>
          <w:lang w:val="en-US" w:eastAsia="zh-CN" w:bidi="ar-SA"/>
        </w:rPr>
      </w:pPr>
    </w:p>
    <w:p w14:paraId="3B41354B">
      <w:pPr>
        <w:pStyle w:val="4"/>
        <w:rPr>
          <w:rFonts w:hint="default" w:ascii="Times New Roman" w:hAnsi="Times New Roman" w:eastAsia="宋体" w:cs="Times New Roman"/>
          <w:b/>
          <w:bCs/>
          <w:color w:val="000000"/>
          <w:kern w:val="2"/>
          <w:sz w:val="24"/>
          <w:szCs w:val="24"/>
          <w:lang w:val="en-US" w:eastAsia="zh-CN" w:bidi="ar-SA"/>
        </w:rPr>
      </w:pPr>
    </w:p>
    <w:p w14:paraId="006C2142">
      <w:pPr>
        <w:pStyle w:val="4"/>
        <w:rPr>
          <w:rFonts w:hint="default" w:ascii="Times New Roman" w:hAnsi="Times New Roman" w:eastAsia="宋体" w:cs="Times New Roman"/>
          <w:b/>
          <w:bCs/>
          <w:color w:val="000000"/>
          <w:kern w:val="2"/>
          <w:sz w:val="24"/>
          <w:szCs w:val="24"/>
          <w:lang w:val="en-US" w:eastAsia="zh-CN" w:bidi="ar-SA"/>
        </w:rPr>
      </w:pPr>
    </w:p>
    <w:p w14:paraId="442DA430">
      <w:pPr>
        <w:pStyle w:val="4"/>
        <w:rPr>
          <w:rFonts w:hint="default" w:ascii="Times New Roman" w:hAnsi="Times New Roman" w:eastAsia="宋体" w:cs="Times New Roman"/>
          <w:b/>
          <w:bCs/>
          <w:color w:val="000000"/>
          <w:kern w:val="2"/>
          <w:sz w:val="24"/>
          <w:szCs w:val="24"/>
          <w:lang w:val="en-US" w:eastAsia="zh-CN" w:bidi="ar-SA"/>
        </w:rPr>
      </w:pPr>
    </w:p>
    <w:p w14:paraId="608FF06C">
      <w:pPr>
        <w:pStyle w:val="4"/>
        <w:rPr>
          <w:rFonts w:hint="default" w:ascii="Times New Roman" w:hAnsi="Times New Roman" w:eastAsia="宋体" w:cs="Times New Roman"/>
          <w:b/>
          <w:bCs/>
          <w:color w:val="000000"/>
          <w:kern w:val="2"/>
          <w:sz w:val="24"/>
          <w:szCs w:val="24"/>
          <w:lang w:val="en-US" w:eastAsia="zh-CN" w:bidi="ar-SA"/>
        </w:rPr>
      </w:pPr>
    </w:p>
    <w:p w14:paraId="452088F8">
      <w:pPr>
        <w:pStyle w:val="4"/>
        <w:rPr>
          <w:rFonts w:hint="default" w:ascii="Times New Roman" w:hAnsi="Times New Roman" w:eastAsia="宋体" w:cs="Times New Roman"/>
          <w:b/>
          <w:bCs/>
          <w:color w:val="000000"/>
          <w:kern w:val="2"/>
          <w:sz w:val="24"/>
          <w:szCs w:val="24"/>
          <w:lang w:val="en-US" w:eastAsia="zh-CN" w:bidi="ar-SA"/>
        </w:rPr>
      </w:pPr>
    </w:p>
    <w:p w14:paraId="73C8C7AE">
      <w:pPr>
        <w:rPr>
          <w:rFonts w:hint="default" w:ascii="Times New Roman" w:hAnsi="Times New Roman" w:eastAsia="宋体" w:cs="Times New Roman"/>
          <w:b/>
          <w:bCs/>
          <w:color w:val="000000"/>
          <w:kern w:val="2"/>
          <w:sz w:val="24"/>
          <w:szCs w:val="24"/>
          <w:lang w:val="en-US" w:eastAsia="zh-CN" w:bidi="ar-SA"/>
        </w:rPr>
      </w:pPr>
    </w:p>
    <w:p w14:paraId="6C3A849C">
      <w:pPr>
        <w:rPr>
          <w:rFonts w:hint="default" w:ascii="Times New Roman" w:hAnsi="Times New Roman" w:eastAsia="宋体" w:cs="Times New Roman"/>
          <w:b/>
          <w:bCs/>
          <w:color w:val="000000"/>
          <w:kern w:val="2"/>
          <w:sz w:val="24"/>
          <w:szCs w:val="24"/>
          <w:lang w:val="en-US" w:eastAsia="zh-CN" w:bidi="ar-SA"/>
        </w:rPr>
      </w:pPr>
    </w:p>
    <w:p w14:paraId="21676253">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 Testing and Predicting Electrolyte Behaviour</w:t>
      </w:r>
    </w:p>
    <w:p w14:paraId="4F28548C">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84570" cy="3042285"/>
            <wp:effectExtent l="0" t="0" r="11430" b="5715"/>
            <wp:docPr id="4" name="Picture 4" descr="Figure 4.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4. Original conceptual schematic for magnesium electrolyte design."/>
                    <pic:cNvPicPr>
                      <a:picLocks noChangeAspect="1"/>
                    </pic:cNvPicPr>
                  </pic:nvPicPr>
                  <pic:blipFill>
                    <a:blip r:embed="rId39"/>
                    <a:stretch>
                      <a:fillRect/>
                    </a:stretch>
                  </pic:blipFill>
                  <pic:spPr>
                    <a:xfrm>
                      <a:off x="0" y="0"/>
                      <a:ext cx="6084570" cy="3042285"/>
                    </a:xfrm>
                    <a:prstGeom prst="rect">
                      <a:avLst/>
                    </a:prstGeom>
                  </pic:spPr>
                </pic:pic>
              </a:graphicData>
            </a:graphic>
          </wp:inline>
        </w:drawing>
      </w:r>
    </w:p>
    <w:p w14:paraId="4FF52A3D">
      <w:pPr>
        <w:pStyle w:val="15"/>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pPr>
      <w:r>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t>Figure 4. Connecting a molecular hypothesis to interfacial tests and cell operation. a) An illustrative ligand-release step, a controlled composition series and schematic free-energy profiles define the molecular question. Neutral ligands and the coordinated anion are conserved in the depicted release step; the remaining motifs are illustrative. b) Comparing fresh and conditioned Mg distinguishes surface-history effects. Replacing the electrolyte on a conditioned electrode tests whether the benefit remains with the film, whose integrity must be verified. Mg deposition and side products are measured separately. c) The same electrolyte is evaluated at both electrodes, after cathode exposure and with limited Mg and electrolyte inventories. Repeating the comparison in another chemical family tests the applicability of the proposed mechanism.</w:t>
      </w:r>
    </w:p>
    <w:p w14:paraId="204B32BF">
      <w:pPr>
        <w:rPr>
          <w:rFonts w:hint="default" w:ascii="Times New Roman" w:hAnsi="Times New Roman" w:cs="Times New Roman"/>
        </w:rPr>
        <w:sectPr>
          <w:headerReference r:id="rId31" w:type="default"/>
          <w:footerReference r:id="rId32" w:type="default"/>
          <w:type w:val="continuous"/>
          <w:pgSz w:w="11906" w:h="16838"/>
          <w:pgMar w:top="1077" w:right="1020" w:bottom="1020" w:left="1020" w:header="567" w:footer="510" w:gutter="0"/>
          <w:pgNumType w:fmt="decimal"/>
          <w:cols w:space="360" w:num="1"/>
          <w:docGrid w:linePitch="360" w:charSpace="0"/>
        </w:sectPr>
      </w:pPr>
    </w:p>
    <w:p w14:paraId="5CA32311">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5.1. A controlled electrolyte series</w:t>
      </w:r>
    </w:p>
    <w:p w14:paraId="0461CE1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Prediction should begin with the response that matters chemically. A useful first target is the relative Mg deposition rate across a controlled series, with CE and side-product yield analysed separately. Contact-ion-pair fractions, ligand residence times, denticity, complex charge and reaction barriers can then be evaluated as explanatory variables. Complex charge means the formal integer charge of the solvated species, not a calculated partial charge on Mg. Studies of dynamic solvation and competing interactions provide a basis for these descriptors.[25,38] The question is whether they explain a change in Mg reaction rate after conductivity and conditioning effects have been accounted for.</w:t>
      </w:r>
    </w:p>
    <w:p w14:paraId="0813543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dataset suitable for this task needs more than formulation and CE. Composition, temperature, measured water content, handling, substrate, conditioning and reagent batch define the comparison. Spectral assignments need uncertainty estimates, and exchange times need explicit definitions. Electrochemical records should specify current, deposited capacity, stripping limit, CE statistic and measurement interval, with fresh and conditioned electrodes distinguished. Table 1 identifies useful chemical contrasts, but its heterogeneous protocols preclude direct use as a common training set. An unspecified CE should not be treated as an average or final-cycle value, and full-cell efficiency cannot substitute for Mg plating/stripping efficiency.</w:t>
      </w:r>
    </w:p>
    <w:p w14:paraId="2E33C136">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Model validation should test the intended use. A random split within one concentration series or salt family mainly measures interpolation and can allow closely related observations into both training and test sets. Withholding entire chemical families or reagent batches is a stronger test of broader prediction. Preprocessing must use training data only. Composition-only and conductivity-based models provide simple baselines against which to judge molecular descriptors. Uncertainty becomes particularly important outside the training domain, where published successes may poorly represent the unsuccessful formulations that were never reported.</w:t>
      </w:r>
    </w:p>
    <w:p w14:paraId="1AEDE08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As a starting experiment, we propose three donor ratios and three anion concentrations within a verified single-phase region. A compatible non-Mg salt, such as a tetrabutylammonium salt where appropriate,[108] could vary anion concentration at fixed total Mg. Counter-cation and ionic-strength effects would need controls; Mg salt mixtures provide an alternative if composition and charge balance are tracked. Testing these nine liquids on fresh Mg and on Mg prepared by the same preconditioning protocol would separate composition trends from surface history. Replicates, together with independent conductivity and viscosity measurements, would establish which rate differences are meaningful. This is a proposed experiment, not a reported dataset.</w:t>
      </w:r>
    </w:p>
    <w:p w14:paraId="24EA1FD8">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5.2. Connecting solution dynamics with electrode reactions</w:t>
      </w:r>
    </w:p>
    <w:p w14:paraId="29ECCA12">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molecular model must represent the processes used to interpret the experiment. In the bulk, this means treating divalent polarisation and ion association adequately and checking coordination and transport against measurements. Machine-learning potentials can extend the accessible time and length scales,[142] including for Mg chloride–amine systems,[143] but remain limited by their training configurations. A reactive model also needs to describe ligand rearrangement, bond cleavage and relevant decomposition reactions. At the electrode, changes in charge and potential require an appropriate electronic treatment. Agreement with bulk diffusion or coordination alone is therefore insufficient validation for an interfacial desolvation model.</w:t>
      </w:r>
    </w:p>
    <w:p w14:paraId="2D826C35">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reaction network can link solvated Mg species to adsorbed precursors, rearranged intermediates, deposited metal and decomposition products.[31,95] Every step must conserve mass and charge. A coordinated anion can approach a negatively polarised electrode as part of a positively charged complex, so the behaviour of a free anion cannot simply be assigned to the complex. The network should specify whether the anion leaves, remains coordinated during rearrangement or reacts. Rapid precursor interconversion gives the limiting expression in Section 2.3; slower exchange or changing coverage requires time-dependent populations. Product distributions and potential dependence then provide tests beyond fitting a cycling efficiency.</w:t>
      </w:r>
    </w:p>
    <w:p w14:paraId="4FBDB78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most informative next experiment is often one for which competing mechanisms predict different outcomes. Changing the donor after conditioning may separate easier ligand release from activation retained in a preformed layer. A model can predict relative exchange and deposition rates, including conditions at which their ordering should reverse. Closed-loop battery optimisation demonstrates the value of selecting informative experiments,[144] although it does not by itself identify a Mg desolvation mechanism. Optimising only the highest predicted CE would overlook this distinction. Failed formulations and failed predictions are useful when they reveal which step the model has missed.</w:t>
      </w:r>
    </w:p>
    <w:p w14:paraId="7921098B">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5.3. Applicability across compositions and cells</w:t>
      </w:r>
    </w:p>
    <w:p w14:paraId="581C7392">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immediate priority is a controlled comparison that resolves reactive-species abundance, ligand release and parasitic chemistry (Figure 4). Speciation, exchange, Mg recovery and product measurements address these contributions when surface history and impurities are controlled. The intended outcome is a chemical relationship that predicts the response to the next composition change. Detailed characterisation of one successful liquid cannot establish that relationship. A focused series can, and it supplies a firmer basis for collecting larger datasets.</w:t>
      </w:r>
    </w:p>
    <w:p w14:paraId="553FFB5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relationship should next be challenged in a different chemical family while retaining the definitions of descriptors and reaction rates. Agreement supports wider applicability; disagreement can identify a new limiting process or a surface state that was not controlled. The same electrolyte must also be tested at both electrodes after conditioning and cathode exposure. Known Mg and electrolyte inventories then reveal whether the molecular benefit can be sustained without excessive material consumption. These tests define where a design principle is useful and where it must be revised.</w:t>
      </w:r>
    </w:p>
    <w:p w14:paraId="40F5CB8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This approach connects Mg electrolytes with solution electron-transfer chemistry, where structural reorganisation influences reactivity beyond the stability of the reactants.[100] Calcium batteries pose related desolvation and metal-transfer questions, but their interphases and ligand-exchange kinetics require independent assessment.[6,145] Aluminium batteries may use chloroaluminate carriers whose charges and reaction stoichiometries differ from those of ether-solvated Al³⁺.[146] The shared question is how coordination changes the path to the electrode product and the reactions competing with it; a binding-energy threshold or optimum shell composition need not carry over between systems.</w:t>
      </w:r>
    </w:p>
    <w:p w14:paraId="2B7F7602">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 Conclusions and Outlook</w:t>
      </w:r>
    </w:p>
    <w:p w14:paraId="7B8438B8">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6.1. Anion coordination beyond SEI formation</w:t>
      </w:r>
    </w:p>
    <w:p w14:paraId="130C5CD5">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Anions in the first solvation shell can assist Mg²⁺ desolvation by changing Mg–solvent interactions and the sequence of ligand rearrangement and release. This molecular function extends beyond supplying decomposition products for an SEI. It also explains why the amount of anion coordination cannot, by itself, define a good electrolyte. Persistent binding can hinder release, whereas weak ion pairing may improve deposition by increasing the supply of reactive Mg species.[24–25,80] The central design question is which step a selected anion makes more accessible. Its stability, release and possible consumption then determine whether that benefit can persist during cycling.</w:t>
      </w:r>
    </w:p>
    <w:p w14:paraId="097BDB03">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6.2. Establishing the molecular contribution</w:t>
      </w:r>
    </w:p>
    <w:p w14:paraId="3406091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next advance requires a direct connection between a controlled coordination change and the kinetics of Mg deposition. Ligand-exchange measurements provide one part of this connection; species populations, surface state and reaction products provide the others. Together, they can distinguish easier desolvation from more available reactants or reduced electrolyte loss. A convincing mechanism should predict the response to a new donor, anion or potential, including conditions under which the benefit disappears. Computation and data-driven methods are most useful when they help select these discriminating tests and are evaluated beyond the compositions used to develop them.</w:t>
      </w:r>
    </w:p>
    <w:p w14:paraId="11A92461">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6.3. Retaining the benefit in a working cell</w:t>
      </w:r>
    </w:p>
    <w:p w14:paraId="60CDB78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For anion-assisted desolvation to improve practical cells, the same electrolyte must remain compatible with both electrodes and sustain operation with limited Mg and electrolyte inventories.[6,147] Cathode reactions, interphase evolution and continuing electrolyte consumption determine whether an initially favourable molecular pathway remains useful. These constraints should guide anion selection from the outset. Future magnesium electrolytes should be designed around desolvation and interfacial reaction pathways whose benefits remain predictable across compositions and operating conditions.</w:t>
      </w:r>
    </w:p>
    <w:p w14:paraId="116E68B9">
      <w:pPr>
        <w:pStyle w:val="3"/>
        <w:rPr>
          <w:rFonts w:hint="default" w:ascii="Times New Roman" w:hAnsi="Times New Roman" w:eastAsia="宋体" w:cs="Times New Roman"/>
          <w:b/>
          <w:bCs/>
          <w:color w:val="000000"/>
          <w:kern w:val="2"/>
          <w:sz w:val="24"/>
          <w:szCs w:val="24"/>
          <w:lang w:val="en-US" w:eastAsia="zh-CN" w:bidi="ar-SA"/>
        </w:rPr>
      </w:pPr>
    </w:p>
    <w:p w14:paraId="05A94379">
      <w:pPr>
        <w:rPr>
          <w:rFonts w:hint="default" w:ascii="Times New Roman" w:hAnsi="Times New Roman" w:eastAsia="宋体" w:cs="Times New Roman"/>
          <w:b/>
          <w:bCs/>
          <w:color w:val="000000"/>
          <w:kern w:val="2"/>
          <w:sz w:val="24"/>
          <w:szCs w:val="24"/>
          <w:lang w:val="en-US" w:eastAsia="zh-CN" w:bidi="ar-SA"/>
        </w:rPr>
      </w:pPr>
    </w:p>
    <w:p w14:paraId="282B6918">
      <w:pPr>
        <w:rPr>
          <w:rFonts w:hint="default" w:ascii="Times New Roman" w:hAnsi="Times New Roman" w:eastAsia="宋体" w:cs="Times New Roman"/>
          <w:b/>
          <w:bCs/>
          <w:color w:val="000000"/>
          <w:kern w:val="2"/>
          <w:sz w:val="24"/>
          <w:szCs w:val="24"/>
          <w:lang w:val="en-US" w:eastAsia="zh-CN" w:bidi="ar-SA"/>
        </w:rPr>
      </w:pPr>
    </w:p>
    <w:p w14:paraId="6618682B">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References</w:t>
      </w:r>
    </w:p>
    <w:p w14:paraId="43D57EC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w:t>
      </w:r>
      <w:r>
        <w:rPr>
          <w:rFonts w:hint="default" w:ascii="Times New Roman" w:hAnsi="Times New Roman"/>
          <w:kern w:val="0"/>
          <w:sz w:val="24"/>
          <w:szCs w:val="24"/>
        </w:rPr>
        <w:tab/>
      </w:r>
      <w:r>
        <w:rPr>
          <w:rFonts w:hint="default" w:ascii="Times New Roman" w:hAnsi="Times New Roman"/>
          <w:kern w:val="0"/>
          <w:sz w:val="24"/>
          <w:szCs w:val="24"/>
        </w:rPr>
        <w:t xml:space="preserve">D. Aurbach, Z. Lu, A. Schechter, Y. Gofer, H. Gizbar, R. Turgeman, Y. Cohen, M. Moshkovich, E. Levi, </w:t>
      </w:r>
      <w:r>
        <w:rPr>
          <w:rFonts w:hint="default" w:ascii="Times New Roman" w:hAnsi="Times New Roman"/>
          <w:i/>
          <w:kern w:val="0"/>
          <w:sz w:val="24"/>
          <w:szCs w:val="24"/>
        </w:rPr>
        <w:t>Nature</w:t>
      </w:r>
      <w:r>
        <w:rPr>
          <w:rFonts w:hint="default" w:ascii="Times New Roman" w:hAnsi="Times New Roman"/>
          <w:kern w:val="0"/>
          <w:sz w:val="24"/>
          <w:szCs w:val="24"/>
        </w:rPr>
        <w:t xml:space="preserve"> </w:t>
      </w:r>
      <w:r>
        <w:rPr>
          <w:rFonts w:hint="default" w:ascii="Times New Roman" w:hAnsi="Times New Roman"/>
          <w:b/>
          <w:kern w:val="0"/>
          <w:sz w:val="24"/>
          <w:szCs w:val="24"/>
        </w:rPr>
        <w:t>2000</w:t>
      </w:r>
      <w:r>
        <w:rPr>
          <w:rFonts w:hint="default" w:ascii="Times New Roman" w:hAnsi="Times New Roman"/>
          <w:kern w:val="0"/>
          <w:sz w:val="24"/>
          <w:szCs w:val="24"/>
        </w:rPr>
        <w:t xml:space="preserve">, </w:t>
      </w:r>
      <w:r>
        <w:rPr>
          <w:rFonts w:hint="default" w:ascii="Times New Roman" w:hAnsi="Times New Roman"/>
          <w:i/>
          <w:kern w:val="0"/>
          <w:sz w:val="24"/>
          <w:szCs w:val="24"/>
        </w:rPr>
        <w:t>407</w:t>
      </w:r>
      <w:r>
        <w:rPr>
          <w:rFonts w:hint="default" w:ascii="Times New Roman" w:hAnsi="Times New Roman"/>
          <w:kern w:val="0"/>
          <w:sz w:val="24"/>
          <w:szCs w:val="24"/>
        </w:rPr>
        <w:t>, 724.</w:t>
      </w:r>
    </w:p>
    <w:p w14:paraId="491EC8D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w:t>
      </w:r>
      <w:r>
        <w:rPr>
          <w:rFonts w:hint="default" w:ascii="Times New Roman" w:hAnsi="Times New Roman"/>
          <w:kern w:val="0"/>
          <w:sz w:val="24"/>
          <w:szCs w:val="24"/>
        </w:rPr>
        <w:tab/>
      </w:r>
      <w:r>
        <w:rPr>
          <w:rFonts w:hint="default" w:ascii="Times New Roman" w:hAnsi="Times New Roman"/>
          <w:kern w:val="0"/>
          <w:sz w:val="24"/>
          <w:szCs w:val="24"/>
        </w:rPr>
        <w:t xml:space="preserve">D. Aurbach, H. Gizbar, A. Schechter, O. Chusid, H. E. Gottlieb, Y. Gofer, I. Goldberg,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2002</w:t>
      </w:r>
      <w:r>
        <w:rPr>
          <w:rFonts w:hint="default" w:ascii="Times New Roman" w:hAnsi="Times New Roman"/>
          <w:kern w:val="0"/>
          <w:sz w:val="24"/>
          <w:szCs w:val="24"/>
        </w:rPr>
        <w:t xml:space="preserve">, </w:t>
      </w:r>
      <w:r>
        <w:rPr>
          <w:rFonts w:hint="default" w:ascii="Times New Roman" w:hAnsi="Times New Roman"/>
          <w:i/>
          <w:kern w:val="0"/>
          <w:sz w:val="24"/>
          <w:szCs w:val="24"/>
        </w:rPr>
        <w:t>149</w:t>
      </w:r>
      <w:r>
        <w:rPr>
          <w:rFonts w:hint="default" w:ascii="Times New Roman" w:hAnsi="Times New Roman"/>
          <w:kern w:val="0"/>
          <w:sz w:val="24"/>
          <w:szCs w:val="24"/>
        </w:rPr>
        <w:t>, A115.</w:t>
      </w:r>
    </w:p>
    <w:p w14:paraId="0368839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w:t>
      </w:r>
      <w:r>
        <w:rPr>
          <w:rFonts w:hint="default" w:ascii="Times New Roman" w:hAnsi="Times New Roman"/>
          <w:kern w:val="0"/>
          <w:sz w:val="24"/>
          <w:szCs w:val="24"/>
        </w:rPr>
        <w:tab/>
      </w:r>
      <w:r>
        <w:rPr>
          <w:rFonts w:hint="default" w:ascii="Times New Roman" w:hAnsi="Times New Roman"/>
          <w:kern w:val="0"/>
          <w:sz w:val="24"/>
          <w:szCs w:val="24"/>
        </w:rPr>
        <w:t xml:space="preserve">T. D. Gregory, R. J. Hoffman, R. C. Winterton,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1990</w:t>
      </w:r>
      <w:r>
        <w:rPr>
          <w:rFonts w:hint="default" w:ascii="Times New Roman" w:hAnsi="Times New Roman"/>
          <w:kern w:val="0"/>
          <w:sz w:val="24"/>
          <w:szCs w:val="24"/>
        </w:rPr>
        <w:t xml:space="preserve">, </w:t>
      </w:r>
      <w:r>
        <w:rPr>
          <w:rFonts w:hint="default" w:ascii="Times New Roman" w:hAnsi="Times New Roman"/>
          <w:i/>
          <w:kern w:val="0"/>
          <w:sz w:val="24"/>
          <w:szCs w:val="24"/>
        </w:rPr>
        <w:t>137</w:t>
      </w:r>
      <w:r>
        <w:rPr>
          <w:rFonts w:hint="default" w:ascii="Times New Roman" w:hAnsi="Times New Roman"/>
          <w:kern w:val="0"/>
          <w:sz w:val="24"/>
          <w:szCs w:val="24"/>
        </w:rPr>
        <w:t>, 775.</w:t>
      </w:r>
    </w:p>
    <w:p w14:paraId="2377055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w:t>
      </w:r>
      <w:r>
        <w:rPr>
          <w:rFonts w:hint="default" w:ascii="Times New Roman" w:hAnsi="Times New Roman"/>
          <w:kern w:val="0"/>
          <w:sz w:val="24"/>
          <w:szCs w:val="24"/>
        </w:rPr>
        <w:tab/>
      </w:r>
      <w:r>
        <w:rPr>
          <w:rFonts w:hint="default" w:ascii="Times New Roman" w:hAnsi="Times New Roman"/>
          <w:kern w:val="0"/>
          <w:sz w:val="24"/>
          <w:szCs w:val="24"/>
        </w:rPr>
        <w:t xml:space="preserve">N. Amir, Y. Vestfrid, O. Chusid, Y. Gofer, D. Aurbach, </w:t>
      </w:r>
      <w:r>
        <w:rPr>
          <w:rFonts w:hint="default" w:ascii="Times New Roman" w:hAnsi="Times New Roman"/>
          <w:i/>
          <w:kern w:val="0"/>
          <w:sz w:val="24"/>
          <w:szCs w:val="24"/>
        </w:rPr>
        <w:t>Journal of Power Sources</w:t>
      </w:r>
      <w:r>
        <w:rPr>
          <w:rFonts w:hint="default" w:ascii="Times New Roman" w:hAnsi="Times New Roman"/>
          <w:kern w:val="0"/>
          <w:sz w:val="24"/>
          <w:szCs w:val="24"/>
        </w:rPr>
        <w:t xml:space="preserve"> </w:t>
      </w:r>
      <w:r>
        <w:rPr>
          <w:rFonts w:hint="default" w:ascii="Times New Roman" w:hAnsi="Times New Roman"/>
          <w:b/>
          <w:kern w:val="0"/>
          <w:sz w:val="24"/>
          <w:szCs w:val="24"/>
        </w:rPr>
        <w:t>2007</w:t>
      </w:r>
      <w:r>
        <w:rPr>
          <w:rFonts w:hint="default" w:ascii="Times New Roman" w:hAnsi="Times New Roman"/>
          <w:kern w:val="0"/>
          <w:sz w:val="24"/>
          <w:szCs w:val="24"/>
        </w:rPr>
        <w:t xml:space="preserve">, </w:t>
      </w:r>
      <w:r>
        <w:rPr>
          <w:rFonts w:hint="default" w:ascii="Times New Roman" w:hAnsi="Times New Roman"/>
          <w:i/>
          <w:kern w:val="0"/>
          <w:sz w:val="24"/>
          <w:szCs w:val="24"/>
        </w:rPr>
        <w:t>174</w:t>
      </w:r>
      <w:r>
        <w:rPr>
          <w:rFonts w:hint="default" w:ascii="Times New Roman" w:hAnsi="Times New Roman"/>
          <w:kern w:val="0"/>
          <w:sz w:val="24"/>
          <w:szCs w:val="24"/>
        </w:rPr>
        <w:t>, 1234.</w:t>
      </w:r>
    </w:p>
    <w:p w14:paraId="3723B02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w:t>
      </w:r>
      <w:r>
        <w:rPr>
          <w:rFonts w:hint="default" w:ascii="Times New Roman" w:hAnsi="Times New Roman"/>
          <w:kern w:val="0"/>
          <w:sz w:val="24"/>
          <w:szCs w:val="24"/>
        </w:rPr>
        <w:tab/>
      </w:r>
      <w:r>
        <w:rPr>
          <w:rFonts w:hint="default" w:ascii="Times New Roman" w:hAnsi="Times New Roman"/>
          <w:kern w:val="0"/>
          <w:sz w:val="24"/>
          <w:szCs w:val="24"/>
        </w:rPr>
        <w:t xml:space="preserve">Z. Lu, A. Schechter, M. Moshkovich, D. Aurbach, </w:t>
      </w:r>
      <w:r>
        <w:rPr>
          <w:rFonts w:hint="default" w:ascii="Times New Roman" w:hAnsi="Times New Roman"/>
          <w:i/>
          <w:kern w:val="0"/>
          <w:sz w:val="24"/>
          <w:szCs w:val="24"/>
        </w:rPr>
        <w:t>Journal of Electroanalytical Chemistry</w:t>
      </w:r>
      <w:r>
        <w:rPr>
          <w:rFonts w:hint="default" w:ascii="Times New Roman" w:hAnsi="Times New Roman"/>
          <w:kern w:val="0"/>
          <w:sz w:val="24"/>
          <w:szCs w:val="24"/>
        </w:rPr>
        <w:t xml:space="preserve"> </w:t>
      </w:r>
      <w:r>
        <w:rPr>
          <w:rFonts w:hint="default" w:ascii="Times New Roman" w:hAnsi="Times New Roman"/>
          <w:b/>
          <w:kern w:val="0"/>
          <w:sz w:val="24"/>
          <w:szCs w:val="24"/>
        </w:rPr>
        <w:t>1999</w:t>
      </w:r>
      <w:r>
        <w:rPr>
          <w:rFonts w:hint="default" w:ascii="Times New Roman" w:hAnsi="Times New Roman"/>
          <w:kern w:val="0"/>
          <w:sz w:val="24"/>
          <w:szCs w:val="24"/>
        </w:rPr>
        <w:t xml:space="preserve">, </w:t>
      </w:r>
      <w:r>
        <w:rPr>
          <w:rFonts w:hint="default" w:ascii="Times New Roman" w:hAnsi="Times New Roman"/>
          <w:i/>
          <w:kern w:val="0"/>
          <w:sz w:val="24"/>
          <w:szCs w:val="24"/>
        </w:rPr>
        <w:t>466</w:t>
      </w:r>
      <w:r>
        <w:rPr>
          <w:rFonts w:hint="default" w:ascii="Times New Roman" w:hAnsi="Times New Roman"/>
          <w:kern w:val="0"/>
          <w:sz w:val="24"/>
          <w:szCs w:val="24"/>
        </w:rPr>
        <w:t>, 203.</w:t>
      </w:r>
    </w:p>
    <w:p w14:paraId="7E27846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w:t>
      </w:r>
      <w:r>
        <w:rPr>
          <w:rFonts w:hint="default" w:ascii="Times New Roman" w:hAnsi="Times New Roman"/>
          <w:kern w:val="0"/>
          <w:sz w:val="24"/>
          <w:szCs w:val="24"/>
        </w:rPr>
        <w:tab/>
      </w:r>
      <w:r>
        <w:rPr>
          <w:rFonts w:hint="default" w:ascii="Times New Roman" w:hAnsi="Times New Roman"/>
          <w:kern w:val="0"/>
          <w:sz w:val="24"/>
          <w:szCs w:val="24"/>
        </w:rPr>
        <w:t xml:space="preserve">Y. Liang, H. Dong, D. Aurbach, Y. Yao, </w:t>
      </w:r>
      <w:r>
        <w:rPr>
          <w:rFonts w:hint="default" w:ascii="Times New Roman" w:hAnsi="Times New Roman"/>
          <w:i/>
          <w:kern w:val="0"/>
          <w:sz w:val="24"/>
          <w:szCs w:val="24"/>
        </w:rPr>
        <w:t>Nature Energy</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646.</w:t>
      </w:r>
    </w:p>
    <w:p w14:paraId="573CD77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w:t>
      </w:r>
      <w:r>
        <w:rPr>
          <w:rFonts w:hint="default" w:ascii="Times New Roman" w:hAnsi="Times New Roman"/>
          <w:kern w:val="0"/>
          <w:sz w:val="24"/>
          <w:szCs w:val="24"/>
        </w:rPr>
        <w:tab/>
      </w:r>
      <w:r>
        <w:rPr>
          <w:rFonts w:hint="default" w:ascii="Times New Roman" w:hAnsi="Times New Roman"/>
          <w:kern w:val="0"/>
          <w:sz w:val="24"/>
          <w:szCs w:val="24"/>
        </w:rPr>
        <w:t xml:space="preserve">G. Wang, Z. Wang, H. Shi, A. Du, M. Sun, G. Cui, </w:t>
      </w:r>
      <w:r>
        <w:rPr>
          <w:rFonts w:hint="default" w:ascii="Times New Roman" w:hAnsi="Times New Roman"/>
          <w:i/>
          <w:kern w:val="0"/>
          <w:sz w:val="24"/>
          <w:szCs w:val="24"/>
        </w:rPr>
        <w:t>Science China Chemistry</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67</w:t>
      </w:r>
      <w:r>
        <w:rPr>
          <w:rFonts w:hint="default" w:ascii="Times New Roman" w:hAnsi="Times New Roman"/>
          <w:kern w:val="0"/>
          <w:sz w:val="24"/>
          <w:szCs w:val="24"/>
        </w:rPr>
        <w:t>, 214.</w:t>
      </w:r>
    </w:p>
    <w:p w14:paraId="395C247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w:t>
      </w:r>
      <w:r>
        <w:rPr>
          <w:rFonts w:hint="default" w:ascii="Times New Roman" w:hAnsi="Times New Roman"/>
          <w:kern w:val="0"/>
          <w:sz w:val="24"/>
          <w:szCs w:val="24"/>
        </w:rPr>
        <w:tab/>
      </w:r>
      <w:r>
        <w:rPr>
          <w:rFonts w:hint="default" w:ascii="Times New Roman" w:hAnsi="Times New Roman"/>
          <w:kern w:val="0"/>
          <w:sz w:val="24"/>
          <w:szCs w:val="24"/>
        </w:rPr>
        <w:t xml:space="preserve">Y. Man, P. Jaumaux, Y. Xu, Y. Fei, X. Mo, G. Wang, X. Zhou, </w:t>
      </w:r>
      <w:r>
        <w:rPr>
          <w:rFonts w:hint="default" w:ascii="Times New Roman" w:hAnsi="Times New Roman"/>
          <w:i/>
          <w:kern w:val="0"/>
          <w:sz w:val="24"/>
          <w:szCs w:val="24"/>
        </w:rPr>
        <w:t>Science Bulletin</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68</w:t>
      </w:r>
      <w:r>
        <w:rPr>
          <w:rFonts w:hint="default" w:ascii="Times New Roman" w:hAnsi="Times New Roman"/>
          <w:kern w:val="0"/>
          <w:sz w:val="24"/>
          <w:szCs w:val="24"/>
        </w:rPr>
        <w:t>, 1819.</w:t>
      </w:r>
    </w:p>
    <w:p w14:paraId="6421E37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w:t>
      </w:r>
      <w:r>
        <w:rPr>
          <w:rFonts w:hint="default" w:ascii="Times New Roman" w:hAnsi="Times New Roman"/>
          <w:kern w:val="0"/>
          <w:sz w:val="24"/>
          <w:szCs w:val="24"/>
        </w:rPr>
        <w:tab/>
      </w:r>
      <w:r>
        <w:rPr>
          <w:rFonts w:hint="default" w:ascii="Times New Roman" w:hAnsi="Times New Roman"/>
          <w:kern w:val="0"/>
          <w:sz w:val="24"/>
          <w:szCs w:val="24"/>
        </w:rPr>
        <w:t xml:space="preserve">J. Zhang, Z. Chang, Z. Zhang, A. Du, S. Dong, Z. Li, G. Li, G. Cui, </w:t>
      </w:r>
      <w:r>
        <w:rPr>
          <w:rFonts w:hint="default" w:ascii="Times New Roman" w:hAnsi="Times New Roman"/>
          <w:i/>
          <w:kern w:val="0"/>
          <w:sz w:val="24"/>
          <w:szCs w:val="24"/>
        </w:rPr>
        <w:t>ACS Nano</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15</w:t>
      </w:r>
      <w:r>
        <w:rPr>
          <w:rFonts w:hint="default" w:ascii="Times New Roman" w:hAnsi="Times New Roman"/>
          <w:kern w:val="0"/>
          <w:sz w:val="24"/>
          <w:szCs w:val="24"/>
        </w:rPr>
        <w:t>, 15594.</w:t>
      </w:r>
    </w:p>
    <w:p w14:paraId="210ABB2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w:t>
      </w:r>
      <w:r>
        <w:rPr>
          <w:rFonts w:hint="default" w:ascii="Times New Roman" w:hAnsi="Times New Roman"/>
          <w:kern w:val="0"/>
          <w:sz w:val="24"/>
          <w:szCs w:val="24"/>
        </w:rPr>
        <w:tab/>
      </w:r>
      <w:r>
        <w:rPr>
          <w:rFonts w:hint="default" w:ascii="Times New Roman" w:hAnsi="Times New Roman"/>
          <w:kern w:val="0"/>
          <w:sz w:val="24"/>
          <w:szCs w:val="24"/>
        </w:rPr>
        <w:t xml:space="preserve">K. Xu, </w:t>
      </w:r>
      <w:r>
        <w:rPr>
          <w:rFonts w:hint="default" w:ascii="Times New Roman" w:hAnsi="Times New Roman"/>
          <w:i/>
          <w:kern w:val="0"/>
          <w:sz w:val="24"/>
          <w:szCs w:val="24"/>
        </w:rPr>
        <w:t>Chemical Reviews</w:t>
      </w:r>
      <w:r>
        <w:rPr>
          <w:rFonts w:hint="default" w:ascii="Times New Roman" w:hAnsi="Times New Roman"/>
          <w:kern w:val="0"/>
          <w:sz w:val="24"/>
          <w:szCs w:val="24"/>
        </w:rPr>
        <w:t xml:space="preserve"> </w:t>
      </w:r>
      <w:r>
        <w:rPr>
          <w:rFonts w:hint="default" w:ascii="Times New Roman" w:hAnsi="Times New Roman"/>
          <w:b/>
          <w:kern w:val="0"/>
          <w:sz w:val="24"/>
          <w:szCs w:val="24"/>
        </w:rPr>
        <w:t>2004</w:t>
      </w:r>
      <w:r>
        <w:rPr>
          <w:rFonts w:hint="default" w:ascii="Times New Roman" w:hAnsi="Times New Roman"/>
          <w:kern w:val="0"/>
          <w:sz w:val="24"/>
          <w:szCs w:val="24"/>
        </w:rPr>
        <w:t xml:space="preserve">, </w:t>
      </w:r>
      <w:r>
        <w:rPr>
          <w:rFonts w:hint="default" w:ascii="Times New Roman" w:hAnsi="Times New Roman"/>
          <w:i/>
          <w:kern w:val="0"/>
          <w:sz w:val="24"/>
          <w:szCs w:val="24"/>
        </w:rPr>
        <w:t>104</w:t>
      </w:r>
      <w:r>
        <w:rPr>
          <w:rFonts w:hint="default" w:ascii="Times New Roman" w:hAnsi="Times New Roman"/>
          <w:kern w:val="0"/>
          <w:sz w:val="24"/>
          <w:szCs w:val="24"/>
        </w:rPr>
        <w:t>, 4303.</w:t>
      </w:r>
    </w:p>
    <w:p w14:paraId="3A4B10D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w:t>
      </w:r>
      <w:r>
        <w:rPr>
          <w:rFonts w:hint="default" w:ascii="Times New Roman" w:hAnsi="Times New Roman"/>
          <w:kern w:val="0"/>
          <w:sz w:val="24"/>
          <w:szCs w:val="24"/>
        </w:rPr>
        <w:tab/>
      </w:r>
      <w:r>
        <w:rPr>
          <w:rFonts w:hint="default" w:ascii="Times New Roman" w:hAnsi="Times New Roman"/>
          <w:kern w:val="0"/>
          <w:sz w:val="24"/>
          <w:szCs w:val="24"/>
        </w:rPr>
        <w:t xml:space="preserve">K. Xu, </w:t>
      </w:r>
      <w:r>
        <w:rPr>
          <w:rFonts w:hint="default" w:ascii="Times New Roman" w:hAnsi="Times New Roman"/>
          <w:i/>
          <w:kern w:val="0"/>
          <w:sz w:val="24"/>
          <w:szCs w:val="24"/>
        </w:rPr>
        <w:t>Chemical Reviews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114</w:t>
      </w:r>
      <w:r>
        <w:rPr>
          <w:rFonts w:hint="default" w:ascii="Times New Roman" w:hAnsi="Times New Roman"/>
          <w:kern w:val="0"/>
          <w:sz w:val="24"/>
          <w:szCs w:val="24"/>
        </w:rPr>
        <w:t>, 11503.</w:t>
      </w:r>
    </w:p>
    <w:p w14:paraId="36DE88C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w:t>
      </w:r>
      <w:r>
        <w:rPr>
          <w:rFonts w:hint="default" w:ascii="Times New Roman" w:hAnsi="Times New Roman"/>
          <w:kern w:val="0"/>
          <w:sz w:val="24"/>
          <w:szCs w:val="24"/>
        </w:rPr>
        <w:tab/>
      </w:r>
      <w:r>
        <w:rPr>
          <w:rFonts w:hint="default" w:ascii="Times New Roman" w:hAnsi="Times New Roman"/>
          <w:kern w:val="0"/>
          <w:sz w:val="24"/>
          <w:szCs w:val="24"/>
        </w:rPr>
        <w:t xml:space="preserve">K. Xu, Y. Lam, S. S. Zhang, T. R. Jow, T. B. Curtis, </w:t>
      </w:r>
      <w:r>
        <w:rPr>
          <w:rFonts w:hint="default" w:ascii="Times New Roman" w:hAnsi="Times New Roman"/>
          <w:i/>
          <w:kern w:val="0"/>
          <w:sz w:val="24"/>
          <w:szCs w:val="24"/>
        </w:rPr>
        <w:t>The Journal of Physical Chemistry C</w:t>
      </w:r>
      <w:r>
        <w:rPr>
          <w:rFonts w:hint="default" w:ascii="Times New Roman" w:hAnsi="Times New Roman"/>
          <w:kern w:val="0"/>
          <w:sz w:val="24"/>
          <w:szCs w:val="24"/>
        </w:rPr>
        <w:t xml:space="preserve"> </w:t>
      </w:r>
      <w:r>
        <w:rPr>
          <w:rFonts w:hint="default" w:ascii="Times New Roman" w:hAnsi="Times New Roman"/>
          <w:b/>
          <w:kern w:val="0"/>
          <w:sz w:val="24"/>
          <w:szCs w:val="24"/>
        </w:rPr>
        <w:t>2007</w:t>
      </w:r>
      <w:r>
        <w:rPr>
          <w:rFonts w:hint="default" w:ascii="Times New Roman" w:hAnsi="Times New Roman"/>
          <w:kern w:val="0"/>
          <w:sz w:val="24"/>
          <w:szCs w:val="24"/>
        </w:rPr>
        <w:t xml:space="preserve">, </w:t>
      </w:r>
      <w:r>
        <w:rPr>
          <w:rFonts w:hint="default" w:ascii="Times New Roman" w:hAnsi="Times New Roman"/>
          <w:i/>
          <w:kern w:val="0"/>
          <w:sz w:val="24"/>
          <w:szCs w:val="24"/>
        </w:rPr>
        <w:t>111</w:t>
      </w:r>
      <w:r>
        <w:rPr>
          <w:rFonts w:hint="default" w:ascii="Times New Roman" w:hAnsi="Times New Roman"/>
          <w:kern w:val="0"/>
          <w:sz w:val="24"/>
          <w:szCs w:val="24"/>
        </w:rPr>
        <w:t>, 7411.</w:t>
      </w:r>
    </w:p>
    <w:p w14:paraId="72D5075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w:t>
      </w:r>
      <w:r>
        <w:rPr>
          <w:rFonts w:hint="default" w:ascii="Times New Roman" w:hAnsi="Times New Roman"/>
          <w:kern w:val="0"/>
          <w:sz w:val="24"/>
          <w:szCs w:val="24"/>
        </w:rPr>
        <w:tab/>
      </w:r>
      <w:r>
        <w:rPr>
          <w:rFonts w:hint="default" w:ascii="Times New Roman" w:hAnsi="Times New Roman"/>
          <w:kern w:val="0"/>
          <w:sz w:val="24"/>
          <w:szCs w:val="24"/>
        </w:rPr>
        <w:t xml:space="preserve">L. Suo, Y.-S. Hu, H. Li, M. Armand, L. Chen, </w:t>
      </w:r>
      <w:r>
        <w:rPr>
          <w:rFonts w:hint="default" w:ascii="Times New Roman" w:hAnsi="Times New Roman"/>
          <w:i/>
          <w:kern w:val="0"/>
          <w:sz w:val="24"/>
          <w:szCs w:val="24"/>
        </w:rPr>
        <w:t>Nature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2013</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1481.</w:t>
      </w:r>
    </w:p>
    <w:p w14:paraId="341A1B24">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w:t>
      </w:r>
      <w:r>
        <w:rPr>
          <w:rFonts w:hint="default" w:ascii="Times New Roman" w:hAnsi="Times New Roman"/>
          <w:kern w:val="0"/>
          <w:sz w:val="24"/>
          <w:szCs w:val="24"/>
        </w:rPr>
        <w:tab/>
      </w:r>
      <w:r>
        <w:rPr>
          <w:rFonts w:hint="default" w:ascii="Times New Roman" w:hAnsi="Times New Roman"/>
          <w:kern w:val="0"/>
          <w:sz w:val="24"/>
          <w:szCs w:val="24"/>
        </w:rPr>
        <w:t xml:space="preserve">Y. Yamada, K. Furukawa, K. Sodeyama, K. Kikuchi, M. Yaegashi, Y. Tateyama, A. Yamada,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136</w:t>
      </w:r>
      <w:r>
        <w:rPr>
          <w:rFonts w:hint="default" w:ascii="Times New Roman" w:hAnsi="Times New Roman"/>
          <w:kern w:val="0"/>
          <w:sz w:val="24"/>
          <w:szCs w:val="24"/>
        </w:rPr>
        <w:t>, 5039.</w:t>
      </w:r>
    </w:p>
    <w:p w14:paraId="1C811F0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[15]</w:t>
      </w:r>
      <w:r>
        <w:rPr>
          <w:rFonts w:hint="default" w:ascii="Times New Roman" w:hAnsi="Times New Roman"/>
          <w:kern w:val="0"/>
          <w:sz w:val="24"/>
          <w:szCs w:val="24"/>
        </w:rPr>
        <w:tab/>
      </w:r>
      <w:r>
        <w:rPr>
          <w:rFonts w:hint="default" w:ascii="Times New Roman" w:hAnsi="Times New Roman"/>
          <w:kern w:val="0"/>
          <w:sz w:val="24"/>
          <w:szCs w:val="24"/>
        </w:rPr>
        <w:t xml:space="preserve">Y. Yamada, J. Wang, S. Ko, E. Watanabe, A. Yamada, </w:t>
      </w:r>
      <w:r>
        <w:rPr>
          <w:rFonts w:hint="default" w:ascii="Times New Roman" w:hAnsi="Times New Roman"/>
          <w:i/>
          <w:kern w:val="0"/>
          <w:sz w:val="24"/>
          <w:szCs w:val="24"/>
        </w:rPr>
        <w:t>Nature Energy</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269.</w:t>
      </w:r>
    </w:p>
    <w:p w14:paraId="01B78BB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[16]</w:t>
      </w:r>
      <w:r>
        <w:rPr>
          <w:rFonts w:hint="default" w:ascii="Times New Roman" w:hAnsi="Times New Roman"/>
          <w:kern w:val="0"/>
          <w:sz w:val="24"/>
          <w:szCs w:val="24"/>
        </w:rPr>
        <w:tab/>
      </w:r>
      <w:r>
        <w:rPr>
          <w:rFonts w:hint="default" w:ascii="Times New Roman" w:hAnsi="Times New Roman"/>
          <w:kern w:val="0"/>
          <w:sz w:val="24"/>
          <w:szCs w:val="24"/>
        </w:rPr>
        <w:t xml:space="preserve">E. Peled,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1979</w:t>
      </w:r>
      <w:r>
        <w:rPr>
          <w:rFonts w:hint="default" w:ascii="Times New Roman" w:hAnsi="Times New Roman"/>
          <w:kern w:val="0"/>
          <w:sz w:val="24"/>
          <w:szCs w:val="24"/>
        </w:rPr>
        <w:t xml:space="preserve">, </w:t>
      </w:r>
      <w:r>
        <w:rPr>
          <w:rFonts w:hint="default" w:ascii="Times New Roman" w:hAnsi="Times New Roman"/>
          <w:i/>
          <w:kern w:val="0"/>
          <w:sz w:val="24"/>
          <w:szCs w:val="24"/>
        </w:rPr>
        <w:t>126</w:t>
      </w:r>
      <w:r>
        <w:rPr>
          <w:rFonts w:hint="default" w:ascii="Times New Roman" w:hAnsi="Times New Roman"/>
          <w:kern w:val="0"/>
          <w:sz w:val="24"/>
          <w:szCs w:val="24"/>
        </w:rPr>
        <w:t>, 2047.</w:t>
      </w:r>
    </w:p>
    <w:p w14:paraId="39F96B1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[17]</w:t>
      </w:r>
      <w:r>
        <w:rPr>
          <w:rFonts w:hint="default" w:ascii="Times New Roman" w:hAnsi="Times New Roman"/>
          <w:kern w:val="0"/>
          <w:sz w:val="24"/>
          <w:szCs w:val="24"/>
        </w:rPr>
        <w:tab/>
      </w:r>
      <w:r>
        <w:rPr>
          <w:rFonts w:hint="default" w:ascii="Times New Roman" w:hAnsi="Times New Roman"/>
          <w:kern w:val="0"/>
          <w:sz w:val="24"/>
          <w:szCs w:val="24"/>
        </w:rPr>
        <w:t xml:space="preserve">E. Peled, S. Menkin,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164</w:t>
      </w:r>
      <w:r>
        <w:rPr>
          <w:rFonts w:hint="default" w:ascii="Times New Roman" w:hAnsi="Times New Roman"/>
          <w:kern w:val="0"/>
          <w:sz w:val="24"/>
          <w:szCs w:val="24"/>
        </w:rPr>
        <w:t>, A1703.</w:t>
      </w:r>
    </w:p>
    <w:p w14:paraId="7DE41AE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[18]</w:t>
      </w:r>
      <w:r>
        <w:rPr>
          <w:rFonts w:hint="default" w:ascii="Times New Roman" w:hAnsi="Times New Roman"/>
          <w:kern w:val="0"/>
          <w:sz w:val="24"/>
          <w:szCs w:val="24"/>
        </w:rPr>
        <w:tab/>
      </w:r>
      <w:r>
        <w:rPr>
          <w:rFonts w:hint="default" w:ascii="Times New Roman" w:hAnsi="Times New Roman"/>
          <w:kern w:val="0"/>
          <w:sz w:val="24"/>
          <w:szCs w:val="24"/>
        </w:rPr>
        <w:t xml:space="preserve">R. Mohtadi, O. Tutusaus, T. S. Arthur, Z. Zhao-Karger, M. Fichtner, </w:t>
      </w:r>
      <w:r>
        <w:rPr>
          <w:rFonts w:hint="default" w:ascii="Times New Roman" w:hAnsi="Times New Roman"/>
          <w:i/>
          <w:kern w:val="0"/>
          <w:sz w:val="24"/>
          <w:szCs w:val="24"/>
        </w:rPr>
        <w:t>Joule</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581.</w:t>
      </w:r>
    </w:p>
    <w:p w14:paraId="1F3EE3C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[19]</w:t>
      </w:r>
      <w:r>
        <w:rPr>
          <w:rFonts w:hint="default" w:ascii="Times New Roman" w:hAnsi="Times New Roman"/>
          <w:kern w:val="0"/>
          <w:sz w:val="24"/>
          <w:szCs w:val="24"/>
        </w:rPr>
        <w:tab/>
      </w:r>
      <w:r>
        <w:rPr>
          <w:rFonts w:hint="default" w:ascii="Times New Roman" w:hAnsi="Times New Roman"/>
          <w:kern w:val="0"/>
          <w:sz w:val="24"/>
          <w:szCs w:val="24"/>
        </w:rPr>
        <w:t xml:space="preserve">J. Zhang, J. Liu, M. Wang, Z. Zhang, Z. Zhou, X. Chen, A. Du, S. Dong, Z. Li, G. Li, G. Cui,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1111.</w:t>
      </w:r>
    </w:p>
    <w:p w14:paraId="1F74482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[20]</w:t>
      </w:r>
      <w:r>
        <w:rPr>
          <w:rFonts w:hint="default" w:ascii="Times New Roman" w:hAnsi="Times New Roman"/>
          <w:kern w:val="0"/>
          <w:sz w:val="24"/>
          <w:szCs w:val="24"/>
        </w:rPr>
        <w:tab/>
      </w:r>
      <w:r>
        <w:rPr>
          <w:rFonts w:hint="default" w:ascii="Times New Roman" w:hAnsi="Times New Roman"/>
          <w:kern w:val="0"/>
          <w:sz w:val="24"/>
          <w:szCs w:val="24"/>
        </w:rPr>
        <w:t xml:space="preserve">J. Xiao, X. Zhang, H. Fan, Y. Zhao, Y. Su, H. Liu, X. Li, Y. Su, H. Yuan, T. Pan, Q. Lin, L. Pan, Y. Zhang,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34</w:t>
      </w:r>
      <w:r>
        <w:rPr>
          <w:rFonts w:hint="default" w:ascii="Times New Roman" w:hAnsi="Times New Roman"/>
          <w:kern w:val="0"/>
          <w:sz w:val="24"/>
          <w:szCs w:val="24"/>
        </w:rPr>
        <w:t>, 2203783.</w:t>
      </w:r>
    </w:p>
    <w:p w14:paraId="7366C1E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[21]</w:t>
      </w:r>
      <w:r>
        <w:rPr>
          <w:rFonts w:hint="default" w:ascii="Times New Roman" w:hAnsi="Times New Roman"/>
          <w:kern w:val="0"/>
          <w:sz w:val="24"/>
          <w:szCs w:val="24"/>
        </w:rPr>
        <w:tab/>
      </w:r>
      <w:r>
        <w:rPr>
          <w:rFonts w:hint="default" w:ascii="Times New Roman" w:hAnsi="Times New Roman"/>
          <w:kern w:val="0"/>
          <w:sz w:val="24"/>
          <w:szCs w:val="24"/>
        </w:rPr>
        <w:t xml:space="preserve">Z. Wang, R. Deng, Y. Wang, F. Pan, </w:t>
      </w:r>
      <w:r>
        <w:rPr>
          <w:rFonts w:hint="default" w:ascii="Times New Roman" w:hAnsi="Times New Roman"/>
          <w:i/>
          <w:kern w:val="0"/>
          <w:sz w:val="24"/>
          <w:szCs w:val="24"/>
        </w:rPr>
        <w:t>Molecules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29</w:t>
      </w:r>
      <w:r>
        <w:rPr>
          <w:rFonts w:hint="default" w:ascii="Times New Roman" w:hAnsi="Times New Roman"/>
          <w:kern w:val="0"/>
          <w:sz w:val="24"/>
          <w:szCs w:val="24"/>
        </w:rPr>
        <w:t>, 4761.</w:t>
      </w:r>
    </w:p>
    <w:p w14:paraId="4FCBF2B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[22]</w:t>
      </w:r>
      <w:r>
        <w:rPr>
          <w:rFonts w:hint="default" w:ascii="Times New Roman" w:hAnsi="Times New Roman"/>
          <w:kern w:val="0"/>
          <w:sz w:val="24"/>
          <w:szCs w:val="24"/>
        </w:rPr>
        <w:tab/>
      </w:r>
      <w:r>
        <w:rPr>
          <w:rFonts w:hint="default" w:ascii="Times New Roman" w:hAnsi="Times New Roman"/>
          <w:kern w:val="0"/>
          <w:sz w:val="24"/>
          <w:szCs w:val="24"/>
        </w:rPr>
        <w:t xml:space="preserve">H. Zhang, L. Qiao, M. Armand,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61</w:t>
      </w:r>
      <w:r>
        <w:rPr>
          <w:rFonts w:hint="default" w:ascii="Times New Roman" w:hAnsi="Times New Roman"/>
          <w:kern w:val="0"/>
          <w:sz w:val="24"/>
          <w:szCs w:val="24"/>
        </w:rPr>
        <w:t>, e202214054.</w:t>
      </w:r>
    </w:p>
    <w:p w14:paraId="4DDE638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[23]</w:t>
      </w:r>
      <w:r>
        <w:rPr>
          <w:rFonts w:hint="default" w:ascii="Times New Roman" w:hAnsi="Times New Roman"/>
          <w:kern w:val="0"/>
          <w:sz w:val="24"/>
          <w:szCs w:val="24"/>
        </w:rPr>
        <w:tab/>
      </w:r>
      <w:r>
        <w:rPr>
          <w:rFonts w:hint="default" w:ascii="Times New Roman" w:hAnsi="Times New Roman"/>
          <w:kern w:val="0"/>
          <w:sz w:val="24"/>
          <w:szCs w:val="24"/>
        </w:rPr>
        <w:t xml:space="preserve">N. N. Rajput, X. Qu, N. Sa, A. K. Burrell, K. A. Persson,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137</w:t>
      </w:r>
      <w:r>
        <w:rPr>
          <w:rFonts w:hint="default" w:ascii="Times New Roman" w:hAnsi="Times New Roman"/>
          <w:kern w:val="0"/>
          <w:sz w:val="24"/>
          <w:szCs w:val="24"/>
        </w:rPr>
        <w:t>, 3411.</w:t>
      </w:r>
    </w:p>
    <w:p w14:paraId="6CEE5B8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[24]</w:t>
      </w:r>
      <w:r>
        <w:rPr>
          <w:rFonts w:hint="default" w:ascii="Times New Roman" w:hAnsi="Times New Roman"/>
          <w:kern w:val="0"/>
          <w:sz w:val="24"/>
          <w:szCs w:val="24"/>
        </w:rPr>
        <w:tab/>
      </w:r>
      <w:r>
        <w:rPr>
          <w:rFonts w:hint="default" w:ascii="Times New Roman" w:hAnsi="Times New Roman"/>
          <w:kern w:val="0"/>
          <w:sz w:val="24"/>
          <w:szCs w:val="24"/>
        </w:rPr>
        <w:t xml:space="preserve">C. Li, R. D. Guha, A. Shyamsunder, K. A. Persson, L. F. Nazar,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190.</w:t>
      </w:r>
    </w:p>
    <w:p w14:paraId="48CD949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[25]</w:t>
      </w:r>
      <w:r>
        <w:rPr>
          <w:rFonts w:hint="default" w:ascii="Times New Roman" w:hAnsi="Times New Roman"/>
          <w:kern w:val="0"/>
          <w:sz w:val="24"/>
          <w:szCs w:val="24"/>
        </w:rPr>
        <w:tab/>
      </w:r>
      <w:r>
        <w:rPr>
          <w:rFonts w:hint="default" w:ascii="Times New Roman" w:hAnsi="Times New Roman"/>
          <w:kern w:val="0"/>
          <w:sz w:val="24"/>
          <w:szCs w:val="24"/>
        </w:rPr>
        <w:t xml:space="preserve">M. Zhang, R. Li, W. Zhao, R. Li, Z. Fan, X. Yang,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65</w:t>
      </w:r>
      <w:r>
        <w:rPr>
          <w:rFonts w:hint="default" w:ascii="Times New Roman" w:hAnsi="Times New Roman"/>
          <w:kern w:val="0"/>
          <w:sz w:val="24"/>
          <w:szCs w:val="24"/>
        </w:rPr>
        <w:t>, e2598559.</w:t>
      </w:r>
    </w:p>
    <w:p w14:paraId="2D5F1C9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[26]</w:t>
      </w:r>
      <w:r>
        <w:rPr>
          <w:rFonts w:hint="default" w:ascii="Times New Roman" w:hAnsi="Times New Roman"/>
          <w:kern w:val="0"/>
          <w:sz w:val="24"/>
          <w:szCs w:val="24"/>
        </w:rPr>
        <w:tab/>
      </w:r>
      <w:r>
        <w:rPr>
          <w:rFonts w:hint="default" w:ascii="Times New Roman" w:hAnsi="Times New Roman"/>
          <w:kern w:val="0"/>
          <w:sz w:val="24"/>
          <w:szCs w:val="24"/>
        </w:rPr>
        <w:t xml:space="preserve">P. Saha, M. K. Datta, O. I. Velikokhatnyi, A. Manivannan, D. Alman, P. N. Kumta, </w:t>
      </w:r>
      <w:r>
        <w:rPr>
          <w:rFonts w:hint="default" w:ascii="Times New Roman" w:hAnsi="Times New Roman"/>
          <w:i/>
          <w:kern w:val="0"/>
          <w:sz w:val="24"/>
          <w:szCs w:val="24"/>
        </w:rPr>
        <w:t>Progress in Materials Science</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66</w:t>
      </w:r>
      <w:r>
        <w:rPr>
          <w:rFonts w:hint="default" w:ascii="Times New Roman" w:hAnsi="Times New Roman"/>
          <w:kern w:val="0"/>
          <w:sz w:val="24"/>
          <w:szCs w:val="24"/>
        </w:rPr>
        <w:t>, 1.</w:t>
      </w:r>
    </w:p>
    <w:p w14:paraId="10ADA2D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[27]</w:t>
      </w:r>
      <w:r>
        <w:rPr>
          <w:rFonts w:hint="default" w:ascii="Times New Roman" w:hAnsi="Times New Roman"/>
          <w:kern w:val="0"/>
          <w:sz w:val="24"/>
          <w:szCs w:val="24"/>
        </w:rPr>
        <w:tab/>
      </w:r>
      <w:r>
        <w:rPr>
          <w:rFonts w:hint="default" w:ascii="Times New Roman" w:hAnsi="Times New Roman"/>
          <w:kern w:val="0"/>
          <w:sz w:val="24"/>
          <w:szCs w:val="24"/>
        </w:rPr>
        <w:t xml:space="preserve">H. Shuai, J. Xu, K. Huang, </w:t>
      </w:r>
      <w:r>
        <w:rPr>
          <w:rFonts w:hint="default" w:ascii="Times New Roman" w:hAnsi="Times New Roman"/>
          <w:i/>
          <w:kern w:val="0"/>
          <w:sz w:val="24"/>
          <w:szCs w:val="24"/>
        </w:rPr>
        <w:t>Coordination Chemistry Reviews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422</w:t>
      </w:r>
      <w:r>
        <w:rPr>
          <w:rFonts w:hint="default" w:ascii="Times New Roman" w:hAnsi="Times New Roman"/>
          <w:kern w:val="0"/>
          <w:sz w:val="24"/>
          <w:szCs w:val="24"/>
        </w:rPr>
        <w:t>, 213478.</w:t>
      </w:r>
    </w:p>
    <w:p w14:paraId="026BCD9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[28]</w:t>
      </w:r>
      <w:r>
        <w:rPr>
          <w:rFonts w:hint="default" w:ascii="Times New Roman" w:hAnsi="Times New Roman"/>
          <w:kern w:val="0"/>
          <w:sz w:val="24"/>
          <w:szCs w:val="24"/>
        </w:rPr>
        <w:tab/>
      </w:r>
      <w:r>
        <w:rPr>
          <w:rFonts w:hint="default" w:ascii="Times New Roman" w:hAnsi="Times New Roman"/>
          <w:kern w:val="0"/>
          <w:sz w:val="24"/>
          <w:szCs w:val="24"/>
        </w:rPr>
        <w:t xml:space="preserve">R. Deivanayagam, B. J. Ingram, R. Shahbazian-Yassar,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21</w:t>
      </w:r>
      <w:r>
        <w:rPr>
          <w:rFonts w:hint="default" w:ascii="Times New Roman" w:hAnsi="Times New Roman"/>
          <w:kern w:val="0"/>
          <w:sz w:val="24"/>
          <w:szCs w:val="24"/>
        </w:rPr>
        <w:t>, 136.</w:t>
      </w:r>
    </w:p>
    <w:p w14:paraId="0AE57CB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[29]</w:t>
      </w:r>
      <w:r>
        <w:rPr>
          <w:rFonts w:hint="default" w:ascii="Times New Roman" w:hAnsi="Times New Roman"/>
          <w:kern w:val="0"/>
          <w:sz w:val="24"/>
          <w:szCs w:val="24"/>
        </w:rPr>
        <w:tab/>
      </w:r>
      <w:r>
        <w:rPr>
          <w:rFonts w:hint="default" w:ascii="Times New Roman" w:hAnsi="Times New Roman"/>
          <w:kern w:val="0"/>
          <w:sz w:val="24"/>
          <w:szCs w:val="24"/>
        </w:rPr>
        <w:t xml:space="preserve">Q. Sun, S. Luo, R. Huang, S. Yan, X. Lin, </w:t>
      </w:r>
      <w:r>
        <w:rPr>
          <w:rFonts w:hint="default" w:ascii="Times New Roman" w:hAnsi="Times New Roman"/>
          <w:i/>
          <w:kern w:val="0"/>
          <w:sz w:val="24"/>
          <w:szCs w:val="24"/>
        </w:rPr>
        <w:t>Coordination Chemistry Reviews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515</w:t>
      </w:r>
      <w:r>
        <w:rPr>
          <w:rFonts w:hint="default" w:ascii="Times New Roman" w:hAnsi="Times New Roman"/>
          <w:kern w:val="0"/>
          <w:sz w:val="24"/>
          <w:szCs w:val="24"/>
        </w:rPr>
        <w:t>, 215956.</w:t>
      </w:r>
    </w:p>
    <w:p w14:paraId="3A5FD97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[30]</w:t>
      </w:r>
      <w:r>
        <w:rPr>
          <w:rFonts w:hint="default" w:ascii="Times New Roman" w:hAnsi="Times New Roman"/>
          <w:kern w:val="0"/>
          <w:sz w:val="24"/>
          <w:szCs w:val="24"/>
        </w:rPr>
        <w:tab/>
      </w:r>
      <w:r>
        <w:rPr>
          <w:rFonts w:hint="default" w:ascii="Times New Roman" w:hAnsi="Times New Roman"/>
          <w:kern w:val="0"/>
          <w:sz w:val="24"/>
          <w:szCs w:val="24"/>
        </w:rPr>
        <w:t xml:space="preserve">Y. Yu, A. Baskin, C. Valero-Vidal, N. T. Hahn, Q. Liu, K. R. Zavadil, B. W. Eichhorn, D. Prendergast, E. J. Crumlin, </w:t>
      </w:r>
      <w:r>
        <w:rPr>
          <w:rFonts w:hint="default" w:ascii="Times New Roman" w:hAnsi="Times New Roman"/>
          <w:i/>
          <w:kern w:val="0"/>
          <w:sz w:val="24"/>
          <w:szCs w:val="24"/>
        </w:rPr>
        <w:t>Chemistry of Materials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29</w:t>
      </w:r>
      <w:r>
        <w:rPr>
          <w:rFonts w:hint="default" w:ascii="Times New Roman" w:hAnsi="Times New Roman"/>
          <w:kern w:val="0"/>
          <w:sz w:val="24"/>
          <w:szCs w:val="24"/>
        </w:rPr>
        <w:t>, 8504.</w:t>
      </w:r>
    </w:p>
    <w:p w14:paraId="307F140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[31]</w:t>
      </w:r>
      <w:r>
        <w:rPr>
          <w:rFonts w:hint="default" w:ascii="Times New Roman" w:hAnsi="Times New Roman"/>
          <w:kern w:val="0"/>
          <w:sz w:val="24"/>
          <w:szCs w:val="24"/>
        </w:rPr>
        <w:tab/>
      </w:r>
      <w:r>
        <w:rPr>
          <w:rFonts w:hint="default" w:ascii="Times New Roman" w:hAnsi="Times New Roman"/>
          <w:kern w:val="0"/>
          <w:sz w:val="24"/>
          <w:szCs w:val="24"/>
        </w:rPr>
        <w:t xml:space="preserve">A. Kopač Lautar, J. Bitenc, T. Rejec, R. Dominko, J.-S. Filhol, M.-L. Doublet,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142</w:t>
      </w:r>
      <w:r>
        <w:rPr>
          <w:rFonts w:hint="default" w:ascii="Times New Roman" w:hAnsi="Times New Roman"/>
          <w:kern w:val="0"/>
          <w:sz w:val="24"/>
          <w:szCs w:val="24"/>
        </w:rPr>
        <w:t>, 5146.</w:t>
      </w:r>
    </w:p>
    <w:p w14:paraId="044E6E3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[32]</w:t>
      </w:r>
      <w:r>
        <w:rPr>
          <w:rFonts w:hint="default" w:ascii="Times New Roman" w:hAnsi="Times New Roman"/>
          <w:kern w:val="0"/>
          <w:sz w:val="24"/>
          <w:szCs w:val="24"/>
        </w:rPr>
        <w:tab/>
      </w:r>
      <w:r>
        <w:rPr>
          <w:rFonts w:hint="default" w:ascii="Times New Roman" w:hAnsi="Times New Roman"/>
          <w:kern w:val="0"/>
          <w:sz w:val="24"/>
          <w:szCs w:val="24"/>
        </w:rPr>
        <w:t xml:space="preserve">P. Jankowski, J. M. G. Lastra, T. Vegge, </w:t>
      </w:r>
      <w:r>
        <w:rPr>
          <w:rFonts w:hint="default" w:ascii="Times New Roman" w:hAnsi="Times New Roman"/>
          <w:i/>
          <w:kern w:val="0"/>
          <w:sz w:val="24"/>
          <w:szCs w:val="24"/>
        </w:rPr>
        <w:t>Batteries &amp; Supercaps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1350.</w:t>
      </w:r>
    </w:p>
    <w:p w14:paraId="1CEE808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[33]</w:t>
      </w:r>
      <w:r>
        <w:rPr>
          <w:rFonts w:hint="default" w:ascii="Times New Roman" w:hAnsi="Times New Roman"/>
          <w:kern w:val="0"/>
          <w:sz w:val="24"/>
          <w:szCs w:val="24"/>
        </w:rPr>
        <w:tab/>
      </w:r>
      <w:r>
        <w:rPr>
          <w:rFonts w:hint="default" w:ascii="Times New Roman" w:hAnsi="Times New Roman"/>
          <w:kern w:val="0"/>
          <w:sz w:val="24"/>
          <w:szCs w:val="24"/>
        </w:rPr>
        <w:t xml:space="preserve">D. Y. Kim, Y. Lim, B. Roy, Y.-G. Ryu, S.-S. Lee, </w:t>
      </w:r>
      <w:r>
        <w:rPr>
          <w:rFonts w:hint="default" w:ascii="Times New Roman" w:hAnsi="Times New Roman"/>
          <w:i/>
          <w:kern w:val="0"/>
          <w:sz w:val="24"/>
          <w:szCs w:val="24"/>
        </w:rPr>
        <w:t>Physical Chemistry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25789.</w:t>
      </w:r>
    </w:p>
    <w:p w14:paraId="0C8D1A6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[34]</w:t>
      </w:r>
      <w:r>
        <w:rPr>
          <w:rFonts w:hint="default" w:ascii="Times New Roman" w:hAnsi="Times New Roman"/>
          <w:kern w:val="0"/>
          <w:sz w:val="24"/>
          <w:szCs w:val="24"/>
        </w:rPr>
        <w:tab/>
      </w:r>
      <w:r>
        <w:rPr>
          <w:rFonts w:hint="default" w:ascii="Times New Roman" w:hAnsi="Times New Roman"/>
          <w:kern w:val="0"/>
          <w:sz w:val="24"/>
          <w:szCs w:val="24"/>
        </w:rPr>
        <w:t xml:space="preserve">Y. Guo, F. Zhang, J. Yang, F. Wang,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2012</w:t>
      </w:r>
      <w:r>
        <w:rPr>
          <w:rFonts w:hint="default" w:ascii="Times New Roman" w:hAnsi="Times New Roman"/>
          <w:kern w:val="0"/>
          <w:sz w:val="24"/>
          <w:szCs w:val="24"/>
        </w:rPr>
        <w:t xml:space="preserve">, </w:t>
      </w:r>
      <w:r>
        <w:rPr>
          <w:rFonts w:hint="default" w:ascii="Times New Roman" w:hAnsi="Times New Roman"/>
          <w:i/>
          <w:kern w:val="0"/>
          <w:sz w:val="24"/>
          <w:szCs w:val="24"/>
        </w:rPr>
        <w:t>18</w:t>
      </w:r>
      <w:r>
        <w:rPr>
          <w:rFonts w:hint="default" w:ascii="Times New Roman" w:hAnsi="Times New Roman"/>
          <w:kern w:val="0"/>
          <w:sz w:val="24"/>
          <w:szCs w:val="24"/>
        </w:rPr>
        <w:t>, 24.</w:t>
      </w:r>
    </w:p>
    <w:p w14:paraId="281DD05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[35]</w:t>
      </w:r>
      <w:r>
        <w:rPr>
          <w:rFonts w:hint="default" w:ascii="Times New Roman" w:hAnsi="Times New Roman"/>
          <w:kern w:val="0"/>
          <w:sz w:val="24"/>
          <w:szCs w:val="24"/>
        </w:rPr>
        <w:tab/>
      </w:r>
      <w:r>
        <w:rPr>
          <w:rFonts w:hint="default" w:ascii="Times New Roman" w:hAnsi="Times New Roman"/>
          <w:kern w:val="0"/>
          <w:sz w:val="24"/>
          <w:szCs w:val="24"/>
        </w:rPr>
        <w:t xml:space="preserve">F. -f Wang, Y. -s Guo, J. Yang, Y. Nuli, S. -i Hirano,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2012</w:t>
      </w:r>
      <w:r>
        <w:rPr>
          <w:rFonts w:hint="default" w:ascii="Times New Roman" w:hAnsi="Times New Roman"/>
          <w:kern w:val="0"/>
          <w:sz w:val="24"/>
          <w:szCs w:val="24"/>
        </w:rPr>
        <w:t xml:space="preserve">, </w:t>
      </w:r>
      <w:r>
        <w:rPr>
          <w:rFonts w:hint="default" w:ascii="Times New Roman" w:hAnsi="Times New Roman"/>
          <w:i/>
          <w:kern w:val="0"/>
          <w:sz w:val="24"/>
          <w:szCs w:val="24"/>
        </w:rPr>
        <w:t>48</w:t>
      </w:r>
      <w:r>
        <w:rPr>
          <w:rFonts w:hint="default" w:ascii="Times New Roman" w:hAnsi="Times New Roman"/>
          <w:kern w:val="0"/>
          <w:sz w:val="24"/>
          <w:szCs w:val="24"/>
        </w:rPr>
        <w:t>, 10763.</w:t>
      </w:r>
    </w:p>
    <w:p w14:paraId="5BBDFB8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[36]</w:t>
      </w:r>
      <w:r>
        <w:rPr>
          <w:rFonts w:hint="default" w:ascii="Times New Roman" w:hAnsi="Times New Roman"/>
          <w:kern w:val="0"/>
          <w:sz w:val="24"/>
          <w:szCs w:val="24"/>
        </w:rPr>
        <w:tab/>
      </w:r>
      <w:r>
        <w:rPr>
          <w:rFonts w:hint="default" w:ascii="Times New Roman" w:hAnsi="Times New Roman"/>
          <w:kern w:val="0"/>
          <w:sz w:val="24"/>
          <w:szCs w:val="24"/>
        </w:rPr>
        <w:t xml:space="preserve">C. Liao, B. Guo, D. -e Jiang, R. Custelcean, S. M. Mahurin, X.-G. Sun, S. Dai,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581.</w:t>
      </w:r>
    </w:p>
    <w:p w14:paraId="250AE39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[37]</w:t>
      </w:r>
      <w:r>
        <w:rPr>
          <w:rFonts w:hint="default" w:ascii="Times New Roman" w:hAnsi="Times New Roman"/>
          <w:kern w:val="0"/>
          <w:sz w:val="24"/>
          <w:szCs w:val="24"/>
        </w:rPr>
        <w:tab/>
      </w:r>
      <w:r>
        <w:rPr>
          <w:rFonts w:hint="default" w:ascii="Times New Roman" w:hAnsi="Times New Roman"/>
          <w:kern w:val="0"/>
          <w:sz w:val="24"/>
          <w:szCs w:val="24"/>
        </w:rPr>
        <w:t xml:space="preserve">Y. Guo, J. Yang, Y. NuLi, J. Wang,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2010</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1671.</w:t>
      </w:r>
    </w:p>
    <w:p w14:paraId="4885CF5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[38]</w:t>
      </w:r>
      <w:r>
        <w:rPr>
          <w:rFonts w:hint="default" w:ascii="Times New Roman" w:hAnsi="Times New Roman"/>
          <w:kern w:val="0"/>
          <w:sz w:val="24"/>
          <w:szCs w:val="24"/>
        </w:rPr>
        <w:tab/>
      </w:r>
      <w:r>
        <w:rPr>
          <w:rFonts w:hint="default" w:ascii="Times New Roman" w:hAnsi="Times New Roman"/>
          <w:kern w:val="0"/>
          <w:sz w:val="24"/>
          <w:szCs w:val="24"/>
        </w:rPr>
        <w:t xml:space="preserve">R. Li, W. Zhao, Z. Fan, M. Zhang, J. Li, R. Li, Z. Zuo, X. Yang,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18</w:t>
      </w:r>
      <w:r>
        <w:rPr>
          <w:rFonts w:hint="default" w:ascii="Times New Roman" w:hAnsi="Times New Roman"/>
          <w:kern w:val="0"/>
          <w:sz w:val="24"/>
          <w:szCs w:val="24"/>
        </w:rPr>
        <w:t>, 6790.</w:t>
      </w:r>
    </w:p>
    <w:p w14:paraId="1A0C630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[39]</w:t>
      </w:r>
      <w:r>
        <w:rPr>
          <w:rFonts w:hint="default" w:ascii="Times New Roman" w:hAnsi="Times New Roman"/>
          <w:kern w:val="0"/>
          <w:sz w:val="24"/>
          <w:szCs w:val="24"/>
        </w:rPr>
        <w:tab/>
      </w:r>
      <w:r>
        <w:rPr>
          <w:rFonts w:hint="default" w:ascii="Times New Roman" w:hAnsi="Times New Roman"/>
          <w:kern w:val="0"/>
          <w:sz w:val="24"/>
          <w:szCs w:val="24"/>
        </w:rPr>
        <w:t xml:space="preserve">Y. Deng, G. Li, R. Deng, B. Zhang, L. Cao, G. Huang, J. Wang, F. Pan,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64</w:t>
      </w:r>
      <w:r>
        <w:rPr>
          <w:rFonts w:hint="default" w:ascii="Times New Roman" w:hAnsi="Times New Roman"/>
          <w:kern w:val="0"/>
          <w:sz w:val="24"/>
          <w:szCs w:val="24"/>
        </w:rPr>
        <w:t>, e202513213.</w:t>
      </w:r>
    </w:p>
    <w:p w14:paraId="1F678C1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[40]</w:t>
      </w:r>
      <w:r>
        <w:rPr>
          <w:rFonts w:hint="default" w:ascii="Times New Roman" w:hAnsi="Times New Roman"/>
          <w:kern w:val="0"/>
          <w:sz w:val="24"/>
          <w:szCs w:val="24"/>
        </w:rPr>
        <w:tab/>
      </w:r>
      <w:r>
        <w:rPr>
          <w:rFonts w:hint="default" w:ascii="Times New Roman" w:hAnsi="Times New Roman"/>
          <w:kern w:val="0"/>
          <w:sz w:val="24"/>
          <w:szCs w:val="24"/>
        </w:rPr>
        <w:t xml:space="preserve">I. Shterenberg, M. Salama, H. D. Yoo, Y. Gofer, J.-B. Park, Y.-K. Sun, D. Aurbach,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162</w:t>
      </w:r>
      <w:r>
        <w:rPr>
          <w:rFonts w:hint="default" w:ascii="Times New Roman" w:hAnsi="Times New Roman"/>
          <w:kern w:val="0"/>
          <w:sz w:val="24"/>
          <w:szCs w:val="24"/>
        </w:rPr>
        <w:t>, A7118.</w:t>
      </w:r>
    </w:p>
    <w:p w14:paraId="03A2836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[41]</w:t>
      </w:r>
      <w:r>
        <w:rPr>
          <w:rFonts w:hint="default" w:ascii="Times New Roman" w:hAnsi="Times New Roman"/>
          <w:kern w:val="0"/>
          <w:sz w:val="24"/>
          <w:szCs w:val="24"/>
        </w:rPr>
        <w:tab/>
      </w:r>
      <w:r>
        <w:rPr>
          <w:rFonts w:hint="default" w:ascii="Times New Roman" w:hAnsi="Times New Roman"/>
          <w:kern w:val="0"/>
          <w:sz w:val="24"/>
          <w:szCs w:val="24"/>
        </w:rPr>
        <w:t xml:space="preserve">S.-Y. Ha, Y.-W. Lee, S. W. Woo, B. Koo, J.-S. Kim, J. Cho, K. T. Lee, N.-S. Choi,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6</w:t>
      </w:r>
      <w:r>
        <w:rPr>
          <w:rFonts w:hint="default" w:ascii="Times New Roman" w:hAnsi="Times New Roman"/>
          <w:kern w:val="0"/>
          <w:sz w:val="24"/>
          <w:szCs w:val="24"/>
        </w:rPr>
        <w:t>, 4063.</w:t>
      </w:r>
    </w:p>
    <w:p w14:paraId="7D6B1BC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[42]</w:t>
      </w:r>
      <w:r>
        <w:rPr>
          <w:rFonts w:hint="default" w:ascii="Times New Roman" w:hAnsi="Times New Roman"/>
          <w:kern w:val="0"/>
          <w:sz w:val="24"/>
          <w:szCs w:val="24"/>
        </w:rPr>
        <w:tab/>
      </w:r>
      <w:r>
        <w:rPr>
          <w:rFonts w:hint="default" w:ascii="Times New Roman" w:hAnsi="Times New Roman"/>
          <w:kern w:val="0"/>
          <w:sz w:val="24"/>
          <w:szCs w:val="24"/>
        </w:rPr>
        <w:t xml:space="preserve">Z. Ma, M. Kar, C. Xiao, M. Forsyth, D. R. MacFarlane,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78</w:t>
      </w:r>
      <w:r>
        <w:rPr>
          <w:rFonts w:hint="default" w:ascii="Times New Roman" w:hAnsi="Times New Roman"/>
          <w:kern w:val="0"/>
          <w:sz w:val="24"/>
          <w:szCs w:val="24"/>
        </w:rPr>
        <w:t>, 29.</w:t>
      </w:r>
    </w:p>
    <w:p w14:paraId="42026FA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[43]</w:t>
      </w:r>
      <w:r>
        <w:rPr>
          <w:rFonts w:hint="default" w:ascii="Times New Roman" w:hAnsi="Times New Roman"/>
          <w:kern w:val="0"/>
          <w:sz w:val="24"/>
          <w:szCs w:val="24"/>
        </w:rPr>
        <w:tab/>
      </w:r>
      <w:r>
        <w:rPr>
          <w:rFonts w:hint="default" w:ascii="Times New Roman" w:hAnsi="Times New Roman"/>
          <w:kern w:val="0"/>
          <w:sz w:val="24"/>
          <w:szCs w:val="24"/>
        </w:rPr>
        <w:t xml:space="preserve">T. J. Carter, R. Mohtadi, T. S. Arthur, F. Mizuno, R. Zhang, S. Shirai, J. W. Kampf,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53</w:t>
      </w:r>
      <w:r>
        <w:rPr>
          <w:rFonts w:hint="default" w:ascii="Times New Roman" w:hAnsi="Times New Roman"/>
          <w:kern w:val="0"/>
          <w:sz w:val="24"/>
          <w:szCs w:val="24"/>
        </w:rPr>
        <w:t>, 3173.</w:t>
      </w:r>
    </w:p>
    <w:p w14:paraId="06D41C3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[44]</w:t>
      </w:r>
      <w:r>
        <w:rPr>
          <w:rFonts w:hint="default" w:ascii="Times New Roman" w:hAnsi="Times New Roman"/>
          <w:kern w:val="0"/>
          <w:sz w:val="24"/>
          <w:szCs w:val="24"/>
        </w:rPr>
        <w:tab/>
      </w:r>
      <w:r>
        <w:rPr>
          <w:rFonts w:hint="default" w:ascii="Times New Roman" w:hAnsi="Times New Roman"/>
          <w:kern w:val="0"/>
          <w:sz w:val="24"/>
          <w:szCs w:val="24"/>
        </w:rPr>
        <w:t xml:space="preserve">O. Tutusaus, R. Mohtadi, T. S. Arthur, F. Mizuno, E. G. Nelson, Y. V. Sevryugina,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54</w:t>
      </w:r>
      <w:r>
        <w:rPr>
          <w:rFonts w:hint="default" w:ascii="Times New Roman" w:hAnsi="Times New Roman"/>
          <w:kern w:val="0"/>
          <w:sz w:val="24"/>
          <w:szCs w:val="24"/>
        </w:rPr>
        <w:t>, 7900.</w:t>
      </w:r>
    </w:p>
    <w:p w14:paraId="3C34C02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[45]</w:t>
      </w:r>
      <w:r>
        <w:rPr>
          <w:rFonts w:hint="default" w:ascii="Times New Roman" w:hAnsi="Times New Roman"/>
          <w:kern w:val="0"/>
          <w:sz w:val="24"/>
          <w:szCs w:val="24"/>
        </w:rPr>
        <w:tab/>
      </w:r>
      <w:r>
        <w:rPr>
          <w:rFonts w:hint="default" w:ascii="Times New Roman" w:hAnsi="Times New Roman"/>
          <w:kern w:val="0"/>
          <w:sz w:val="24"/>
          <w:szCs w:val="24"/>
        </w:rPr>
        <w:t xml:space="preserve">S. G. McArthur, R. Jay, L. Geng, J. Guo, V. Lavallo,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53</w:t>
      </w:r>
      <w:r>
        <w:rPr>
          <w:rFonts w:hint="default" w:ascii="Times New Roman" w:hAnsi="Times New Roman"/>
          <w:kern w:val="0"/>
          <w:sz w:val="24"/>
          <w:szCs w:val="24"/>
        </w:rPr>
        <w:t>, 4453.</w:t>
      </w:r>
    </w:p>
    <w:p w14:paraId="6ADBA3C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[46]</w:t>
      </w:r>
      <w:r>
        <w:rPr>
          <w:rFonts w:hint="default" w:ascii="Times New Roman" w:hAnsi="Times New Roman"/>
          <w:kern w:val="0"/>
          <w:sz w:val="24"/>
          <w:szCs w:val="24"/>
        </w:rPr>
        <w:tab/>
      </w:r>
      <w:r>
        <w:rPr>
          <w:rFonts w:hint="default" w:ascii="Times New Roman" w:hAnsi="Times New Roman"/>
          <w:kern w:val="0"/>
          <w:sz w:val="24"/>
          <w:szCs w:val="24"/>
        </w:rPr>
        <w:t xml:space="preserve">M. Watanabe, J. Kanazawa, T. Hamamura, T. Shimokawa, K. Miyamoto, M. Hibino, K. Nakura, Y. Inatomi, Y. Kitazawa, M. Uchiyama, </w:t>
      </w:r>
      <w:r>
        <w:rPr>
          <w:rFonts w:hint="default" w:ascii="Times New Roman" w:hAnsi="Times New Roman"/>
          <w:i/>
          <w:kern w:val="0"/>
          <w:sz w:val="24"/>
          <w:szCs w:val="24"/>
        </w:rPr>
        <w:t>Materials Advances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937.</w:t>
      </w:r>
    </w:p>
    <w:p w14:paraId="66128FE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[47]</w:t>
      </w:r>
      <w:r>
        <w:rPr>
          <w:rFonts w:hint="default" w:ascii="Times New Roman" w:hAnsi="Times New Roman"/>
          <w:kern w:val="0"/>
          <w:sz w:val="24"/>
          <w:szCs w:val="24"/>
        </w:rPr>
        <w:tab/>
      </w:r>
      <w:r>
        <w:rPr>
          <w:rFonts w:hint="default" w:ascii="Times New Roman" w:hAnsi="Times New Roman"/>
          <w:kern w:val="0"/>
          <w:sz w:val="24"/>
          <w:szCs w:val="24"/>
        </w:rPr>
        <w:t xml:space="preserve">Z. Zhao-Karger, M. E. Gil Bardaji, O. Fuhr, M. Fichtner,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10815.</w:t>
      </w:r>
    </w:p>
    <w:p w14:paraId="4298F8E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[48]</w:t>
      </w:r>
      <w:r>
        <w:rPr>
          <w:rFonts w:hint="default" w:ascii="Times New Roman" w:hAnsi="Times New Roman"/>
          <w:kern w:val="0"/>
          <w:sz w:val="24"/>
          <w:szCs w:val="24"/>
        </w:rPr>
        <w:tab/>
      </w:r>
      <w:r>
        <w:rPr>
          <w:rFonts w:hint="default" w:ascii="Times New Roman" w:hAnsi="Times New Roman"/>
          <w:kern w:val="0"/>
          <w:sz w:val="24"/>
          <w:szCs w:val="24"/>
        </w:rPr>
        <w:t xml:space="preserve">J. Luo, Y. Bi, L. Zhang, X. Zhang, T. L. Liu,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58</w:t>
      </w:r>
      <w:r>
        <w:rPr>
          <w:rFonts w:hint="default" w:ascii="Times New Roman" w:hAnsi="Times New Roman"/>
          <w:kern w:val="0"/>
          <w:sz w:val="24"/>
          <w:szCs w:val="24"/>
        </w:rPr>
        <w:t>, 6967.</w:t>
      </w:r>
    </w:p>
    <w:p w14:paraId="30AC990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[49]</w:t>
      </w:r>
      <w:r>
        <w:rPr>
          <w:rFonts w:hint="default" w:ascii="Times New Roman" w:hAnsi="Times New Roman"/>
          <w:kern w:val="0"/>
          <w:sz w:val="24"/>
          <w:szCs w:val="24"/>
        </w:rPr>
        <w:tab/>
      </w:r>
      <w:r>
        <w:rPr>
          <w:rFonts w:hint="default" w:ascii="Times New Roman" w:hAnsi="Times New Roman"/>
          <w:kern w:val="0"/>
          <w:sz w:val="24"/>
          <w:szCs w:val="24"/>
        </w:rPr>
        <w:t xml:space="preserve">W. Ren, D. Wu, Y. NuLi, D. Zhang, Y. Yang, Y. Wang, J. Yang, J. Wang,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6</w:t>
      </w:r>
      <w:r>
        <w:rPr>
          <w:rFonts w:hint="default" w:ascii="Times New Roman" w:hAnsi="Times New Roman"/>
          <w:kern w:val="0"/>
          <w:sz w:val="24"/>
          <w:szCs w:val="24"/>
        </w:rPr>
        <w:t>, 3212.</w:t>
      </w:r>
    </w:p>
    <w:p w14:paraId="537937D1">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[50]</w:t>
      </w:r>
      <w:r>
        <w:rPr>
          <w:rFonts w:hint="default" w:ascii="Times New Roman" w:hAnsi="Times New Roman"/>
          <w:kern w:val="0"/>
          <w:sz w:val="24"/>
          <w:szCs w:val="24"/>
        </w:rPr>
        <w:tab/>
      </w:r>
      <w:r>
        <w:rPr>
          <w:rFonts w:hint="default" w:ascii="Times New Roman" w:hAnsi="Times New Roman"/>
          <w:kern w:val="0"/>
          <w:sz w:val="24"/>
          <w:szCs w:val="24"/>
        </w:rPr>
        <w:t xml:space="preserve">J. T. Herb, C. A. Nist-Lund, C. B. Arnold,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w:t>
      </w:r>
      <w:r>
        <w:rPr>
          <w:rFonts w:hint="default" w:ascii="Times New Roman" w:hAnsi="Times New Roman"/>
          <w:kern w:val="0"/>
          <w:sz w:val="24"/>
          <w:szCs w:val="24"/>
        </w:rPr>
        <w:t>, 1227.</w:t>
      </w:r>
    </w:p>
    <w:p w14:paraId="4835F0F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[51]</w:t>
      </w:r>
      <w:r>
        <w:rPr>
          <w:rFonts w:hint="default" w:ascii="Times New Roman" w:hAnsi="Times New Roman"/>
          <w:kern w:val="0"/>
          <w:sz w:val="24"/>
          <w:szCs w:val="24"/>
        </w:rPr>
        <w:tab/>
      </w:r>
      <w:r>
        <w:rPr>
          <w:rFonts w:hint="default" w:ascii="Times New Roman" w:hAnsi="Times New Roman"/>
          <w:kern w:val="0"/>
          <w:sz w:val="24"/>
          <w:szCs w:val="24"/>
        </w:rPr>
        <w:t xml:space="preserve">T. Mandai, Y. Youn, Y. Tateyama, </w:t>
      </w:r>
      <w:r>
        <w:rPr>
          <w:rFonts w:hint="default" w:ascii="Times New Roman" w:hAnsi="Times New Roman"/>
          <w:i/>
          <w:kern w:val="0"/>
          <w:sz w:val="24"/>
          <w:szCs w:val="24"/>
        </w:rPr>
        <w:t>Materials Advances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6283.</w:t>
      </w:r>
    </w:p>
    <w:p w14:paraId="0B08168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[52]</w:t>
      </w:r>
      <w:r>
        <w:rPr>
          <w:rFonts w:hint="default" w:ascii="Times New Roman" w:hAnsi="Times New Roman"/>
          <w:kern w:val="0"/>
          <w:sz w:val="24"/>
          <w:szCs w:val="24"/>
        </w:rPr>
        <w:tab/>
      </w:r>
      <w:r>
        <w:rPr>
          <w:rFonts w:hint="default" w:ascii="Times New Roman" w:hAnsi="Times New Roman"/>
          <w:kern w:val="0"/>
          <w:sz w:val="24"/>
          <w:szCs w:val="24"/>
        </w:rPr>
        <w:t xml:space="preserve">Y. Shen, K. Xu, Z. Zhao‐Karger, X. Zhao, </w:t>
      </w:r>
      <w:r>
        <w:rPr>
          <w:rFonts w:hint="default" w:ascii="Times New Roman" w:hAnsi="Times New Roman"/>
          <w:i/>
          <w:kern w:val="0"/>
          <w:sz w:val="24"/>
          <w:szCs w:val="24"/>
        </w:rPr>
        <w:t>Energy &amp; Environmental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e70124.</w:t>
      </w:r>
    </w:p>
    <w:p w14:paraId="5C078FE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[53]</w:t>
      </w:r>
      <w:r>
        <w:rPr>
          <w:rFonts w:hint="default" w:ascii="Times New Roman" w:hAnsi="Times New Roman"/>
          <w:kern w:val="0"/>
          <w:sz w:val="24"/>
          <w:szCs w:val="24"/>
        </w:rPr>
        <w:tab/>
      </w:r>
      <w:r>
        <w:rPr>
          <w:rFonts w:hint="default" w:ascii="Times New Roman" w:hAnsi="Times New Roman"/>
          <w:kern w:val="0"/>
          <w:sz w:val="24"/>
          <w:szCs w:val="24"/>
        </w:rPr>
        <w:t xml:space="preserve">N. A. Andreeva, V. V. Chaban, </w:t>
      </w:r>
      <w:r>
        <w:rPr>
          <w:rFonts w:hint="default" w:ascii="Times New Roman" w:hAnsi="Times New Roman"/>
          <w:i/>
          <w:kern w:val="0"/>
          <w:sz w:val="24"/>
          <w:szCs w:val="24"/>
        </w:rPr>
        <w:t>Materials Chemistry and Physics</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349</w:t>
      </w:r>
      <w:r>
        <w:rPr>
          <w:rFonts w:hint="default" w:ascii="Times New Roman" w:hAnsi="Times New Roman"/>
          <w:kern w:val="0"/>
          <w:sz w:val="24"/>
          <w:szCs w:val="24"/>
        </w:rPr>
        <w:t>, 131741.</w:t>
      </w:r>
    </w:p>
    <w:p w14:paraId="0016D2A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[54]</w:t>
      </w:r>
      <w:r>
        <w:rPr>
          <w:rFonts w:hint="default" w:ascii="Times New Roman" w:hAnsi="Times New Roman"/>
          <w:kern w:val="0"/>
          <w:sz w:val="24"/>
          <w:szCs w:val="24"/>
        </w:rPr>
        <w:tab/>
      </w:r>
      <w:r>
        <w:rPr>
          <w:rFonts w:hint="default" w:ascii="Times New Roman" w:hAnsi="Times New Roman"/>
          <w:kern w:val="0"/>
          <w:sz w:val="24"/>
          <w:szCs w:val="24"/>
        </w:rPr>
        <w:t xml:space="preserve">R. Jay, A. W. Tomich, J. Zhang, Y. Zhao, A. De Gorostiza, V. Lavallo, J. Guo,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11</w:t>
      </w:r>
      <w:r>
        <w:rPr>
          <w:rFonts w:hint="default" w:ascii="Times New Roman" w:hAnsi="Times New Roman"/>
          <w:kern w:val="0"/>
          <w:sz w:val="24"/>
          <w:szCs w:val="24"/>
        </w:rPr>
        <w:t>, 11414.</w:t>
      </w:r>
    </w:p>
    <w:p w14:paraId="15A2465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[55]</w:t>
      </w:r>
      <w:r>
        <w:rPr>
          <w:rFonts w:hint="default" w:ascii="Times New Roman" w:hAnsi="Times New Roman"/>
          <w:kern w:val="0"/>
          <w:sz w:val="24"/>
          <w:szCs w:val="24"/>
        </w:rPr>
        <w:tab/>
      </w:r>
      <w:r>
        <w:rPr>
          <w:rFonts w:hint="default" w:ascii="Times New Roman" w:hAnsi="Times New Roman"/>
          <w:kern w:val="0"/>
          <w:sz w:val="24"/>
          <w:szCs w:val="24"/>
        </w:rPr>
        <w:t xml:space="preserve">B. Pan, J. Huang, N. Sa, S. M. Brombosz, J. T. Vaughey, L. Zhang, A. K. Burrell, Z. Zhang, C. Liao,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163</w:t>
      </w:r>
      <w:r>
        <w:rPr>
          <w:rFonts w:hint="default" w:ascii="Times New Roman" w:hAnsi="Times New Roman"/>
          <w:kern w:val="0"/>
          <w:sz w:val="24"/>
          <w:szCs w:val="24"/>
        </w:rPr>
        <w:t>, A1672.</w:t>
      </w:r>
    </w:p>
    <w:p w14:paraId="0BB7040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[56]</w:t>
      </w:r>
      <w:r>
        <w:rPr>
          <w:rFonts w:hint="default" w:ascii="Times New Roman" w:hAnsi="Times New Roman"/>
          <w:kern w:val="0"/>
          <w:sz w:val="24"/>
          <w:szCs w:val="24"/>
        </w:rPr>
        <w:tab/>
      </w:r>
      <w:r>
        <w:rPr>
          <w:rFonts w:hint="default" w:ascii="Times New Roman" w:hAnsi="Times New Roman"/>
          <w:kern w:val="0"/>
          <w:sz w:val="24"/>
          <w:szCs w:val="24"/>
        </w:rPr>
        <w:t xml:space="preserve">T. Liu, Y. Shao, G. Li, M. Gu, J. Hu, S. Xu, Z. Nie, X. Chen, C. Wang, J. Liu,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3430.</w:t>
      </w:r>
    </w:p>
    <w:p w14:paraId="4F538BC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[57]</w:t>
      </w:r>
      <w:r>
        <w:rPr>
          <w:rFonts w:hint="default" w:ascii="Times New Roman" w:hAnsi="Times New Roman"/>
          <w:kern w:val="0"/>
          <w:sz w:val="24"/>
          <w:szCs w:val="24"/>
        </w:rPr>
        <w:tab/>
      </w:r>
      <w:r>
        <w:rPr>
          <w:rFonts w:hint="default" w:ascii="Times New Roman" w:hAnsi="Times New Roman"/>
          <w:kern w:val="0"/>
          <w:sz w:val="24"/>
          <w:szCs w:val="24"/>
        </w:rPr>
        <w:t xml:space="preserve">N. Sa, B. Pan, A. Saha-Shah, A. A. Hubaud, J. T. Vaughey, L. A. Baker, C. Liao, A. K. Burrell,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16002.</w:t>
      </w:r>
    </w:p>
    <w:p w14:paraId="0A7F9F3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[58]</w:t>
      </w:r>
      <w:r>
        <w:rPr>
          <w:rFonts w:hint="default" w:ascii="Times New Roman" w:hAnsi="Times New Roman"/>
          <w:kern w:val="0"/>
          <w:sz w:val="24"/>
          <w:szCs w:val="24"/>
        </w:rPr>
        <w:tab/>
      </w:r>
      <w:r>
        <w:rPr>
          <w:rFonts w:hint="default" w:ascii="Times New Roman" w:hAnsi="Times New Roman"/>
          <w:kern w:val="0"/>
          <w:sz w:val="24"/>
          <w:szCs w:val="24"/>
        </w:rPr>
        <w:t xml:space="preserve">M. Salama, I. Shterenberg, L. J. W. Shimon, K. Keinan-Adamsky, M. Afri, Y. Gofer, D. Aurbach, </w:t>
      </w:r>
      <w:r>
        <w:rPr>
          <w:rFonts w:hint="default" w:ascii="Times New Roman" w:hAnsi="Times New Roman"/>
          <w:i/>
          <w:kern w:val="0"/>
          <w:sz w:val="24"/>
          <w:szCs w:val="24"/>
        </w:rPr>
        <w:t>The Journal of Physical Chemistry C</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121</w:t>
      </w:r>
      <w:r>
        <w:rPr>
          <w:rFonts w:hint="default" w:ascii="Times New Roman" w:hAnsi="Times New Roman"/>
          <w:kern w:val="0"/>
          <w:sz w:val="24"/>
          <w:szCs w:val="24"/>
        </w:rPr>
        <w:t>, 24909.</w:t>
      </w:r>
    </w:p>
    <w:p w14:paraId="22CD111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[59]</w:t>
      </w:r>
      <w:r>
        <w:rPr>
          <w:rFonts w:hint="default" w:ascii="Times New Roman" w:hAnsi="Times New Roman"/>
          <w:kern w:val="0"/>
          <w:sz w:val="24"/>
          <w:szCs w:val="24"/>
        </w:rPr>
        <w:tab/>
      </w:r>
      <w:r>
        <w:rPr>
          <w:rFonts w:hint="default" w:ascii="Times New Roman" w:hAnsi="Times New Roman"/>
          <w:kern w:val="0"/>
          <w:sz w:val="24"/>
          <w:szCs w:val="24"/>
        </w:rPr>
        <w:t xml:space="preserve">Y. Cheng, R. M. Stolley, K. S. Han, Y. Shao, B. W. Arey, N. M. Washton, K. T. Mueller, M. L. Helm, V. L. Sprenkle, J. Liu, G. Li, </w:t>
      </w:r>
      <w:r>
        <w:rPr>
          <w:rFonts w:hint="default" w:ascii="Times New Roman" w:hAnsi="Times New Roman"/>
          <w:i/>
          <w:kern w:val="0"/>
          <w:sz w:val="24"/>
          <w:szCs w:val="24"/>
        </w:rPr>
        <w:t>Physical Chemistry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13307.</w:t>
      </w:r>
    </w:p>
    <w:p w14:paraId="754BDDC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[60]</w:t>
      </w:r>
      <w:r>
        <w:rPr>
          <w:rFonts w:hint="default" w:ascii="Times New Roman" w:hAnsi="Times New Roman"/>
          <w:kern w:val="0"/>
          <w:sz w:val="24"/>
          <w:szCs w:val="24"/>
        </w:rPr>
        <w:tab/>
      </w:r>
      <w:r>
        <w:rPr>
          <w:rFonts w:hint="default" w:ascii="Times New Roman" w:hAnsi="Times New Roman"/>
          <w:kern w:val="0"/>
          <w:sz w:val="24"/>
          <w:szCs w:val="24"/>
        </w:rPr>
        <w:t xml:space="preserve">P. Canepa, S. Jayaraman, L. Cheng, N. N. Rajput, W. D. Richards, G. S. Gautam, L. A. Curtiss, K. A. Persson, G. Ceder,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3718.</w:t>
      </w:r>
    </w:p>
    <w:p w14:paraId="0387FFC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[61]</w:t>
      </w:r>
      <w:r>
        <w:rPr>
          <w:rFonts w:hint="default" w:ascii="Times New Roman" w:hAnsi="Times New Roman"/>
          <w:kern w:val="0"/>
          <w:sz w:val="24"/>
          <w:szCs w:val="24"/>
        </w:rPr>
        <w:tab/>
      </w:r>
      <w:r>
        <w:rPr>
          <w:rFonts w:hint="default" w:ascii="Times New Roman" w:hAnsi="Times New Roman"/>
          <w:kern w:val="0"/>
          <w:sz w:val="24"/>
          <w:szCs w:val="24"/>
        </w:rPr>
        <w:t xml:space="preserve">O. Mizrahi, N. Amir, E. Pollak, O. Chusid, V. Marks, H. Gottlieb, L. Larush, E. Zinigrad, D. Aurbach,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2008</w:t>
      </w:r>
      <w:r>
        <w:rPr>
          <w:rFonts w:hint="default" w:ascii="Times New Roman" w:hAnsi="Times New Roman"/>
          <w:kern w:val="0"/>
          <w:sz w:val="24"/>
          <w:szCs w:val="24"/>
        </w:rPr>
        <w:t xml:space="preserve">, </w:t>
      </w:r>
      <w:r>
        <w:rPr>
          <w:rFonts w:hint="default" w:ascii="Times New Roman" w:hAnsi="Times New Roman"/>
          <w:i/>
          <w:kern w:val="0"/>
          <w:sz w:val="24"/>
          <w:szCs w:val="24"/>
        </w:rPr>
        <w:t>155</w:t>
      </w:r>
      <w:r>
        <w:rPr>
          <w:rFonts w:hint="default" w:ascii="Times New Roman" w:hAnsi="Times New Roman"/>
          <w:kern w:val="0"/>
          <w:sz w:val="24"/>
          <w:szCs w:val="24"/>
        </w:rPr>
        <w:t>, A103.</w:t>
      </w:r>
    </w:p>
    <w:p w14:paraId="36A9A8D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[62]</w:t>
      </w:r>
      <w:r>
        <w:rPr>
          <w:rFonts w:hint="default" w:ascii="Times New Roman" w:hAnsi="Times New Roman"/>
          <w:kern w:val="0"/>
          <w:sz w:val="24"/>
          <w:szCs w:val="24"/>
        </w:rPr>
        <w:tab/>
      </w:r>
      <w:r>
        <w:rPr>
          <w:rFonts w:hint="default" w:ascii="Times New Roman" w:hAnsi="Times New Roman"/>
          <w:kern w:val="0"/>
          <w:sz w:val="24"/>
          <w:szCs w:val="24"/>
        </w:rPr>
        <w:t xml:space="preserve">R. E. Doe, R. Han, J. Hwang, A. J. Gmitter, I. Shterenberg, H. D. Yoo, N. Pour, D. Aurbach,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50</w:t>
      </w:r>
      <w:r>
        <w:rPr>
          <w:rFonts w:hint="default" w:ascii="Times New Roman" w:hAnsi="Times New Roman"/>
          <w:kern w:val="0"/>
          <w:sz w:val="24"/>
          <w:szCs w:val="24"/>
        </w:rPr>
        <w:t>, 243.</w:t>
      </w:r>
    </w:p>
    <w:p w14:paraId="4B00A8F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[63]</w:t>
      </w:r>
      <w:r>
        <w:rPr>
          <w:rFonts w:hint="default" w:ascii="Times New Roman" w:hAnsi="Times New Roman"/>
          <w:kern w:val="0"/>
          <w:sz w:val="24"/>
          <w:szCs w:val="24"/>
        </w:rPr>
        <w:tab/>
      </w:r>
      <w:r>
        <w:rPr>
          <w:rFonts w:hint="default" w:ascii="Times New Roman" w:hAnsi="Times New Roman"/>
          <w:kern w:val="0"/>
          <w:sz w:val="24"/>
          <w:szCs w:val="24"/>
        </w:rPr>
        <w:t xml:space="preserve">K. A. See, K. W. Chapman, L. Zhu, K. M. Wiaderek, O. J. Borkiewicz, C. J. Barile, P. J. Chupas, A. A. Gewirth,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138</w:t>
      </w:r>
      <w:r>
        <w:rPr>
          <w:rFonts w:hint="default" w:ascii="Times New Roman" w:hAnsi="Times New Roman"/>
          <w:kern w:val="0"/>
          <w:sz w:val="24"/>
          <w:szCs w:val="24"/>
        </w:rPr>
        <w:t>, 328.</w:t>
      </w:r>
    </w:p>
    <w:p w14:paraId="0A92E59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[64]</w:t>
      </w:r>
      <w:r>
        <w:rPr>
          <w:rFonts w:hint="default" w:ascii="Times New Roman" w:hAnsi="Times New Roman"/>
          <w:kern w:val="0"/>
          <w:sz w:val="24"/>
          <w:szCs w:val="24"/>
        </w:rPr>
        <w:tab/>
      </w:r>
      <w:r>
        <w:rPr>
          <w:rFonts w:hint="default" w:ascii="Times New Roman" w:hAnsi="Times New Roman"/>
          <w:kern w:val="0"/>
          <w:sz w:val="24"/>
          <w:szCs w:val="24"/>
        </w:rPr>
        <w:t xml:space="preserve">J. H. Ha, B. Adams, J.-H. Cho, V. Duffort, J. H. Kim, K. Y. Chung, B. W. Cho, L. F. Nazar, S. H. Oh,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7160.</w:t>
      </w:r>
    </w:p>
    <w:p w14:paraId="0DA9D5B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[65]</w:t>
      </w:r>
      <w:r>
        <w:rPr>
          <w:rFonts w:hint="default" w:ascii="Times New Roman" w:hAnsi="Times New Roman"/>
          <w:kern w:val="0"/>
          <w:sz w:val="24"/>
          <w:szCs w:val="24"/>
        </w:rPr>
        <w:tab/>
      </w:r>
      <w:r>
        <w:rPr>
          <w:rFonts w:hint="default" w:ascii="Times New Roman" w:hAnsi="Times New Roman"/>
          <w:kern w:val="0"/>
          <w:sz w:val="24"/>
          <w:szCs w:val="24"/>
        </w:rPr>
        <w:t xml:space="preserve">C. Liebenow, Z. Yang, P. Lobitz,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2000</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641.</w:t>
      </w:r>
    </w:p>
    <w:p w14:paraId="39CEB47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[66]</w:t>
      </w:r>
      <w:r>
        <w:rPr>
          <w:rFonts w:hint="default" w:ascii="Times New Roman" w:hAnsi="Times New Roman"/>
          <w:kern w:val="0"/>
          <w:sz w:val="24"/>
          <w:szCs w:val="24"/>
        </w:rPr>
        <w:tab/>
      </w:r>
      <w:r>
        <w:rPr>
          <w:rFonts w:hint="default" w:ascii="Times New Roman" w:hAnsi="Times New Roman"/>
          <w:kern w:val="0"/>
          <w:sz w:val="24"/>
          <w:szCs w:val="24"/>
        </w:rPr>
        <w:t xml:space="preserve">Y. Li, S. Guan, H. Huo, Y. Ma, Y. Gao, P. Zuo, G. Yin, </w:t>
      </w:r>
      <w:r>
        <w:rPr>
          <w:rFonts w:hint="default" w:ascii="Times New Roman" w:hAnsi="Times New Roman"/>
          <w:i/>
          <w:kern w:val="0"/>
          <w:sz w:val="24"/>
          <w:szCs w:val="24"/>
        </w:rPr>
        <w:t>Advanced Functional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31</w:t>
      </w:r>
      <w:r>
        <w:rPr>
          <w:rFonts w:hint="default" w:ascii="Times New Roman" w:hAnsi="Times New Roman"/>
          <w:kern w:val="0"/>
          <w:sz w:val="24"/>
          <w:szCs w:val="24"/>
        </w:rPr>
        <w:t>, 2100650.</w:t>
      </w:r>
    </w:p>
    <w:p w14:paraId="78E5C8E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[67]</w:t>
      </w:r>
      <w:r>
        <w:rPr>
          <w:rFonts w:hint="default" w:ascii="Times New Roman" w:hAnsi="Times New Roman"/>
          <w:kern w:val="0"/>
          <w:sz w:val="24"/>
          <w:szCs w:val="24"/>
        </w:rPr>
        <w:tab/>
      </w:r>
      <w:r>
        <w:rPr>
          <w:rFonts w:hint="default" w:ascii="Times New Roman" w:hAnsi="Times New Roman"/>
          <w:kern w:val="0"/>
          <w:sz w:val="24"/>
          <w:szCs w:val="24"/>
        </w:rPr>
        <w:t xml:space="preserve">S. He, K. V. Nielson, J. Luo, T. L. Liu,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184.</w:t>
      </w:r>
    </w:p>
    <w:p w14:paraId="01ECB0B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[68]</w:t>
      </w:r>
      <w:r>
        <w:rPr>
          <w:rFonts w:hint="default" w:ascii="Times New Roman" w:hAnsi="Times New Roman"/>
          <w:kern w:val="0"/>
          <w:sz w:val="24"/>
          <w:szCs w:val="24"/>
        </w:rPr>
        <w:tab/>
      </w:r>
      <w:r>
        <w:rPr>
          <w:rFonts w:hint="default" w:ascii="Times New Roman" w:hAnsi="Times New Roman"/>
          <w:kern w:val="0"/>
          <w:sz w:val="24"/>
          <w:szCs w:val="24"/>
        </w:rPr>
        <w:t xml:space="preserve">B. Pan, J. Zhang, J. Huang, J. T. Vaughey, L. Zhang, S.-D. Han, A. K. Burrell, Z. Zhang, C. Liao,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51</w:t>
      </w:r>
      <w:r>
        <w:rPr>
          <w:rFonts w:hint="default" w:ascii="Times New Roman" w:hAnsi="Times New Roman"/>
          <w:kern w:val="0"/>
          <w:sz w:val="24"/>
          <w:szCs w:val="24"/>
        </w:rPr>
        <w:t>, 6214.</w:t>
      </w:r>
    </w:p>
    <w:p w14:paraId="25B5119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[69]</w:t>
      </w:r>
      <w:r>
        <w:rPr>
          <w:rFonts w:hint="default" w:ascii="Times New Roman" w:hAnsi="Times New Roman"/>
          <w:kern w:val="0"/>
          <w:sz w:val="24"/>
          <w:szCs w:val="24"/>
        </w:rPr>
        <w:tab/>
      </w:r>
      <w:r>
        <w:rPr>
          <w:rFonts w:hint="default" w:ascii="Times New Roman" w:hAnsi="Times New Roman"/>
          <w:kern w:val="0"/>
          <w:sz w:val="24"/>
          <w:szCs w:val="24"/>
        </w:rPr>
        <w:t xml:space="preserve">M. Egashira, K. Hiratsuka, K. Matsubara, Y. Akita, H. Munakata, K. Kanamura, </w:t>
      </w:r>
      <w:r>
        <w:rPr>
          <w:rFonts w:hint="default" w:ascii="Times New Roman" w:hAnsi="Times New Roman"/>
          <w:i/>
          <w:kern w:val="0"/>
          <w:sz w:val="24"/>
          <w:szCs w:val="24"/>
        </w:rPr>
        <w:t>Materials Today Energy</w:t>
      </w:r>
      <w:r>
        <w:rPr>
          <w:rFonts w:hint="default" w:ascii="Times New Roman" w:hAnsi="Times New Roman"/>
          <w:kern w:val="0"/>
          <w:sz w:val="24"/>
          <w:szCs w:val="24"/>
        </w:rPr>
        <w:t xml:space="preserve"> </w:t>
      </w:r>
      <w:r>
        <w:rPr>
          <w:rFonts w:hint="default" w:ascii="Times New Roman" w:hAnsi="Times New Roman"/>
          <w:b/>
          <w:kern w:val="0"/>
          <w:sz w:val="24"/>
          <w:szCs w:val="24"/>
        </w:rPr>
        <w:t>2018</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279.</w:t>
      </w:r>
    </w:p>
    <w:p w14:paraId="2AB9C9A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[70]</w:t>
      </w:r>
      <w:r>
        <w:rPr>
          <w:rFonts w:hint="default" w:ascii="Times New Roman" w:hAnsi="Times New Roman"/>
          <w:kern w:val="0"/>
          <w:sz w:val="24"/>
          <w:szCs w:val="24"/>
        </w:rPr>
        <w:tab/>
      </w:r>
      <w:r>
        <w:rPr>
          <w:rFonts w:hint="default" w:ascii="Times New Roman" w:hAnsi="Times New Roman"/>
          <w:kern w:val="0"/>
          <w:sz w:val="24"/>
          <w:szCs w:val="24"/>
        </w:rPr>
        <w:t xml:space="preserve">Y. Yang, Y. Qiu, Y. NuLi, W. Wang, J. Yang, J. Wang,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7</w:t>
      </w:r>
      <w:r>
        <w:rPr>
          <w:rFonts w:hint="default" w:ascii="Times New Roman" w:hAnsi="Times New Roman"/>
          <w:kern w:val="0"/>
          <w:sz w:val="24"/>
          <w:szCs w:val="24"/>
        </w:rPr>
        <w:t>, 18295.</w:t>
      </w:r>
    </w:p>
    <w:p w14:paraId="4CDBFFD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[71]</w:t>
      </w:r>
      <w:r>
        <w:rPr>
          <w:rFonts w:hint="default" w:ascii="Times New Roman" w:hAnsi="Times New Roman"/>
          <w:kern w:val="0"/>
          <w:sz w:val="24"/>
          <w:szCs w:val="24"/>
        </w:rPr>
        <w:tab/>
      </w:r>
      <w:r>
        <w:rPr>
          <w:rFonts w:hint="default" w:ascii="Times New Roman" w:hAnsi="Times New Roman"/>
          <w:kern w:val="0"/>
          <w:sz w:val="24"/>
          <w:szCs w:val="24"/>
        </w:rPr>
        <w:t xml:space="preserve">M. Cheng, Y. Wang, D. Zhang, S. Zhang, Y. Yang, X. Lv, J. Wang, Y. NuLi, </w:t>
      </w:r>
      <w:r>
        <w:rPr>
          <w:rFonts w:hint="default" w:ascii="Times New Roman" w:hAnsi="Times New Roman"/>
          <w:i/>
          <w:kern w:val="0"/>
          <w:sz w:val="24"/>
          <w:szCs w:val="24"/>
        </w:rPr>
        <w:t>Journal of Energy Chemistry</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76</w:t>
      </w:r>
      <w:r>
        <w:rPr>
          <w:rFonts w:hint="default" w:ascii="Times New Roman" w:hAnsi="Times New Roman"/>
          <w:kern w:val="0"/>
          <w:sz w:val="24"/>
          <w:szCs w:val="24"/>
        </w:rPr>
        <w:t>, 1.</w:t>
      </w:r>
    </w:p>
    <w:p w14:paraId="177B917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[72]</w:t>
      </w:r>
      <w:r>
        <w:rPr>
          <w:rFonts w:hint="default" w:ascii="Times New Roman" w:hAnsi="Times New Roman"/>
          <w:kern w:val="0"/>
          <w:sz w:val="24"/>
          <w:szCs w:val="24"/>
        </w:rPr>
        <w:tab/>
      </w:r>
      <w:r>
        <w:rPr>
          <w:rFonts w:hint="default" w:ascii="Times New Roman" w:hAnsi="Times New Roman"/>
          <w:kern w:val="0"/>
          <w:sz w:val="24"/>
          <w:szCs w:val="24"/>
        </w:rPr>
        <w:t xml:space="preserve">C. Liao, N. Sa, B. Key, A. K. Burrell, L. Cheng, L. A. Curtiss, J. T. Vaughey, J.-J. Woo, L. Hu, B. Pan, Z. Zhang,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6082.</w:t>
      </w:r>
    </w:p>
    <w:p w14:paraId="6B39197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[73]</w:t>
      </w:r>
      <w:r>
        <w:rPr>
          <w:rFonts w:hint="default" w:ascii="Times New Roman" w:hAnsi="Times New Roman"/>
          <w:kern w:val="0"/>
          <w:sz w:val="24"/>
          <w:szCs w:val="24"/>
        </w:rPr>
        <w:tab/>
      </w:r>
      <w:r>
        <w:rPr>
          <w:rFonts w:hint="default" w:ascii="Times New Roman" w:hAnsi="Times New Roman"/>
          <w:kern w:val="0"/>
          <w:sz w:val="24"/>
          <w:szCs w:val="24"/>
        </w:rPr>
        <w:t xml:space="preserve">R. Mohtadi, M. Matsui, T. S. Arthur, S.-J. Hwang,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2012</w:t>
      </w:r>
      <w:r>
        <w:rPr>
          <w:rFonts w:hint="default" w:ascii="Times New Roman" w:hAnsi="Times New Roman"/>
          <w:kern w:val="0"/>
          <w:sz w:val="24"/>
          <w:szCs w:val="24"/>
        </w:rPr>
        <w:t xml:space="preserve">, </w:t>
      </w:r>
      <w:r>
        <w:rPr>
          <w:rFonts w:hint="default" w:ascii="Times New Roman" w:hAnsi="Times New Roman"/>
          <w:i/>
          <w:kern w:val="0"/>
          <w:sz w:val="24"/>
          <w:szCs w:val="24"/>
        </w:rPr>
        <w:t>51</w:t>
      </w:r>
      <w:r>
        <w:rPr>
          <w:rFonts w:hint="default" w:ascii="Times New Roman" w:hAnsi="Times New Roman"/>
          <w:kern w:val="0"/>
          <w:sz w:val="24"/>
          <w:szCs w:val="24"/>
        </w:rPr>
        <w:t>, 9780.</w:t>
      </w:r>
    </w:p>
    <w:p w14:paraId="2098AAA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[74]</w:t>
      </w:r>
      <w:r>
        <w:rPr>
          <w:rFonts w:hint="default" w:ascii="Times New Roman" w:hAnsi="Times New Roman"/>
          <w:kern w:val="0"/>
          <w:sz w:val="24"/>
          <w:szCs w:val="24"/>
        </w:rPr>
        <w:tab/>
      </w:r>
      <w:r>
        <w:rPr>
          <w:rFonts w:hint="default" w:ascii="Times New Roman" w:hAnsi="Times New Roman"/>
          <w:kern w:val="0"/>
          <w:sz w:val="24"/>
          <w:szCs w:val="24"/>
        </w:rPr>
        <w:t xml:space="preserve">Y. Shao, T. Liu, G. Li, M. Gu, Z. Nie, M. Engelhard, J. Xiao, D. Lv, C. Wang, J.-G. Zhang, J. Liu, </w:t>
      </w:r>
      <w:r>
        <w:rPr>
          <w:rFonts w:hint="default" w:ascii="Times New Roman" w:hAnsi="Times New Roman"/>
          <w:i/>
          <w:kern w:val="0"/>
          <w:sz w:val="24"/>
          <w:szCs w:val="24"/>
        </w:rPr>
        <w:t>Scientific Reports</w:t>
      </w:r>
      <w:r>
        <w:rPr>
          <w:rFonts w:hint="default" w:ascii="Times New Roman" w:hAnsi="Times New Roman"/>
          <w:kern w:val="0"/>
          <w:sz w:val="24"/>
          <w:szCs w:val="24"/>
        </w:rPr>
        <w:t xml:space="preserve"> </w:t>
      </w:r>
      <w:r>
        <w:rPr>
          <w:rFonts w:hint="default" w:ascii="Times New Roman" w:hAnsi="Times New Roman"/>
          <w:b/>
          <w:kern w:val="0"/>
          <w:sz w:val="24"/>
          <w:szCs w:val="24"/>
        </w:rPr>
        <w:t>2013</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3130.</w:t>
      </w:r>
    </w:p>
    <w:p w14:paraId="23869B1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[75]</w:t>
      </w:r>
      <w:r>
        <w:rPr>
          <w:rFonts w:hint="default" w:ascii="Times New Roman" w:hAnsi="Times New Roman"/>
          <w:kern w:val="0"/>
          <w:sz w:val="24"/>
          <w:szCs w:val="24"/>
        </w:rPr>
        <w:tab/>
      </w:r>
      <w:r>
        <w:rPr>
          <w:rFonts w:hint="default" w:ascii="Times New Roman" w:hAnsi="Times New Roman"/>
          <w:kern w:val="0"/>
          <w:sz w:val="24"/>
          <w:szCs w:val="24"/>
        </w:rPr>
        <w:t xml:space="preserve">F. Tuerxun, Y. Abulizi, Y. NuLi, S. Su, J. Yang, J. Wang, </w:t>
      </w:r>
      <w:r>
        <w:rPr>
          <w:rFonts w:hint="default" w:ascii="Times New Roman" w:hAnsi="Times New Roman"/>
          <w:i/>
          <w:kern w:val="0"/>
          <w:sz w:val="24"/>
          <w:szCs w:val="24"/>
        </w:rPr>
        <w:t>Journal of Power Sources</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276</w:t>
      </w:r>
      <w:r>
        <w:rPr>
          <w:rFonts w:hint="default" w:ascii="Times New Roman" w:hAnsi="Times New Roman"/>
          <w:kern w:val="0"/>
          <w:sz w:val="24"/>
          <w:szCs w:val="24"/>
        </w:rPr>
        <w:t>, 255.</w:t>
      </w:r>
    </w:p>
    <w:p w14:paraId="2548C8E4">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[76]</w:t>
      </w:r>
      <w:r>
        <w:rPr>
          <w:rFonts w:hint="default" w:ascii="Times New Roman" w:hAnsi="Times New Roman"/>
          <w:kern w:val="0"/>
          <w:sz w:val="24"/>
          <w:szCs w:val="24"/>
        </w:rPr>
        <w:tab/>
      </w:r>
      <w:r>
        <w:rPr>
          <w:rFonts w:hint="default" w:ascii="Times New Roman" w:hAnsi="Times New Roman"/>
          <w:kern w:val="0"/>
          <w:sz w:val="24"/>
          <w:szCs w:val="24"/>
        </w:rPr>
        <w:t xml:space="preserve">S. Hou, X. Ji, K. Gaskell, P. -f Wang, L. Wang, J. Xu, R. Sun, O. Borodin, C. Wang, </w:t>
      </w:r>
      <w:r>
        <w:rPr>
          <w:rFonts w:hint="default" w:ascii="Times New Roman" w:hAnsi="Times New Roman"/>
          <w:i/>
          <w:kern w:val="0"/>
          <w:sz w:val="24"/>
          <w:szCs w:val="24"/>
        </w:rPr>
        <w:t>Science</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374</w:t>
      </w:r>
      <w:r>
        <w:rPr>
          <w:rFonts w:hint="default" w:ascii="Times New Roman" w:hAnsi="Times New Roman"/>
          <w:kern w:val="0"/>
          <w:sz w:val="24"/>
          <w:szCs w:val="24"/>
        </w:rPr>
        <w:t>, 172.</w:t>
      </w:r>
    </w:p>
    <w:p w14:paraId="41D8782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[77]</w:t>
      </w:r>
      <w:r>
        <w:rPr>
          <w:rFonts w:hint="default" w:ascii="Times New Roman" w:hAnsi="Times New Roman"/>
          <w:kern w:val="0"/>
          <w:sz w:val="24"/>
          <w:szCs w:val="24"/>
        </w:rPr>
        <w:tab/>
      </w:r>
      <w:r>
        <w:rPr>
          <w:rFonts w:hint="default" w:ascii="Times New Roman" w:hAnsi="Times New Roman"/>
          <w:kern w:val="0"/>
          <w:sz w:val="24"/>
          <w:szCs w:val="24"/>
        </w:rPr>
        <w:t xml:space="preserve">S. Fan, G. M. Asselin, B. Pan, H. Wang, Y. Ren, J. T. Vaughey, N. Sa,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10252.</w:t>
      </w:r>
    </w:p>
    <w:p w14:paraId="56B5E77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[78]</w:t>
      </w:r>
      <w:r>
        <w:rPr>
          <w:rFonts w:hint="default" w:ascii="Times New Roman" w:hAnsi="Times New Roman"/>
          <w:kern w:val="0"/>
          <w:sz w:val="24"/>
          <w:szCs w:val="24"/>
        </w:rPr>
        <w:tab/>
      </w:r>
      <w:r>
        <w:rPr>
          <w:rFonts w:hint="default" w:ascii="Times New Roman" w:hAnsi="Times New Roman"/>
          <w:kern w:val="0"/>
          <w:sz w:val="24"/>
          <w:szCs w:val="24"/>
        </w:rPr>
        <w:t xml:space="preserve">S. Fan, S. Cora, N. Sa,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14</w:t>
      </w:r>
      <w:r>
        <w:rPr>
          <w:rFonts w:hint="default" w:ascii="Times New Roman" w:hAnsi="Times New Roman"/>
          <w:kern w:val="0"/>
          <w:sz w:val="24"/>
          <w:szCs w:val="24"/>
        </w:rPr>
        <w:t>, 46635.</w:t>
      </w:r>
    </w:p>
    <w:p w14:paraId="584EBBA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[79]</w:t>
      </w:r>
      <w:r>
        <w:rPr>
          <w:rFonts w:hint="default" w:ascii="Times New Roman" w:hAnsi="Times New Roman"/>
          <w:kern w:val="0"/>
          <w:sz w:val="24"/>
          <w:szCs w:val="24"/>
        </w:rPr>
        <w:tab/>
      </w:r>
      <w:r>
        <w:rPr>
          <w:rFonts w:hint="default" w:ascii="Times New Roman" w:hAnsi="Times New Roman"/>
          <w:kern w:val="0"/>
          <w:sz w:val="24"/>
          <w:szCs w:val="24"/>
        </w:rPr>
        <w:t xml:space="preserve">F. Wang, H. Hua, D. Wu, J. Li, Y. Xu, X. Nie, Y. Zhuang, J. Zeng, J. Zhao,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780.</w:t>
      </w:r>
    </w:p>
    <w:p w14:paraId="3C1C934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[80]</w:t>
      </w:r>
      <w:r>
        <w:rPr>
          <w:rFonts w:hint="default" w:ascii="Times New Roman" w:hAnsi="Times New Roman"/>
          <w:kern w:val="0"/>
          <w:sz w:val="24"/>
          <w:szCs w:val="24"/>
        </w:rPr>
        <w:tab/>
      </w:r>
      <w:r>
        <w:rPr>
          <w:rFonts w:hint="default" w:ascii="Times New Roman" w:hAnsi="Times New Roman"/>
          <w:kern w:val="0"/>
          <w:sz w:val="24"/>
          <w:szCs w:val="24"/>
        </w:rPr>
        <w:t xml:space="preserve">Z. Li, D.-T. Nguyen, J. D. Bazak, K. S. Han, Y. Chen, V. Prabhakaran, T. T. Le, Z. Cheng, M. Song, V. G. Pol, K. T. Mueller, V. Murugesan,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14</w:t>
      </w:r>
      <w:r>
        <w:rPr>
          <w:rFonts w:hint="default" w:ascii="Times New Roman" w:hAnsi="Times New Roman"/>
          <w:kern w:val="0"/>
          <w:sz w:val="24"/>
          <w:szCs w:val="24"/>
        </w:rPr>
        <w:t>, 2301544.</w:t>
      </w:r>
    </w:p>
    <w:p w14:paraId="6CD65CA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[81]</w:t>
      </w:r>
      <w:r>
        <w:rPr>
          <w:rFonts w:hint="default" w:ascii="Times New Roman" w:hAnsi="Times New Roman"/>
          <w:kern w:val="0"/>
          <w:sz w:val="24"/>
          <w:szCs w:val="24"/>
        </w:rPr>
        <w:tab/>
      </w:r>
      <w:r>
        <w:rPr>
          <w:rFonts w:hint="default" w:ascii="Times New Roman" w:hAnsi="Times New Roman"/>
          <w:kern w:val="0"/>
          <w:sz w:val="24"/>
          <w:szCs w:val="24"/>
        </w:rPr>
        <w:t xml:space="preserve">M. Pan, Y. Sun, Y. Zhao, X. Zeng, J. Yang, J. Wang, Y. NuLi,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65</w:t>
      </w:r>
      <w:r>
        <w:rPr>
          <w:rFonts w:hint="default" w:ascii="Times New Roman" w:hAnsi="Times New Roman"/>
          <w:kern w:val="0"/>
          <w:sz w:val="24"/>
          <w:szCs w:val="24"/>
        </w:rPr>
        <w:t>, e6066611.</w:t>
      </w:r>
    </w:p>
    <w:p w14:paraId="50BC62A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[82]</w:t>
      </w:r>
      <w:r>
        <w:rPr>
          <w:rFonts w:hint="default" w:ascii="Times New Roman" w:hAnsi="Times New Roman"/>
          <w:kern w:val="0"/>
          <w:sz w:val="24"/>
          <w:szCs w:val="24"/>
        </w:rPr>
        <w:tab/>
      </w:r>
      <w:r>
        <w:rPr>
          <w:rFonts w:hint="default" w:ascii="Times New Roman" w:hAnsi="Times New Roman"/>
          <w:kern w:val="0"/>
          <w:sz w:val="24"/>
          <w:szCs w:val="24"/>
        </w:rPr>
        <w:t xml:space="preserve">J. Xiao, X. Zhang, H. Fan, Q. Lin, L. Pan, H. Liu, Y. Su, X. Li, Y. Su, S. Ren, Y. Lin, Y. Zhang,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2202602.</w:t>
      </w:r>
    </w:p>
    <w:p w14:paraId="696218F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[83]</w:t>
      </w:r>
      <w:r>
        <w:rPr>
          <w:rFonts w:hint="default" w:ascii="Times New Roman" w:hAnsi="Times New Roman"/>
          <w:kern w:val="0"/>
          <w:sz w:val="24"/>
          <w:szCs w:val="24"/>
        </w:rPr>
        <w:tab/>
      </w:r>
      <w:r>
        <w:rPr>
          <w:rFonts w:hint="default" w:ascii="Times New Roman" w:hAnsi="Times New Roman"/>
          <w:kern w:val="0"/>
          <w:sz w:val="24"/>
          <w:szCs w:val="24"/>
        </w:rPr>
        <w:t xml:space="preserve">S. Wang, K. Wang, Y. Zhang, Y. Jie, X. Li, Y. Pan, X. Gao, Q. Nian, R. Cao, Q. Li, S. Jiao, D. Xu,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62</w:t>
      </w:r>
      <w:r>
        <w:rPr>
          <w:rFonts w:hint="default" w:ascii="Times New Roman" w:hAnsi="Times New Roman"/>
          <w:kern w:val="0"/>
          <w:sz w:val="24"/>
          <w:szCs w:val="24"/>
        </w:rPr>
        <w:t>, e202304411.</w:t>
      </w:r>
    </w:p>
    <w:p w14:paraId="7C0C89C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[84]</w:t>
      </w:r>
      <w:r>
        <w:rPr>
          <w:rFonts w:hint="default" w:ascii="Times New Roman" w:hAnsi="Times New Roman"/>
          <w:kern w:val="0"/>
          <w:sz w:val="24"/>
          <w:szCs w:val="24"/>
        </w:rPr>
        <w:tab/>
      </w:r>
      <w:r>
        <w:rPr>
          <w:rFonts w:hint="default" w:ascii="Times New Roman" w:hAnsi="Times New Roman"/>
          <w:kern w:val="0"/>
          <w:sz w:val="24"/>
          <w:szCs w:val="24"/>
        </w:rPr>
        <w:t xml:space="preserve">M. Wang, W. Sun, K. Zhang, Z. Zhang, A. Du, S. Dong, J. Zhang, J. Liu, X. Chen, Z. Zhou, F. Li, Z. Li, G. Li, G. Cui,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630.</w:t>
      </w:r>
    </w:p>
    <w:p w14:paraId="2AC8164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[85]</w:t>
      </w:r>
      <w:r>
        <w:rPr>
          <w:rFonts w:hint="default" w:ascii="Times New Roman" w:hAnsi="Times New Roman"/>
          <w:kern w:val="0"/>
          <w:sz w:val="24"/>
          <w:szCs w:val="24"/>
        </w:rPr>
        <w:tab/>
      </w:r>
      <w:r>
        <w:rPr>
          <w:rFonts w:hint="default" w:ascii="Times New Roman" w:hAnsi="Times New Roman"/>
          <w:kern w:val="0"/>
          <w:sz w:val="24"/>
          <w:szCs w:val="24"/>
        </w:rPr>
        <w:t xml:space="preserve">Y. Wang, Z. Cao, Z. Ma, G. Liu, H. Cheng, Y. Zou, L. Cavallo, Q. Li, J. Ming,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1477.</w:t>
      </w:r>
    </w:p>
    <w:p w14:paraId="71E4AA4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[86]</w:t>
      </w:r>
      <w:r>
        <w:rPr>
          <w:rFonts w:hint="default" w:ascii="Times New Roman" w:hAnsi="Times New Roman"/>
          <w:kern w:val="0"/>
          <w:sz w:val="24"/>
          <w:szCs w:val="24"/>
        </w:rPr>
        <w:tab/>
      </w:r>
      <w:r>
        <w:rPr>
          <w:rFonts w:hint="default" w:ascii="Times New Roman" w:hAnsi="Times New Roman"/>
          <w:kern w:val="0"/>
          <w:sz w:val="24"/>
          <w:szCs w:val="24"/>
        </w:rPr>
        <w:t xml:space="preserve">J. Zhang, Z. Zhang, H. Zhou, J. Liu, A. Du, S. Dong, X. Zhou, Q. Wang, G. Li, G. Cui,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37</w:t>
      </w:r>
      <w:r>
        <w:rPr>
          <w:rFonts w:hint="default" w:ascii="Times New Roman" w:hAnsi="Times New Roman"/>
          <w:kern w:val="0"/>
          <w:sz w:val="24"/>
          <w:szCs w:val="24"/>
        </w:rPr>
        <w:t>, 2417652.</w:t>
      </w:r>
    </w:p>
    <w:p w14:paraId="25576C2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[87]</w:t>
      </w:r>
      <w:r>
        <w:rPr>
          <w:rFonts w:hint="default" w:ascii="Times New Roman" w:hAnsi="Times New Roman"/>
          <w:kern w:val="0"/>
          <w:sz w:val="24"/>
          <w:szCs w:val="24"/>
        </w:rPr>
        <w:tab/>
      </w:r>
      <w:r>
        <w:rPr>
          <w:rFonts w:hint="default" w:ascii="Times New Roman" w:hAnsi="Times New Roman"/>
          <w:kern w:val="0"/>
          <w:sz w:val="24"/>
          <w:szCs w:val="24"/>
        </w:rPr>
        <w:t xml:space="preserve">D. Zhang, Y. Wang, Y. Yang, Y. Zhang, Y. Zhao, M. Pan, Y. Sun, S. Chen, X. Liu, J. Wang, Y. NuLi,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13</w:t>
      </w:r>
      <w:r>
        <w:rPr>
          <w:rFonts w:hint="default" w:ascii="Times New Roman" w:hAnsi="Times New Roman"/>
          <w:kern w:val="0"/>
          <w:sz w:val="24"/>
          <w:szCs w:val="24"/>
        </w:rPr>
        <w:t>, 2301795.</w:t>
      </w:r>
    </w:p>
    <w:p w14:paraId="308997E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[88]</w:t>
      </w:r>
      <w:r>
        <w:rPr>
          <w:rFonts w:hint="default" w:ascii="Times New Roman" w:hAnsi="Times New Roman"/>
          <w:kern w:val="0"/>
          <w:sz w:val="24"/>
          <w:szCs w:val="24"/>
        </w:rPr>
        <w:tab/>
      </w:r>
      <w:r>
        <w:rPr>
          <w:rFonts w:hint="default" w:ascii="Times New Roman" w:hAnsi="Times New Roman"/>
          <w:kern w:val="0"/>
          <w:sz w:val="24"/>
          <w:szCs w:val="24"/>
        </w:rPr>
        <w:t xml:space="preserve">Y. Liu, L. Qian, X. Li, Y. Tian, J. Ma, S. Song, Y. Zhang, A. Yuan, H. Tian, </w:t>
      </w:r>
      <w:r>
        <w:rPr>
          <w:rFonts w:hint="default" w:ascii="Times New Roman" w:hAnsi="Times New Roman"/>
          <w:i/>
          <w:kern w:val="0"/>
          <w:sz w:val="24"/>
          <w:szCs w:val="24"/>
        </w:rPr>
        <w:t>ACS Central Science</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1526.</w:t>
      </w:r>
    </w:p>
    <w:p w14:paraId="3163837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[89]</w:t>
      </w:r>
      <w:r>
        <w:rPr>
          <w:rFonts w:hint="default" w:ascii="Times New Roman" w:hAnsi="Times New Roman"/>
          <w:kern w:val="0"/>
          <w:sz w:val="24"/>
          <w:szCs w:val="24"/>
        </w:rPr>
        <w:tab/>
      </w:r>
      <w:r>
        <w:rPr>
          <w:rFonts w:hint="default" w:ascii="Times New Roman" w:hAnsi="Times New Roman"/>
          <w:kern w:val="0"/>
          <w:sz w:val="24"/>
          <w:szCs w:val="24"/>
        </w:rPr>
        <w:t xml:space="preserve">J. Wen, Q. Qu, J. Yang, X. Zhang, X. Yin, X. Liu, L. Li, X. Zhou, </w:t>
      </w:r>
      <w:r>
        <w:rPr>
          <w:rFonts w:hint="default" w:ascii="Times New Roman" w:hAnsi="Times New Roman"/>
          <w:i/>
          <w:kern w:val="0"/>
          <w:sz w:val="24"/>
          <w:szCs w:val="24"/>
        </w:rPr>
        <w:t>Langmuir</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42</w:t>
      </w:r>
      <w:r>
        <w:rPr>
          <w:rFonts w:hint="default" w:ascii="Times New Roman" w:hAnsi="Times New Roman"/>
          <w:kern w:val="0"/>
          <w:sz w:val="24"/>
          <w:szCs w:val="24"/>
        </w:rPr>
        <w:t>, 28905.</w:t>
      </w:r>
    </w:p>
    <w:p w14:paraId="1FA085A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[90]</w:t>
      </w:r>
      <w:r>
        <w:rPr>
          <w:rFonts w:hint="default" w:ascii="Times New Roman" w:hAnsi="Times New Roman"/>
          <w:kern w:val="0"/>
          <w:sz w:val="24"/>
          <w:szCs w:val="24"/>
        </w:rPr>
        <w:tab/>
      </w:r>
      <w:r>
        <w:rPr>
          <w:rFonts w:hint="default" w:ascii="Times New Roman" w:hAnsi="Times New Roman"/>
          <w:kern w:val="0"/>
          <w:sz w:val="24"/>
          <w:szCs w:val="24"/>
        </w:rPr>
        <w:t xml:space="preserve">J. Ji, X. Zhou, L. Zhang, S. Zhong, G. Huang, D. Zhang, C. Xu, Y. Liu, </w:t>
      </w:r>
      <w:r>
        <w:rPr>
          <w:rFonts w:hint="default" w:ascii="Times New Roman" w:hAnsi="Times New Roman"/>
          <w:i/>
          <w:kern w:val="0"/>
          <w:sz w:val="24"/>
          <w:szCs w:val="24"/>
        </w:rPr>
        <w:t>The Journal of Physical Chemistry Letters</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11295.</w:t>
      </w:r>
    </w:p>
    <w:p w14:paraId="3BAA05A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[91]</w:t>
      </w:r>
      <w:r>
        <w:rPr>
          <w:rFonts w:hint="default" w:ascii="Times New Roman" w:hAnsi="Times New Roman"/>
          <w:kern w:val="0"/>
          <w:sz w:val="24"/>
          <w:szCs w:val="24"/>
        </w:rPr>
        <w:tab/>
      </w:r>
      <w:r>
        <w:rPr>
          <w:rFonts w:hint="default" w:ascii="Times New Roman" w:hAnsi="Times New Roman"/>
          <w:kern w:val="0"/>
          <w:sz w:val="24"/>
          <w:szCs w:val="24"/>
        </w:rPr>
        <w:t xml:space="preserve">J. Zhang, N. Yuan, J. Liu, X. Guo, X. Chen, Z. Zhou, Z. Zhang, G. Li, </w:t>
      </w:r>
      <w:r>
        <w:rPr>
          <w:rFonts w:hint="default" w:ascii="Times New Roman" w:hAnsi="Times New Roman"/>
          <w:i/>
          <w:kern w:val="0"/>
          <w:sz w:val="24"/>
          <w:szCs w:val="24"/>
        </w:rPr>
        <w:t>Journal of Energy Chemistry</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98</w:t>
      </w:r>
      <w:r>
        <w:rPr>
          <w:rFonts w:hint="default" w:ascii="Times New Roman" w:hAnsi="Times New Roman"/>
          <w:kern w:val="0"/>
          <w:sz w:val="24"/>
          <w:szCs w:val="24"/>
        </w:rPr>
        <w:t>, 615.</w:t>
      </w:r>
    </w:p>
    <w:p w14:paraId="5D9F3AF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[92]</w:t>
      </w:r>
      <w:r>
        <w:rPr>
          <w:rFonts w:hint="default" w:ascii="Times New Roman" w:hAnsi="Times New Roman"/>
          <w:kern w:val="0"/>
          <w:sz w:val="24"/>
          <w:szCs w:val="24"/>
        </w:rPr>
        <w:tab/>
      </w:r>
      <w:r>
        <w:rPr>
          <w:rFonts w:hint="default" w:ascii="Times New Roman" w:hAnsi="Times New Roman"/>
          <w:kern w:val="0"/>
          <w:sz w:val="24"/>
          <w:szCs w:val="24"/>
        </w:rPr>
        <w:t xml:space="preserve">G. Torrie, J. Valleau, </w:t>
      </w:r>
      <w:r>
        <w:rPr>
          <w:rFonts w:hint="default" w:ascii="Times New Roman" w:hAnsi="Times New Roman"/>
          <w:i/>
          <w:kern w:val="0"/>
          <w:sz w:val="24"/>
          <w:szCs w:val="24"/>
        </w:rPr>
        <w:t>Journal of Computational Physics</w:t>
      </w:r>
      <w:r>
        <w:rPr>
          <w:rFonts w:hint="default" w:ascii="Times New Roman" w:hAnsi="Times New Roman"/>
          <w:kern w:val="0"/>
          <w:sz w:val="24"/>
          <w:szCs w:val="24"/>
        </w:rPr>
        <w:t xml:space="preserve"> </w:t>
      </w:r>
      <w:r>
        <w:rPr>
          <w:rFonts w:hint="default" w:ascii="Times New Roman" w:hAnsi="Times New Roman"/>
          <w:b/>
          <w:kern w:val="0"/>
          <w:sz w:val="24"/>
          <w:szCs w:val="24"/>
        </w:rPr>
        <w:t>1977</w:t>
      </w:r>
      <w:r>
        <w:rPr>
          <w:rFonts w:hint="default" w:ascii="Times New Roman" w:hAnsi="Times New Roman"/>
          <w:kern w:val="0"/>
          <w:sz w:val="24"/>
          <w:szCs w:val="24"/>
        </w:rPr>
        <w:t xml:space="preserve">, </w:t>
      </w:r>
      <w:r>
        <w:rPr>
          <w:rFonts w:hint="default" w:ascii="Times New Roman" w:hAnsi="Times New Roman"/>
          <w:i/>
          <w:kern w:val="0"/>
          <w:sz w:val="24"/>
          <w:szCs w:val="24"/>
        </w:rPr>
        <w:t>23</w:t>
      </w:r>
      <w:r>
        <w:rPr>
          <w:rFonts w:hint="default" w:ascii="Times New Roman" w:hAnsi="Times New Roman"/>
          <w:kern w:val="0"/>
          <w:sz w:val="24"/>
          <w:szCs w:val="24"/>
        </w:rPr>
        <w:t>, 187.</w:t>
      </w:r>
    </w:p>
    <w:p w14:paraId="6CA505A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[93]</w:t>
      </w:r>
      <w:r>
        <w:rPr>
          <w:rFonts w:hint="default" w:ascii="Times New Roman" w:hAnsi="Times New Roman"/>
          <w:kern w:val="0"/>
          <w:sz w:val="24"/>
          <w:szCs w:val="24"/>
        </w:rPr>
        <w:tab/>
      </w:r>
      <w:r>
        <w:rPr>
          <w:rFonts w:hint="default" w:ascii="Times New Roman" w:hAnsi="Times New Roman"/>
          <w:kern w:val="0"/>
          <w:sz w:val="24"/>
          <w:szCs w:val="24"/>
        </w:rPr>
        <w:t xml:space="preserve">A. Laio, M. Parrinello, </w:t>
      </w:r>
      <w:r>
        <w:rPr>
          <w:rFonts w:hint="default" w:ascii="Times New Roman" w:hAnsi="Times New Roman"/>
          <w:i/>
          <w:kern w:val="0"/>
          <w:sz w:val="24"/>
          <w:szCs w:val="24"/>
        </w:rPr>
        <w:t>Proceedings of the National Academy of Sciences of the United States of America</w:t>
      </w:r>
      <w:r>
        <w:rPr>
          <w:rFonts w:hint="default" w:ascii="Times New Roman" w:hAnsi="Times New Roman"/>
          <w:kern w:val="0"/>
          <w:sz w:val="24"/>
          <w:szCs w:val="24"/>
        </w:rPr>
        <w:t xml:space="preserve"> </w:t>
      </w:r>
      <w:r>
        <w:rPr>
          <w:rFonts w:hint="default" w:ascii="Times New Roman" w:hAnsi="Times New Roman"/>
          <w:b/>
          <w:kern w:val="0"/>
          <w:sz w:val="24"/>
          <w:szCs w:val="24"/>
        </w:rPr>
        <w:t>2002</w:t>
      </w:r>
      <w:r>
        <w:rPr>
          <w:rFonts w:hint="default" w:ascii="Times New Roman" w:hAnsi="Times New Roman"/>
          <w:kern w:val="0"/>
          <w:sz w:val="24"/>
          <w:szCs w:val="24"/>
        </w:rPr>
        <w:t xml:space="preserve">, </w:t>
      </w:r>
      <w:r>
        <w:rPr>
          <w:rFonts w:hint="default" w:ascii="Times New Roman" w:hAnsi="Times New Roman"/>
          <w:i/>
          <w:kern w:val="0"/>
          <w:sz w:val="24"/>
          <w:szCs w:val="24"/>
        </w:rPr>
        <w:t>99</w:t>
      </w:r>
      <w:r>
        <w:rPr>
          <w:rFonts w:hint="default" w:ascii="Times New Roman" w:hAnsi="Times New Roman"/>
          <w:kern w:val="0"/>
          <w:sz w:val="24"/>
          <w:szCs w:val="24"/>
        </w:rPr>
        <w:t>, 12562.</w:t>
      </w:r>
    </w:p>
    <w:p w14:paraId="7C404C4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[94]</w:t>
      </w:r>
      <w:r>
        <w:rPr>
          <w:rFonts w:hint="default" w:ascii="Times New Roman" w:hAnsi="Times New Roman"/>
          <w:kern w:val="0"/>
          <w:sz w:val="24"/>
          <w:szCs w:val="24"/>
        </w:rPr>
        <w:tab/>
      </w:r>
      <w:r>
        <w:rPr>
          <w:rFonts w:hint="default" w:ascii="Times New Roman" w:hAnsi="Times New Roman"/>
          <w:kern w:val="0"/>
          <w:sz w:val="24"/>
          <w:szCs w:val="24"/>
        </w:rPr>
        <w:t xml:space="preserve">M. R. Shirts, J. D. Chodera, </w:t>
      </w:r>
      <w:r>
        <w:rPr>
          <w:rFonts w:hint="default" w:ascii="Times New Roman" w:hAnsi="Times New Roman"/>
          <w:i/>
          <w:kern w:val="0"/>
          <w:sz w:val="24"/>
          <w:szCs w:val="24"/>
        </w:rPr>
        <w:t>The Journal of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2008</w:t>
      </w:r>
      <w:r>
        <w:rPr>
          <w:rFonts w:hint="default" w:ascii="Times New Roman" w:hAnsi="Times New Roman"/>
          <w:kern w:val="0"/>
          <w:sz w:val="24"/>
          <w:szCs w:val="24"/>
        </w:rPr>
        <w:t xml:space="preserve">, </w:t>
      </w:r>
      <w:r>
        <w:rPr>
          <w:rFonts w:hint="default" w:ascii="Times New Roman" w:hAnsi="Times New Roman"/>
          <w:i/>
          <w:kern w:val="0"/>
          <w:sz w:val="24"/>
          <w:szCs w:val="24"/>
        </w:rPr>
        <w:t>129</w:t>
      </w:r>
      <w:r>
        <w:rPr>
          <w:rFonts w:hint="default" w:ascii="Times New Roman" w:hAnsi="Times New Roman"/>
          <w:kern w:val="0"/>
          <w:sz w:val="24"/>
          <w:szCs w:val="24"/>
        </w:rPr>
        <w:t>, 124105.</w:t>
      </w:r>
    </w:p>
    <w:p w14:paraId="7B61118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[95]</w:t>
      </w:r>
      <w:r>
        <w:rPr>
          <w:rFonts w:hint="default" w:ascii="Times New Roman" w:hAnsi="Times New Roman"/>
          <w:kern w:val="0"/>
          <w:sz w:val="24"/>
          <w:szCs w:val="24"/>
        </w:rPr>
        <w:tab/>
      </w:r>
      <w:r>
        <w:rPr>
          <w:rFonts w:hint="default" w:ascii="Times New Roman" w:hAnsi="Times New Roman"/>
          <w:kern w:val="0"/>
          <w:sz w:val="24"/>
          <w:szCs w:val="24"/>
        </w:rPr>
        <w:t xml:space="preserve">R. Sundararaman, W. A. Goddard, T. A. Arias, </w:t>
      </w:r>
      <w:r>
        <w:rPr>
          <w:rFonts w:hint="default" w:ascii="Times New Roman" w:hAnsi="Times New Roman"/>
          <w:i/>
          <w:kern w:val="0"/>
          <w:sz w:val="24"/>
          <w:szCs w:val="24"/>
        </w:rPr>
        <w:t>The Journal of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146</w:t>
      </w:r>
      <w:r>
        <w:rPr>
          <w:rFonts w:hint="default" w:ascii="Times New Roman" w:hAnsi="Times New Roman"/>
          <w:kern w:val="0"/>
          <w:sz w:val="24"/>
          <w:szCs w:val="24"/>
        </w:rPr>
        <w:t>, 114104.</w:t>
      </w:r>
    </w:p>
    <w:p w14:paraId="4502741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[96]</w:t>
      </w:r>
      <w:r>
        <w:rPr>
          <w:rFonts w:hint="default" w:ascii="Times New Roman" w:hAnsi="Times New Roman"/>
          <w:kern w:val="0"/>
          <w:sz w:val="24"/>
          <w:szCs w:val="24"/>
        </w:rPr>
        <w:tab/>
      </w:r>
      <w:r>
        <w:rPr>
          <w:rFonts w:hint="default" w:ascii="Times New Roman" w:hAnsi="Times New Roman"/>
          <w:kern w:val="0"/>
          <w:sz w:val="24"/>
          <w:szCs w:val="24"/>
        </w:rPr>
        <w:t xml:space="preserve">J. Z. Hu, N. N. Rajput, C. Wan, Y. Shao, X. Deng, N. R. Jaegers, M. Hu, Y. Chen, Y. Shin, J. Monk, Z. Chen, Z. Qin, K. T. Mueller, J. Liu, K. A. Persson, </w:t>
      </w:r>
      <w:r>
        <w:rPr>
          <w:rFonts w:hint="default" w:ascii="Times New Roman" w:hAnsi="Times New Roman"/>
          <w:i/>
          <w:kern w:val="0"/>
          <w:sz w:val="24"/>
          <w:szCs w:val="24"/>
        </w:rPr>
        <w:t>Nano Energy</w:t>
      </w:r>
      <w:r>
        <w:rPr>
          <w:rFonts w:hint="default" w:ascii="Times New Roman" w:hAnsi="Times New Roman"/>
          <w:kern w:val="0"/>
          <w:sz w:val="24"/>
          <w:szCs w:val="24"/>
        </w:rPr>
        <w:t xml:space="preserve"> </w:t>
      </w:r>
      <w:r>
        <w:rPr>
          <w:rFonts w:hint="default" w:ascii="Times New Roman" w:hAnsi="Times New Roman"/>
          <w:b/>
          <w:kern w:val="0"/>
          <w:sz w:val="24"/>
          <w:szCs w:val="24"/>
        </w:rPr>
        <w:t>2018</w:t>
      </w:r>
      <w:r>
        <w:rPr>
          <w:rFonts w:hint="default" w:ascii="Times New Roman" w:hAnsi="Times New Roman"/>
          <w:kern w:val="0"/>
          <w:sz w:val="24"/>
          <w:szCs w:val="24"/>
        </w:rPr>
        <w:t xml:space="preserve">, </w:t>
      </w:r>
      <w:r>
        <w:rPr>
          <w:rFonts w:hint="default" w:ascii="Times New Roman" w:hAnsi="Times New Roman"/>
          <w:i/>
          <w:kern w:val="0"/>
          <w:sz w:val="24"/>
          <w:szCs w:val="24"/>
        </w:rPr>
        <w:t>46</w:t>
      </w:r>
      <w:r>
        <w:rPr>
          <w:rFonts w:hint="default" w:ascii="Times New Roman" w:hAnsi="Times New Roman"/>
          <w:kern w:val="0"/>
          <w:sz w:val="24"/>
          <w:szCs w:val="24"/>
        </w:rPr>
        <w:t>, 436.</w:t>
      </w:r>
    </w:p>
    <w:p w14:paraId="2F3BB20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[97]</w:t>
      </w:r>
      <w:r>
        <w:rPr>
          <w:rFonts w:hint="default" w:ascii="Times New Roman" w:hAnsi="Times New Roman"/>
          <w:kern w:val="0"/>
          <w:sz w:val="24"/>
          <w:szCs w:val="24"/>
        </w:rPr>
        <w:tab/>
      </w:r>
      <w:r>
        <w:rPr>
          <w:rFonts w:hint="default" w:ascii="Times New Roman" w:hAnsi="Times New Roman"/>
          <w:kern w:val="0"/>
          <w:sz w:val="24"/>
          <w:szCs w:val="24"/>
        </w:rPr>
        <w:t xml:space="preserve">Z. Yang, L. Gao, N. J. Leon, C. Liao, B. J. Ingram, L. Trahey, </w:t>
      </w:r>
      <w:r>
        <w:rPr>
          <w:rFonts w:hint="default" w:ascii="Times New Roman" w:hAnsi="Times New Roman"/>
          <w:i/>
          <w:kern w:val="0"/>
          <w:sz w:val="24"/>
          <w:szCs w:val="24"/>
        </w:rPr>
        <w:t>ACS Applied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w:t>
      </w:r>
      <w:r>
        <w:rPr>
          <w:rFonts w:hint="default" w:ascii="Times New Roman" w:hAnsi="Times New Roman"/>
          <w:kern w:val="0"/>
          <w:sz w:val="24"/>
          <w:szCs w:val="24"/>
        </w:rPr>
        <w:t>, 1666.</w:t>
      </w:r>
    </w:p>
    <w:p w14:paraId="16A49A5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[98]</w:t>
      </w:r>
      <w:r>
        <w:rPr>
          <w:rFonts w:hint="default" w:ascii="Times New Roman" w:hAnsi="Times New Roman"/>
          <w:kern w:val="0"/>
          <w:sz w:val="24"/>
          <w:szCs w:val="24"/>
        </w:rPr>
        <w:tab/>
      </w:r>
      <w:r>
        <w:rPr>
          <w:rFonts w:hint="default" w:ascii="Times New Roman" w:hAnsi="Times New Roman"/>
          <w:kern w:val="0"/>
          <w:sz w:val="24"/>
          <w:szCs w:val="24"/>
        </w:rPr>
        <w:t xml:space="preserve">H. Fan, X. Zhang, Y. Zhao, J. Xiao, H. Yuan, G. Wang, Y. Lin, J. Zhang, L. Pan, T. Pan, Y. Liu, Y. Zhang, </w:t>
      </w:r>
      <w:r>
        <w:rPr>
          <w:rFonts w:hint="default" w:ascii="Times New Roman" w:hAnsi="Times New Roman"/>
          <w:i/>
          <w:kern w:val="0"/>
          <w:sz w:val="24"/>
          <w:szCs w:val="24"/>
        </w:rPr>
        <w:t>Energy &amp; Environmental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w:t>
      </w:r>
      <w:r>
        <w:rPr>
          <w:rFonts w:hint="default" w:ascii="Times New Roman" w:hAnsi="Times New Roman"/>
          <w:kern w:val="0"/>
          <w:sz w:val="24"/>
          <w:szCs w:val="24"/>
        </w:rPr>
        <w:t>, e12327.</w:t>
      </w:r>
    </w:p>
    <w:p w14:paraId="770D8F9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[99]</w:t>
      </w:r>
      <w:r>
        <w:rPr>
          <w:rFonts w:hint="default" w:ascii="Times New Roman" w:hAnsi="Times New Roman"/>
          <w:kern w:val="0"/>
          <w:sz w:val="24"/>
          <w:szCs w:val="24"/>
        </w:rPr>
        <w:tab/>
      </w:r>
      <w:r>
        <w:rPr>
          <w:rFonts w:hint="default" w:ascii="Times New Roman" w:hAnsi="Times New Roman"/>
          <w:kern w:val="0"/>
          <w:sz w:val="24"/>
          <w:szCs w:val="24"/>
        </w:rPr>
        <w:t xml:space="preserve">I.-C. Yeh, G. Hummer, </w:t>
      </w:r>
      <w:r>
        <w:rPr>
          <w:rFonts w:hint="default" w:ascii="Times New Roman" w:hAnsi="Times New Roman"/>
          <w:i/>
          <w:kern w:val="0"/>
          <w:sz w:val="24"/>
          <w:szCs w:val="24"/>
        </w:rPr>
        <w:t>The Journal of Physical Chemistry B</w:t>
      </w:r>
      <w:r>
        <w:rPr>
          <w:rFonts w:hint="default" w:ascii="Times New Roman" w:hAnsi="Times New Roman"/>
          <w:kern w:val="0"/>
          <w:sz w:val="24"/>
          <w:szCs w:val="24"/>
        </w:rPr>
        <w:t xml:space="preserve"> </w:t>
      </w:r>
      <w:r>
        <w:rPr>
          <w:rFonts w:hint="default" w:ascii="Times New Roman" w:hAnsi="Times New Roman"/>
          <w:b/>
          <w:kern w:val="0"/>
          <w:sz w:val="24"/>
          <w:szCs w:val="24"/>
        </w:rPr>
        <w:t>2004</w:t>
      </w:r>
      <w:r>
        <w:rPr>
          <w:rFonts w:hint="default" w:ascii="Times New Roman" w:hAnsi="Times New Roman"/>
          <w:kern w:val="0"/>
          <w:sz w:val="24"/>
          <w:szCs w:val="24"/>
        </w:rPr>
        <w:t xml:space="preserve">, </w:t>
      </w:r>
      <w:r>
        <w:rPr>
          <w:rFonts w:hint="default" w:ascii="Times New Roman" w:hAnsi="Times New Roman"/>
          <w:i/>
          <w:kern w:val="0"/>
          <w:sz w:val="24"/>
          <w:szCs w:val="24"/>
        </w:rPr>
        <w:t>108</w:t>
      </w:r>
      <w:r>
        <w:rPr>
          <w:rFonts w:hint="default" w:ascii="Times New Roman" w:hAnsi="Times New Roman"/>
          <w:kern w:val="0"/>
          <w:sz w:val="24"/>
          <w:szCs w:val="24"/>
        </w:rPr>
        <w:t>, 15873.</w:t>
      </w:r>
    </w:p>
    <w:p w14:paraId="2D55C5D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[100]</w:t>
      </w:r>
      <w:r>
        <w:rPr>
          <w:rFonts w:hint="default" w:ascii="Times New Roman" w:hAnsi="Times New Roman"/>
          <w:kern w:val="0"/>
          <w:sz w:val="24"/>
          <w:szCs w:val="24"/>
        </w:rPr>
        <w:tab/>
      </w:r>
      <w:r>
        <w:rPr>
          <w:rFonts w:hint="default" w:ascii="Times New Roman" w:hAnsi="Times New Roman"/>
          <w:kern w:val="0"/>
          <w:sz w:val="24"/>
          <w:szCs w:val="24"/>
        </w:rPr>
        <w:t xml:space="preserve">R. A. Marcus, </w:t>
      </w:r>
      <w:r>
        <w:rPr>
          <w:rFonts w:hint="default" w:ascii="Times New Roman" w:hAnsi="Times New Roman"/>
          <w:i/>
          <w:kern w:val="0"/>
          <w:sz w:val="24"/>
          <w:szCs w:val="24"/>
        </w:rPr>
        <w:t>The Journal of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1956</w:t>
      </w:r>
      <w:r>
        <w:rPr>
          <w:rFonts w:hint="default" w:ascii="Times New Roman" w:hAnsi="Times New Roman"/>
          <w:kern w:val="0"/>
          <w:sz w:val="24"/>
          <w:szCs w:val="24"/>
        </w:rPr>
        <w:t xml:space="preserve">, </w:t>
      </w:r>
      <w:r>
        <w:rPr>
          <w:rFonts w:hint="default" w:ascii="Times New Roman" w:hAnsi="Times New Roman"/>
          <w:i/>
          <w:kern w:val="0"/>
          <w:sz w:val="24"/>
          <w:szCs w:val="24"/>
        </w:rPr>
        <w:t>24</w:t>
      </w:r>
      <w:r>
        <w:rPr>
          <w:rFonts w:hint="default" w:ascii="Times New Roman" w:hAnsi="Times New Roman"/>
          <w:kern w:val="0"/>
          <w:sz w:val="24"/>
          <w:szCs w:val="24"/>
        </w:rPr>
        <w:t>, 966.</w:t>
      </w:r>
    </w:p>
    <w:p w14:paraId="2F68590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[101]</w:t>
      </w:r>
      <w:r>
        <w:rPr>
          <w:rFonts w:hint="default" w:ascii="Times New Roman" w:hAnsi="Times New Roman"/>
          <w:kern w:val="0"/>
          <w:sz w:val="24"/>
          <w:szCs w:val="24"/>
        </w:rPr>
        <w:tab/>
      </w:r>
      <w:r>
        <w:rPr>
          <w:rFonts w:hint="default" w:ascii="Times New Roman" w:hAnsi="Times New Roman"/>
          <w:kern w:val="0"/>
          <w:sz w:val="24"/>
          <w:szCs w:val="24"/>
        </w:rPr>
        <w:t xml:space="preserve">L. P. Lossius, F. Emmenegger, </w:t>
      </w:r>
      <w:r>
        <w:rPr>
          <w:rFonts w:hint="default" w:ascii="Times New Roman" w:hAnsi="Times New Roman"/>
          <w:i/>
          <w:kern w:val="0"/>
          <w:sz w:val="24"/>
          <w:szCs w:val="24"/>
        </w:rPr>
        <w:t>Electrochimica Acta</w:t>
      </w:r>
      <w:r>
        <w:rPr>
          <w:rFonts w:hint="default" w:ascii="Times New Roman" w:hAnsi="Times New Roman"/>
          <w:kern w:val="0"/>
          <w:sz w:val="24"/>
          <w:szCs w:val="24"/>
        </w:rPr>
        <w:t xml:space="preserve"> </w:t>
      </w:r>
      <w:r>
        <w:rPr>
          <w:rFonts w:hint="default" w:ascii="Times New Roman" w:hAnsi="Times New Roman"/>
          <w:b/>
          <w:kern w:val="0"/>
          <w:sz w:val="24"/>
          <w:szCs w:val="24"/>
        </w:rPr>
        <w:t>1996</w:t>
      </w:r>
      <w:r>
        <w:rPr>
          <w:rFonts w:hint="default" w:ascii="Times New Roman" w:hAnsi="Times New Roman"/>
          <w:kern w:val="0"/>
          <w:sz w:val="24"/>
          <w:szCs w:val="24"/>
        </w:rPr>
        <w:t xml:space="preserve">, </w:t>
      </w:r>
      <w:r>
        <w:rPr>
          <w:rFonts w:hint="default" w:ascii="Times New Roman" w:hAnsi="Times New Roman"/>
          <w:i/>
          <w:kern w:val="0"/>
          <w:sz w:val="24"/>
          <w:szCs w:val="24"/>
        </w:rPr>
        <w:t>41</w:t>
      </w:r>
      <w:r>
        <w:rPr>
          <w:rFonts w:hint="default" w:ascii="Times New Roman" w:hAnsi="Times New Roman"/>
          <w:kern w:val="0"/>
          <w:sz w:val="24"/>
          <w:szCs w:val="24"/>
        </w:rPr>
        <w:t>, 445.</w:t>
      </w:r>
    </w:p>
    <w:p w14:paraId="3295F4E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[102]</w:t>
      </w:r>
      <w:r>
        <w:rPr>
          <w:rFonts w:hint="default" w:ascii="Times New Roman" w:hAnsi="Times New Roman"/>
          <w:kern w:val="0"/>
          <w:sz w:val="24"/>
          <w:szCs w:val="24"/>
        </w:rPr>
        <w:tab/>
      </w:r>
      <w:r>
        <w:rPr>
          <w:rFonts w:hint="default" w:ascii="Times New Roman" w:hAnsi="Times New Roman"/>
          <w:kern w:val="0"/>
          <w:sz w:val="24"/>
          <w:szCs w:val="24"/>
        </w:rPr>
        <w:t xml:space="preserve">B. W. Schick, V. Vanoppen, M. Uhl, M. Kruck, S. Riedel, Z. Zhao‐Karger, E. J. Berg, X. Hou, T. Jacob,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63</w:t>
      </w:r>
      <w:r>
        <w:rPr>
          <w:rFonts w:hint="default" w:ascii="Times New Roman" w:hAnsi="Times New Roman"/>
          <w:kern w:val="0"/>
          <w:sz w:val="24"/>
          <w:szCs w:val="24"/>
        </w:rPr>
        <w:t>, e202413058.</w:t>
      </w:r>
    </w:p>
    <w:p w14:paraId="4851971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[103]</w:t>
      </w:r>
      <w:r>
        <w:rPr>
          <w:rFonts w:hint="default" w:ascii="Times New Roman" w:hAnsi="Times New Roman"/>
          <w:kern w:val="0"/>
          <w:sz w:val="24"/>
          <w:szCs w:val="24"/>
        </w:rPr>
        <w:tab/>
      </w:r>
      <w:r>
        <w:rPr>
          <w:rFonts w:hint="default" w:ascii="Times New Roman" w:hAnsi="Times New Roman"/>
          <w:kern w:val="0"/>
          <w:sz w:val="24"/>
          <w:szCs w:val="24"/>
        </w:rPr>
        <w:t xml:space="preserve">W. Zhao, Z. Pan, Y. Zhang, Y. Liu, H. Dou, Y. Shi, Z. Zuo, B. Zhang, J. Chen, X. Zhao, X. Yang,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61</w:t>
      </w:r>
      <w:r>
        <w:rPr>
          <w:rFonts w:hint="default" w:ascii="Times New Roman" w:hAnsi="Times New Roman"/>
          <w:kern w:val="0"/>
          <w:sz w:val="24"/>
          <w:szCs w:val="24"/>
        </w:rPr>
        <w:t>, e202205187.</w:t>
      </w:r>
    </w:p>
    <w:p w14:paraId="0F32E1B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[104]</w:t>
      </w:r>
      <w:r>
        <w:rPr>
          <w:rFonts w:hint="default" w:ascii="Times New Roman" w:hAnsi="Times New Roman"/>
          <w:kern w:val="0"/>
          <w:sz w:val="24"/>
          <w:szCs w:val="24"/>
        </w:rPr>
        <w:tab/>
      </w:r>
      <w:r>
        <w:rPr>
          <w:rFonts w:hint="default" w:ascii="Times New Roman" w:hAnsi="Times New Roman"/>
          <w:kern w:val="0"/>
          <w:sz w:val="24"/>
          <w:szCs w:val="24"/>
        </w:rPr>
        <w:t xml:space="preserve">C. Chen, J. Chen, S. Tan, X. Huang, Y. Du, B. Shang, B. Qu, G. Huang, X. Zhou, J. Wang, L. Li, F. Pan,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59</w:t>
      </w:r>
      <w:r>
        <w:rPr>
          <w:rFonts w:hint="default" w:ascii="Times New Roman" w:hAnsi="Times New Roman"/>
          <w:kern w:val="0"/>
          <w:sz w:val="24"/>
          <w:szCs w:val="24"/>
        </w:rPr>
        <w:t>, 102792.</w:t>
      </w:r>
    </w:p>
    <w:p w14:paraId="0D0EAD5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[105]</w:t>
      </w:r>
      <w:r>
        <w:rPr>
          <w:rFonts w:hint="default" w:ascii="Times New Roman" w:hAnsi="Times New Roman"/>
          <w:kern w:val="0"/>
          <w:sz w:val="24"/>
          <w:szCs w:val="24"/>
        </w:rPr>
        <w:tab/>
      </w:r>
      <w:r>
        <w:rPr>
          <w:rFonts w:hint="default" w:ascii="Times New Roman" w:hAnsi="Times New Roman"/>
          <w:kern w:val="0"/>
          <w:sz w:val="24"/>
          <w:szCs w:val="24"/>
        </w:rPr>
        <w:t xml:space="preserve">W. Wang, S. Ju, H. Zhang, X. Zhou, X. Yu,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70</w:t>
      </w:r>
      <w:r>
        <w:rPr>
          <w:rFonts w:hint="default" w:ascii="Times New Roman" w:hAnsi="Times New Roman"/>
          <w:kern w:val="0"/>
          <w:sz w:val="24"/>
          <w:szCs w:val="24"/>
        </w:rPr>
        <w:t>, 103493.</w:t>
      </w:r>
    </w:p>
    <w:p w14:paraId="7B5C1CC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[106]</w:t>
      </w:r>
      <w:r>
        <w:rPr>
          <w:rFonts w:hint="default" w:ascii="Times New Roman" w:hAnsi="Times New Roman"/>
          <w:kern w:val="0"/>
          <w:sz w:val="24"/>
          <w:szCs w:val="24"/>
        </w:rPr>
        <w:tab/>
      </w:r>
      <w:r>
        <w:rPr>
          <w:rFonts w:hint="default" w:ascii="Times New Roman" w:hAnsi="Times New Roman"/>
          <w:kern w:val="0"/>
          <w:sz w:val="24"/>
          <w:szCs w:val="24"/>
        </w:rPr>
        <w:t xml:space="preserve">Y. Mao, Y. Wang, J. Wang, H. Lin, X. Yang, W. Li, M. Liu, </w:t>
      </w:r>
      <w:r>
        <w:rPr>
          <w:rFonts w:hint="default" w:ascii="Times New Roman" w:hAnsi="Times New Roman"/>
          <w:i/>
          <w:kern w:val="0"/>
          <w:sz w:val="24"/>
          <w:szCs w:val="24"/>
        </w:rPr>
        <w:t>Chemical Engineering Journal</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529</w:t>
      </w:r>
      <w:r>
        <w:rPr>
          <w:rFonts w:hint="default" w:ascii="Times New Roman" w:hAnsi="Times New Roman"/>
          <w:kern w:val="0"/>
          <w:sz w:val="24"/>
          <w:szCs w:val="24"/>
        </w:rPr>
        <w:t>, 172981.</w:t>
      </w:r>
    </w:p>
    <w:p w14:paraId="5DE4968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[107]</w:t>
      </w:r>
      <w:r>
        <w:rPr>
          <w:rFonts w:hint="default" w:ascii="Times New Roman" w:hAnsi="Times New Roman"/>
          <w:kern w:val="0"/>
          <w:sz w:val="24"/>
          <w:szCs w:val="24"/>
        </w:rPr>
        <w:tab/>
      </w:r>
      <w:r>
        <w:rPr>
          <w:rFonts w:hint="default" w:ascii="Times New Roman" w:hAnsi="Times New Roman"/>
          <w:kern w:val="0"/>
          <w:sz w:val="24"/>
          <w:szCs w:val="24"/>
        </w:rPr>
        <w:t xml:space="preserve">D.-T. Nguyen, A. Y. S. Eng, M.-F. Ng, V. Kumar, Z. Sofer, A. D. Handoko, G. S. Subramanian, Z. W. Seh, </w:t>
      </w:r>
      <w:r>
        <w:rPr>
          <w:rFonts w:hint="default" w:ascii="Times New Roman" w:hAnsi="Times New Roman"/>
          <w:i/>
          <w:kern w:val="0"/>
          <w:sz w:val="24"/>
          <w:szCs w:val="24"/>
        </w:rPr>
        <w:t>Cell Reports Physical Science</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w:t>
      </w:r>
      <w:r>
        <w:rPr>
          <w:rFonts w:hint="default" w:ascii="Times New Roman" w:hAnsi="Times New Roman"/>
          <w:kern w:val="0"/>
          <w:sz w:val="24"/>
          <w:szCs w:val="24"/>
        </w:rPr>
        <w:t>, 100265.</w:t>
      </w:r>
    </w:p>
    <w:p w14:paraId="77DB24E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[108]</w:t>
      </w:r>
      <w:r>
        <w:rPr>
          <w:rFonts w:hint="default" w:ascii="Times New Roman" w:hAnsi="Times New Roman"/>
          <w:kern w:val="0"/>
          <w:sz w:val="24"/>
          <w:szCs w:val="24"/>
        </w:rPr>
        <w:tab/>
      </w:r>
      <w:r>
        <w:rPr>
          <w:rFonts w:hint="default" w:ascii="Times New Roman" w:hAnsi="Times New Roman"/>
          <w:kern w:val="0"/>
          <w:sz w:val="24"/>
          <w:szCs w:val="24"/>
        </w:rPr>
        <w:t xml:space="preserve">D. Chinnadurai, Y. Li, C. Zhang, G. Yang, W. Y. Lieu, S. Kumar, Z. Xing, W. Liu, Z. W. Seh, </w:t>
      </w:r>
      <w:r>
        <w:rPr>
          <w:rFonts w:hint="default" w:ascii="Times New Roman" w:hAnsi="Times New Roman"/>
          <w:i/>
          <w:kern w:val="0"/>
          <w:sz w:val="24"/>
          <w:szCs w:val="24"/>
        </w:rPr>
        <w:t>Nano Letters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23</w:t>
      </w:r>
      <w:r>
        <w:rPr>
          <w:rFonts w:hint="default" w:ascii="Times New Roman" w:hAnsi="Times New Roman"/>
          <w:kern w:val="0"/>
          <w:sz w:val="24"/>
          <w:szCs w:val="24"/>
        </w:rPr>
        <w:t>, 11233.</w:t>
      </w:r>
    </w:p>
    <w:p w14:paraId="5E1AB08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[109]</w:t>
      </w:r>
      <w:r>
        <w:rPr>
          <w:rFonts w:hint="default" w:ascii="Times New Roman" w:hAnsi="Times New Roman"/>
          <w:kern w:val="0"/>
          <w:sz w:val="24"/>
          <w:szCs w:val="24"/>
        </w:rPr>
        <w:tab/>
      </w:r>
      <w:r>
        <w:rPr>
          <w:rFonts w:hint="default" w:ascii="Times New Roman" w:hAnsi="Times New Roman"/>
          <w:kern w:val="0"/>
          <w:sz w:val="24"/>
          <w:szCs w:val="24"/>
        </w:rPr>
        <w:t xml:space="preserve">H. Wang, X. Feng, Y. Chen, Y.-S. Liu, K. S. Han, M. Zhou, M. H. Engelhard, V. Murugesan, R. S. Assary, T. L. Liu, W. Henderson, Z. Nie, M. Gu, J. Xiao, C. Wang, K. Persson, D. Mei, J.-G. Zhang, K. T. Mueller, J. Guo, K. Zavadil, Y. Shao, J. Liu,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200.</w:t>
      </w:r>
    </w:p>
    <w:p w14:paraId="023F525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[110]</w:t>
      </w:r>
      <w:r>
        <w:rPr>
          <w:rFonts w:hint="default" w:ascii="Times New Roman" w:hAnsi="Times New Roman"/>
          <w:kern w:val="0"/>
          <w:sz w:val="24"/>
          <w:szCs w:val="24"/>
        </w:rPr>
        <w:tab/>
      </w:r>
      <w:r>
        <w:rPr>
          <w:rFonts w:hint="default" w:ascii="Times New Roman" w:hAnsi="Times New Roman"/>
          <w:kern w:val="0"/>
          <w:sz w:val="24"/>
          <w:szCs w:val="24"/>
        </w:rPr>
        <w:t xml:space="preserve">Y. Liu, W. Zhao, Z. Pan, Z. Fan, M. Zhang, X. Zhao, J. Chen, X. Yang,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62</w:t>
      </w:r>
      <w:r>
        <w:rPr>
          <w:rFonts w:hint="default" w:ascii="Times New Roman" w:hAnsi="Times New Roman"/>
          <w:kern w:val="0"/>
          <w:sz w:val="24"/>
          <w:szCs w:val="24"/>
        </w:rPr>
        <w:t>, e202302617.</w:t>
      </w:r>
    </w:p>
    <w:p w14:paraId="111A550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[111]</w:t>
      </w:r>
      <w:r>
        <w:rPr>
          <w:rFonts w:hint="default" w:ascii="Times New Roman" w:hAnsi="Times New Roman"/>
          <w:kern w:val="0"/>
          <w:sz w:val="24"/>
          <w:szCs w:val="24"/>
        </w:rPr>
        <w:tab/>
      </w:r>
      <w:r>
        <w:rPr>
          <w:rFonts w:hint="default" w:ascii="Times New Roman" w:hAnsi="Times New Roman"/>
          <w:kern w:val="0"/>
          <w:sz w:val="24"/>
          <w:szCs w:val="24"/>
        </w:rPr>
        <w:t xml:space="preserve">H. Fan, Z. Zheng, L. Zhao, W. Li, J. Wang, M. Dai, Y. Zhao, J. Xiao, G. Wang, X. Ding, H. Xiao, J. Li, Y. Wu, Y. Zhang, </w:t>
      </w:r>
      <w:r>
        <w:rPr>
          <w:rFonts w:hint="default" w:ascii="Times New Roman" w:hAnsi="Times New Roman"/>
          <w:i/>
          <w:kern w:val="0"/>
          <w:sz w:val="24"/>
          <w:szCs w:val="24"/>
        </w:rPr>
        <w:t>Advanced Functional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30</w:t>
      </w:r>
      <w:r>
        <w:rPr>
          <w:rFonts w:hint="default" w:ascii="Times New Roman" w:hAnsi="Times New Roman"/>
          <w:kern w:val="0"/>
          <w:sz w:val="24"/>
          <w:szCs w:val="24"/>
        </w:rPr>
        <w:t>, 1909370.</w:t>
      </w:r>
    </w:p>
    <w:p w14:paraId="175FFF0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[112]</w:t>
      </w:r>
      <w:r>
        <w:rPr>
          <w:rFonts w:hint="default" w:ascii="Times New Roman" w:hAnsi="Times New Roman"/>
          <w:kern w:val="0"/>
          <w:sz w:val="24"/>
          <w:szCs w:val="24"/>
        </w:rPr>
        <w:tab/>
      </w:r>
      <w:r>
        <w:rPr>
          <w:rFonts w:hint="default" w:ascii="Times New Roman" w:hAnsi="Times New Roman"/>
          <w:kern w:val="0"/>
          <w:sz w:val="24"/>
          <w:szCs w:val="24"/>
        </w:rPr>
        <w:t xml:space="preserve">L. Luo, X. Yang, Z. Gao, X. Li, J. Xu, Y. Zhang, R. Deng, G. Huang, J. Wang, F. Pan, </w:t>
      </w:r>
      <w:r>
        <w:rPr>
          <w:rFonts w:hint="default" w:ascii="Times New Roman" w:hAnsi="Times New Roman"/>
          <w:i/>
          <w:kern w:val="0"/>
          <w:sz w:val="24"/>
          <w:szCs w:val="24"/>
        </w:rPr>
        <w:t>Electrochimica Acta</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478</w:t>
      </w:r>
      <w:r>
        <w:rPr>
          <w:rFonts w:hint="default" w:ascii="Times New Roman" w:hAnsi="Times New Roman"/>
          <w:kern w:val="0"/>
          <w:sz w:val="24"/>
          <w:szCs w:val="24"/>
        </w:rPr>
        <w:t>, 143815.</w:t>
      </w:r>
    </w:p>
    <w:p w14:paraId="3321766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[113]</w:t>
      </w:r>
      <w:r>
        <w:rPr>
          <w:rFonts w:hint="default" w:ascii="Times New Roman" w:hAnsi="Times New Roman"/>
          <w:kern w:val="0"/>
          <w:sz w:val="24"/>
          <w:szCs w:val="24"/>
        </w:rPr>
        <w:tab/>
      </w:r>
      <w:r>
        <w:rPr>
          <w:rFonts w:hint="default" w:ascii="Times New Roman" w:hAnsi="Times New Roman"/>
          <w:kern w:val="0"/>
          <w:sz w:val="24"/>
          <w:szCs w:val="24"/>
        </w:rPr>
        <w:t xml:space="preserve">H. Zhou, W. Sun, X. Su, M. Liu, Z. Zhou, A. Du, S. Dong, Q. Wang, Z. Zhang, G. Li, G. Cui,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64</w:t>
      </w:r>
      <w:r>
        <w:rPr>
          <w:rFonts w:hint="default" w:ascii="Times New Roman" w:hAnsi="Times New Roman"/>
          <w:kern w:val="0"/>
          <w:sz w:val="24"/>
          <w:szCs w:val="24"/>
        </w:rPr>
        <w:t>, e202415540.</w:t>
      </w:r>
    </w:p>
    <w:p w14:paraId="29D33F2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[114]</w:t>
      </w:r>
      <w:r>
        <w:rPr>
          <w:rFonts w:hint="default" w:ascii="Times New Roman" w:hAnsi="Times New Roman"/>
          <w:kern w:val="0"/>
          <w:sz w:val="24"/>
          <w:szCs w:val="24"/>
        </w:rPr>
        <w:tab/>
      </w:r>
      <w:r>
        <w:rPr>
          <w:rFonts w:hint="default" w:ascii="Times New Roman" w:hAnsi="Times New Roman"/>
          <w:kern w:val="0"/>
          <w:sz w:val="24"/>
          <w:szCs w:val="24"/>
        </w:rPr>
        <w:t xml:space="preserve">K. Tang, A. Du, X. Du, S. Dong, C. Lu, Z. Cui, L. Li, G. Ding, F. Chen, X. Zhou, G. Cui, </w:t>
      </w:r>
      <w:r>
        <w:rPr>
          <w:rFonts w:hint="default" w:ascii="Times New Roman" w:hAnsi="Times New Roman"/>
          <w:i/>
          <w:kern w:val="0"/>
          <w:sz w:val="24"/>
          <w:szCs w:val="24"/>
        </w:rPr>
        <w:t>Small</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2005424.</w:t>
      </w:r>
    </w:p>
    <w:p w14:paraId="34D751C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[115]</w:t>
      </w:r>
      <w:r>
        <w:rPr>
          <w:rFonts w:hint="default" w:ascii="Times New Roman" w:hAnsi="Times New Roman"/>
          <w:kern w:val="0"/>
          <w:sz w:val="24"/>
          <w:szCs w:val="24"/>
        </w:rPr>
        <w:tab/>
      </w:r>
      <w:r>
        <w:rPr>
          <w:rFonts w:hint="default" w:ascii="Times New Roman" w:hAnsi="Times New Roman"/>
          <w:kern w:val="0"/>
          <w:sz w:val="24"/>
          <w:szCs w:val="24"/>
        </w:rPr>
        <w:t xml:space="preserve">J. G. Connell, B. Genorio, P. P. Lopes, D. Strmcnik, V. R. Stamenkovic, N. M. Markovic, </w:t>
      </w:r>
      <w:r>
        <w:rPr>
          <w:rFonts w:hint="default" w:ascii="Times New Roman" w:hAnsi="Times New Roman"/>
          <w:i/>
          <w:kern w:val="0"/>
          <w:sz w:val="24"/>
          <w:szCs w:val="24"/>
        </w:rPr>
        <w:t>Chemistry of Materials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28</w:t>
      </w:r>
      <w:r>
        <w:rPr>
          <w:rFonts w:hint="default" w:ascii="Times New Roman" w:hAnsi="Times New Roman"/>
          <w:kern w:val="0"/>
          <w:sz w:val="24"/>
          <w:szCs w:val="24"/>
        </w:rPr>
        <w:t>, 8268.</w:t>
      </w:r>
    </w:p>
    <w:p w14:paraId="794865C1">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[116]</w:t>
      </w:r>
      <w:r>
        <w:rPr>
          <w:rFonts w:hint="default" w:ascii="Times New Roman" w:hAnsi="Times New Roman"/>
          <w:kern w:val="0"/>
          <w:sz w:val="24"/>
          <w:szCs w:val="24"/>
        </w:rPr>
        <w:tab/>
      </w:r>
      <w:r>
        <w:rPr>
          <w:rFonts w:hint="default" w:ascii="Times New Roman" w:hAnsi="Times New Roman"/>
          <w:kern w:val="0"/>
          <w:sz w:val="24"/>
          <w:szCs w:val="24"/>
        </w:rPr>
        <w:t xml:space="preserve">S.-J. Kang, H. Kim, S. Hwang, M. Jo, M. Jang, C. Park, S.-T. Hong, H. Lee,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11</w:t>
      </w:r>
      <w:r>
        <w:rPr>
          <w:rFonts w:hint="default" w:ascii="Times New Roman" w:hAnsi="Times New Roman"/>
          <w:kern w:val="0"/>
          <w:sz w:val="24"/>
          <w:szCs w:val="24"/>
        </w:rPr>
        <w:t>, 517.</w:t>
      </w:r>
    </w:p>
    <w:p w14:paraId="0FBF5E7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[117]</w:t>
      </w:r>
      <w:r>
        <w:rPr>
          <w:rFonts w:hint="default" w:ascii="Times New Roman" w:hAnsi="Times New Roman"/>
          <w:kern w:val="0"/>
          <w:sz w:val="24"/>
          <w:szCs w:val="24"/>
        </w:rPr>
        <w:tab/>
      </w:r>
      <w:r>
        <w:rPr>
          <w:rFonts w:hint="default" w:ascii="Times New Roman" w:hAnsi="Times New Roman"/>
          <w:kern w:val="0"/>
          <w:sz w:val="24"/>
          <w:szCs w:val="24"/>
        </w:rPr>
        <w:t xml:space="preserve">S. Hebié, H. P. K. Ngo, J.-C. Leprêtre, C. Iojoiu, L. Cointeaux, R. Berthelot, F. Alloin,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28377.</w:t>
      </w:r>
    </w:p>
    <w:p w14:paraId="47D23F6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[118]</w:t>
      </w:r>
      <w:r>
        <w:rPr>
          <w:rFonts w:hint="default" w:ascii="Times New Roman" w:hAnsi="Times New Roman"/>
          <w:kern w:val="0"/>
          <w:sz w:val="24"/>
          <w:szCs w:val="24"/>
        </w:rPr>
        <w:tab/>
      </w:r>
      <w:r>
        <w:rPr>
          <w:rFonts w:hint="default" w:ascii="Times New Roman" w:hAnsi="Times New Roman"/>
          <w:kern w:val="0"/>
          <w:sz w:val="24"/>
          <w:szCs w:val="24"/>
        </w:rPr>
        <w:t xml:space="preserve">D. Zhang, Y. Sun, X. Liu, Y. Zhang, R. Wang, Y. Zhao, M. Pan, Y. Wang, S. Chen, M. Zhou, Y. Chen, J. Yang, J. Wang, Y. NuLi,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2685.</w:t>
      </w:r>
    </w:p>
    <w:p w14:paraId="249C841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[119]</w:t>
      </w:r>
      <w:r>
        <w:rPr>
          <w:rFonts w:hint="default" w:ascii="Times New Roman" w:hAnsi="Times New Roman"/>
          <w:kern w:val="0"/>
          <w:sz w:val="24"/>
          <w:szCs w:val="24"/>
        </w:rPr>
        <w:tab/>
      </w:r>
      <w:r>
        <w:rPr>
          <w:rFonts w:hint="default" w:ascii="Times New Roman" w:hAnsi="Times New Roman"/>
          <w:kern w:val="0"/>
          <w:sz w:val="24"/>
          <w:szCs w:val="24"/>
        </w:rPr>
        <w:t xml:space="preserve">Y. Du, Y. Chen, S. Tan, J. Chen, X. Huang, L. Cui, J. Long, Z. Wang, X. Yao, B. Shang, G. Huang, X. Zhou, L. Li, J. Wang, F. Pan,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62</w:t>
      </w:r>
      <w:r>
        <w:rPr>
          <w:rFonts w:hint="default" w:ascii="Times New Roman" w:hAnsi="Times New Roman"/>
          <w:kern w:val="0"/>
          <w:sz w:val="24"/>
          <w:szCs w:val="24"/>
        </w:rPr>
        <w:t>, 102939.</w:t>
      </w:r>
    </w:p>
    <w:p w14:paraId="5FA0351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[120]</w:t>
      </w:r>
      <w:r>
        <w:rPr>
          <w:rFonts w:hint="default" w:ascii="Times New Roman" w:hAnsi="Times New Roman"/>
          <w:kern w:val="0"/>
          <w:sz w:val="24"/>
          <w:szCs w:val="24"/>
        </w:rPr>
        <w:tab/>
      </w:r>
      <w:r>
        <w:rPr>
          <w:rFonts w:hint="default" w:ascii="Times New Roman" w:hAnsi="Times New Roman"/>
          <w:kern w:val="0"/>
          <w:sz w:val="24"/>
          <w:szCs w:val="24"/>
        </w:rPr>
        <w:t xml:space="preserve">M. Chen, S. Zhang, X. Ge, Z. Yang, G. Sun, A. Du, J. Zhao, S. Li, J. Xiao, H. Li, G. Cui,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37</w:t>
      </w:r>
      <w:r>
        <w:rPr>
          <w:rFonts w:hint="default" w:ascii="Times New Roman" w:hAnsi="Times New Roman"/>
          <w:kern w:val="0"/>
          <w:sz w:val="24"/>
          <w:szCs w:val="24"/>
        </w:rPr>
        <w:t>, 2418761.</w:t>
      </w:r>
    </w:p>
    <w:p w14:paraId="612F592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[121]</w:t>
      </w:r>
      <w:r>
        <w:rPr>
          <w:rFonts w:hint="default" w:ascii="Times New Roman" w:hAnsi="Times New Roman"/>
          <w:kern w:val="0"/>
          <w:sz w:val="24"/>
          <w:szCs w:val="24"/>
        </w:rPr>
        <w:tab/>
      </w:r>
      <w:r>
        <w:rPr>
          <w:rFonts w:hint="default" w:ascii="Times New Roman" w:hAnsi="Times New Roman"/>
          <w:kern w:val="0"/>
          <w:sz w:val="24"/>
          <w:szCs w:val="24"/>
        </w:rPr>
        <w:t xml:space="preserve">B. Li, R. Masse, C. Liu, Y. Hu, W. Li, G. Zhang, G. Cao,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22</w:t>
      </w:r>
      <w:r>
        <w:rPr>
          <w:rFonts w:hint="default" w:ascii="Times New Roman" w:hAnsi="Times New Roman"/>
          <w:kern w:val="0"/>
          <w:sz w:val="24"/>
          <w:szCs w:val="24"/>
        </w:rPr>
        <w:t>, 96.</w:t>
      </w:r>
    </w:p>
    <w:p w14:paraId="1528D3F4">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[122]</w:t>
      </w:r>
      <w:r>
        <w:rPr>
          <w:rFonts w:hint="default" w:ascii="Times New Roman" w:hAnsi="Times New Roman"/>
          <w:kern w:val="0"/>
          <w:sz w:val="24"/>
          <w:szCs w:val="24"/>
        </w:rPr>
        <w:tab/>
      </w:r>
      <w:r>
        <w:rPr>
          <w:rFonts w:hint="default" w:ascii="Times New Roman" w:hAnsi="Times New Roman"/>
          <w:kern w:val="0"/>
          <w:sz w:val="24"/>
          <w:szCs w:val="24"/>
        </w:rPr>
        <w:t xml:space="preserve">J. Bi, Y. Liu, Z. Du, K. Wang, W. Guan, H. Wu, W. Ai, W. Huang,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36</w:t>
      </w:r>
      <w:r>
        <w:rPr>
          <w:rFonts w:hint="default" w:ascii="Times New Roman" w:hAnsi="Times New Roman"/>
          <w:kern w:val="0"/>
          <w:sz w:val="24"/>
          <w:szCs w:val="24"/>
        </w:rPr>
        <w:t>, 2309339.</w:t>
      </w:r>
    </w:p>
    <w:p w14:paraId="52E8CDE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[123]</w:t>
      </w:r>
      <w:r>
        <w:rPr>
          <w:rFonts w:hint="default" w:ascii="Times New Roman" w:hAnsi="Times New Roman"/>
          <w:kern w:val="0"/>
          <w:sz w:val="24"/>
          <w:szCs w:val="24"/>
        </w:rPr>
        <w:tab/>
      </w:r>
      <w:r>
        <w:rPr>
          <w:rFonts w:hint="default" w:ascii="Times New Roman" w:hAnsi="Times New Roman"/>
          <w:kern w:val="0"/>
          <w:sz w:val="24"/>
          <w:szCs w:val="24"/>
        </w:rPr>
        <w:t xml:space="preserve">J. Bi, Z. Zhou, J. Li, B. Li, X. Sun, Y. Liu, K. Wang, G. Gao, Z. Du, W. Ai, W. Huang,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63</w:t>
      </w:r>
      <w:r>
        <w:rPr>
          <w:rFonts w:hint="default" w:ascii="Times New Roman" w:hAnsi="Times New Roman"/>
          <w:kern w:val="0"/>
          <w:sz w:val="24"/>
          <w:szCs w:val="24"/>
        </w:rPr>
        <w:t>, e202407770.</w:t>
      </w:r>
    </w:p>
    <w:p w14:paraId="281470E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[124]</w:t>
      </w:r>
      <w:r>
        <w:rPr>
          <w:rFonts w:hint="default" w:ascii="Times New Roman" w:hAnsi="Times New Roman"/>
          <w:kern w:val="0"/>
          <w:sz w:val="24"/>
          <w:szCs w:val="24"/>
        </w:rPr>
        <w:tab/>
      </w:r>
      <w:r>
        <w:rPr>
          <w:rFonts w:hint="default" w:ascii="Times New Roman" w:hAnsi="Times New Roman"/>
          <w:kern w:val="0"/>
          <w:sz w:val="24"/>
          <w:szCs w:val="24"/>
        </w:rPr>
        <w:t xml:space="preserve">G. Yang, Y. Li, J. Wang, Y. Lum, C. Y. J. Lim, M.-F. Ng, C. Zhang, Z. Chang, Z. Zhang, A. D. Handoko, T. Ghosh, S. Li, Z. Sofer, W. Liu, Y. Yao, Z. W. Seh,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1141.</w:t>
      </w:r>
    </w:p>
    <w:p w14:paraId="096E508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[125]</w:t>
      </w:r>
      <w:r>
        <w:rPr>
          <w:rFonts w:hint="default" w:ascii="Times New Roman" w:hAnsi="Times New Roman"/>
          <w:kern w:val="0"/>
          <w:sz w:val="24"/>
          <w:szCs w:val="24"/>
        </w:rPr>
        <w:tab/>
      </w:r>
      <w:r>
        <w:rPr>
          <w:rFonts w:hint="default" w:ascii="Times New Roman" w:hAnsi="Times New Roman"/>
          <w:kern w:val="0"/>
          <w:sz w:val="24"/>
          <w:szCs w:val="24"/>
        </w:rPr>
        <w:t xml:space="preserve">G. Li, L. Cao, M. Lei, K. Chen, C. Li,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18</w:t>
      </w:r>
      <w:r>
        <w:rPr>
          <w:rFonts w:hint="default" w:ascii="Times New Roman" w:hAnsi="Times New Roman"/>
          <w:kern w:val="0"/>
          <w:sz w:val="24"/>
          <w:szCs w:val="24"/>
        </w:rPr>
        <w:t>, 7254.</w:t>
      </w:r>
    </w:p>
    <w:p w14:paraId="69DE57E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[126]</w:t>
      </w:r>
      <w:r>
        <w:rPr>
          <w:rFonts w:hint="default" w:ascii="Times New Roman" w:hAnsi="Times New Roman"/>
          <w:kern w:val="0"/>
          <w:sz w:val="24"/>
          <w:szCs w:val="24"/>
        </w:rPr>
        <w:tab/>
      </w:r>
      <w:r>
        <w:rPr>
          <w:rFonts w:hint="default" w:ascii="Times New Roman" w:hAnsi="Times New Roman"/>
          <w:kern w:val="0"/>
          <w:sz w:val="24"/>
          <w:szCs w:val="24"/>
        </w:rPr>
        <w:t xml:space="preserve">J. Eaves-Rathert, K. Moyer, M. Zohair, C. L. Pint, </w:t>
      </w:r>
      <w:r>
        <w:rPr>
          <w:rFonts w:hint="default" w:ascii="Times New Roman" w:hAnsi="Times New Roman"/>
          <w:i/>
          <w:kern w:val="0"/>
          <w:sz w:val="24"/>
          <w:szCs w:val="24"/>
        </w:rPr>
        <w:t>Joule</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1324.</w:t>
      </w:r>
    </w:p>
    <w:p w14:paraId="69A6831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[127]</w:t>
      </w:r>
      <w:r>
        <w:rPr>
          <w:rFonts w:hint="default" w:ascii="Times New Roman" w:hAnsi="Times New Roman"/>
          <w:kern w:val="0"/>
          <w:sz w:val="24"/>
          <w:szCs w:val="24"/>
        </w:rPr>
        <w:tab/>
      </w:r>
      <w:r>
        <w:rPr>
          <w:rFonts w:hint="default" w:ascii="Times New Roman" w:hAnsi="Times New Roman"/>
          <w:kern w:val="0"/>
          <w:sz w:val="24"/>
          <w:szCs w:val="24"/>
        </w:rPr>
        <w:t xml:space="preserve">M. S. Ding, T. Diemant, R. J. Behm, S. Passerini, G. A. Giffin,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2018</w:t>
      </w:r>
      <w:r>
        <w:rPr>
          <w:rFonts w:hint="default" w:ascii="Times New Roman" w:hAnsi="Times New Roman"/>
          <w:kern w:val="0"/>
          <w:sz w:val="24"/>
          <w:szCs w:val="24"/>
        </w:rPr>
        <w:t xml:space="preserve">, </w:t>
      </w:r>
      <w:r>
        <w:rPr>
          <w:rFonts w:hint="default" w:ascii="Times New Roman" w:hAnsi="Times New Roman"/>
          <w:i/>
          <w:kern w:val="0"/>
          <w:sz w:val="24"/>
          <w:szCs w:val="24"/>
        </w:rPr>
        <w:t>165</w:t>
      </w:r>
      <w:r>
        <w:rPr>
          <w:rFonts w:hint="default" w:ascii="Times New Roman" w:hAnsi="Times New Roman"/>
          <w:kern w:val="0"/>
          <w:sz w:val="24"/>
          <w:szCs w:val="24"/>
        </w:rPr>
        <w:t>, A1983.</w:t>
      </w:r>
    </w:p>
    <w:p w14:paraId="16A26A2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[128]</w:t>
      </w:r>
      <w:r>
        <w:rPr>
          <w:rFonts w:hint="default" w:ascii="Times New Roman" w:hAnsi="Times New Roman"/>
          <w:kern w:val="0"/>
          <w:sz w:val="24"/>
          <w:szCs w:val="24"/>
        </w:rPr>
        <w:tab/>
      </w:r>
      <w:r>
        <w:rPr>
          <w:rFonts w:hint="default" w:ascii="Times New Roman" w:hAnsi="Times New Roman"/>
          <w:kern w:val="0"/>
          <w:sz w:val="24"/>
          <w:szCs w:val="24"/>
        </w:rPr>
        <w:t xml:space="preserve">Y. He, Q. Li, L. Yang, C. Yang, D. Xu,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58</w:t>
      </w:r>
      <w:r>
        <w:rPr>
          <w:rFonts w:hint="default" w:ascii="Times New Roman" w:hAnsi="Times New Roman"/>
          <w:kern w:val="0"/>
          <w:sz w:val="24"/>
          <w:szCs w:val="24"/>
        </w:rPr>
        <w:t>, 7615.</w:t>
      </w:r>
    </w:p>
    <w:p w14:paraId="0F104D5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[129]</w:t>
      </w:r>
      <w:r>
        <w:rPr>
          <w:rFonts w:hint="default" w:ascii="Times New Roman" w:hAnsi="Times New Roman"/>
          <w:kern w:val="0"/>
          <w:sz w:val="24"/>
          <w:szCs w:val="24"/>
        </w:rPr>
        <w:tab/>
      </w:r>
      <w:r>
        <w:rPr>
          <w:rFonts w:hint="default" w:ascii="Times New Roman" w:hAnsi="Times New Roman"/>
          <w:kern w:val="0"/>
          <w:sz w:val="24"/>
          <w:szCs w:val="24"/>
        </w:rPr>
        <w:t xml:space="preserve">Z. Zhang, Z. Cui, L. Qiao, J. Guan, H. Xu, X. Wang, P. Hu, H. Du, S. Li, X. Zhou, S. Dong, Z. Liu, G. Cui, L. Chen,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7</w:t>
      </w:r>
      <w:r>
        <w:rPr>
          <w:rFonts w:hint="default" w:ascii="Times New Roman" w:hAnsi="Times New Roman"/>
          <w:kern w:val="0"/>
          <w:sz w:val="24"/>
          <w:szCs w:val="24"/>
        </w:rPr>
        <w:t>, 1602055.</w:t>
      </w:r>
    </w:p>
    <w:p w14:paraId="2E80AE1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[130]</w:t>
      </w:r>
      <w:r>
        <w:rPr>
          <w:rFonts w:hint="default" w:ascii="Times New Roman" w:hAnsi="Times New Roman"/>
          <w:kern w:val="0"/>
          <w:sz w:val="24"/>
          <w:szCs w:val="24"/>
        </w:rPr>
        <w:tab/>
      </w:r>
      <w:r>
        <w:rPr>
          <w:rFonts w:hint="default" w:ascii="Times New Roman" w:hAnsi="Times New Roman"/>
          <w:kern w:val="0"/>
          <w:sz w:val="24"/>
          <w:szCs w:val="24"/>
        </w:rPr>
        <w:t xml:space="preserve">W. Ren, M. Cheng, Y. Wang, D. Zhang, Y. Yang, J. Yang, J. Wang, Y. NuLi, </w:t>
      </w:r>
      <w:r>
        <w:rPr>
          <w:rFonts w:hint="default" w:ascii="Times New Roman" w:hAnsi="Times New Roman"/>
          <w:i/>
          <w:kern w:val="0"/>
          <w:sz w:val="24"/>
          <w:szCs w:val="24"/>
        </w:rPr>
        <w:t>Batteries &amp; Supercaps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e202200263.</w:t>
      </w:r>
    </w:p>
    <w:p w14:paraId="20E199B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[131]</w:t>
      </w:r>
      <w:r>
        <w:rPr>
          <w:rFonts w:hint="default" w:ascii="Times New Roman" w:hAnsi="Times New Roman"/>
          <w:kern w:val="0"/>
          <w:sz w:val="24"/>
          <w:szCs w:val="24"/>
        </w:rPr>
        <w:tab/>
      </w:r>
      <w:r>
        <w:rPr>
          <w:rFonts w:hint="default" w:ascii="Times New Roman" w:hAnsi="Times New Roman"/>
          <w:kern w:val="0"/>
          <w:sz w:val="24"/>
          <w:szCs w:val="24"/>
        </w:rPr>
        <w:t xml:space="preserve">A. Du, Z. Zhang, H. Qu, Z. Cui, L. Qiao, L. Wang, J. Chai, T. Lu, S. Dong, T. Dong, H. Xu, X. Zhou, G. Cui,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10</w:t>
      </w:r>
      <w:r>
        <w:rPr>
          <w:rFonts w:hint="default" w:ascii="Times New Roman" w:hAnsi="Times New Roman"/>
          <w:kern w:val="0"/>
          <w:sz w:val="24"/>
          <w:szCs w:val="24"/>
        </w:rPr>
        <w:t>, 2616.</w:t>
      </w:r>
    </w:p>
    <w:p w14:paraId="4DAEFE8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[132]</w:t>
      </w:r>
      <w:r>
        <w:rPr>
          <w:rFonts w:hint="default" w:ascii="Times New Roman" w:hAnsi="Times New Roman"/>
          <w:kern w:val="0"/>
          <w:sz w:val="24"/>
          <w:szCs w:val="24"/>
        </w:rPr>
        <w:tab/>
      </w:r>
      <w:r>
        <w:rPr>
          <w:rFonts w:hint="default" w:ascii="Times New Roman" w:hAnsi="Times New Roman"/>
          <w:kern w:val="0"/>
          <w:sz w:val="24"/>
          <w:szCs w:val="24"/>
        </w:rPr>
        <w:t xml:space="preserve">J. T. Herb, C. A. Nist-Lund, C. B. Arnold,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7801.</w:t>
      </w:r>
    </w:p>
    <w:p w14:paraId="770555B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[133]</w:t>
      </w:r>
      <w:r>
        <w:rPr>
          <w:rFonts w:hint="default" w:ascii="Times New Roman" w:hAnsi="Times New Roman"/>
          <w:kern w:val="0"/>
          <w:sz w:val="24"/>
          <w:szCs w:val="24"/>
        </w:rPr>
        <w:tab/>
      </w:r>
      <w:r>
        <w:rPr>
          <w:rFonts w:hint="default" w:ascii="Times New Roman" w:hAnsi="Times New Roman"/>
          <w:kern w:val="0"/>
          <w:sz w:val="24"/>
          <w:szCs w:val="24"/>
        </w:rPr>
        <w:t xml:space="preserve">Y. Sun, Y. Wang, L. Jiang, D. Dong, W. Wang, J. Fan, Y.-C. Lu,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265.</w:t>
      </w:r>
    </w:p>
    <w:p w14:paraId="78D056D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[134]</w:t>
      </w:r>
      <w:r>
        <w:rPr>
          <w:rFonts w:hint="default" w:ascii="Times New Roman" w:hAnsi="Times New Roman"/>
          <w:kern w:val="0"/>
          <w:sz w:val="24"/>
          <w:szCs w:val="24"/>
        </w:rPr>
        <w:tab/>
      </w:r>
      <w:r>
        <w:rPr>
          <w:rFonts w:hint="default" w:ascii="Times New Roman" w:hAnsi="Times New Roman"/>
          <w:kern w:val="0"/>
          <w:sz w:val="24"/>
          <w:szCs w:val="24"/>
        </w:rPr>
        <w:t xml:space="preserve">P. Liu, J. Long, R. Wang, Y. Zhou, B. Qu, L. Zhang, X. Zhou, Q. An,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71</w:t>
      </w:r>
      <w:r>
        <w:rPr>
          <w:rFonts w:hint="default" w:ascii="Times New Roman" w:hAnsi="Times New Roman"/>
          <w:kern w:val="0"/>
          <w:sz w:val="24"/>
          <w:szCs w:val="24"/>
        </w:rPr>
        <w:t>, 103679.</w:t>
      </w:r>
    </w:p>
    <w:p w14:paraId="759BD7F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[135]</w:t>
      </w:r>
      <w:r>
        <w:rPr>
          <w:rFonts w:hint="default" w:ascii="Times New Roman" w:hAnsi="Times New Roman"/>
          <w:kern w:val="0"/>
          <w:sz w:val="24"/>
          <w:szCs w:val="24"/>
        </w:rPr>
        <w:tab/>
      </w:r>
      <w:r>
        <w:rPr>
          <w:rFonts w:hint="default" w:ascii="Times New Roman" w:hAnsi="Times New Roman"/>
          <w:kern w:val="0"/>
          <w:sz w:val="24"/>
          <w:szCs w:val="24"/>
        </w:rPr>
        <w:t xml:space="preserve">Y. Shen, Y. Wang, Y. Miao, Q. Li, X. Zhao, X. Shen,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35</w:t>
      </w:r>
      <w:r>
        <w:rPr>
          <w:rFonts w:hint="default" w:ascii="Times New Roman" w:hAnsi="Times New Roman"/>
          <w:kern w:val="0"/>
          <w:sz w:val="24"/>
          <w:szCs w:val="24"/>
        </w:rPr>
        <w:t>, 2208289.</w:t>
      </w:r>
    </w:p>
    <w:p w14:paraId="32A3470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[136]</w:t>
      </w:r>
      <w:r>
        <w:rPr>
          <w:rFonts w:hint="default" w:ascii="Times New Roman" w:hAnsi="Times New Roman"/>
          <w:kern w:val="0"/>
          <w:sz w:val="24"/>
          <w:szCs w:val="24"/>
        </w:rPr>
        <w:tab/>
      </w:r>
      <w:r>
        <w:rPr>
          <w:rFonts w:hint="default" w:ascii="Times New Roman" w:hAnsi="Times New Roman"/>
          <w:kern w:val="0"/>
          <w:sz w:val="24"/>
          <w:szCs w:val="24"/>
        </w:rPr>
        <w:t xml:space="preserve">T. Pavčnik, J. Bitenc, K. Pirnat, R. Dominko, </w:t>
      </w:r>
      <w:r>
        <w:rPr>
          <w:rFonts w:hint="default" w:ascii="Times New Roman" w:hAnsi="Times New Roman"/>
          <w:i/>
          <w:kern w:val="0"/>
          <w:sz w:val="24"/>
          <w:szCs w:val="24"/>
        </w:rPr>
        <w:t>Batteries &amp; Supercaps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815.</w:t>
      </w:r>
    </w:p>
    <w:p w14:paraId="444DA9B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[137]</w:t>
      </w:r>
      <w:r>
        <w:rPr>
          <w:rFonts w:hint="default" w:ascii="Times New Roman" w:hAnsi="Times New Roman"/>
          <w:kern w:val="0"/>
          <w:sz w:val="24"/>
          <w:szCs w:val="24"/>
        </w:rPr>
        <w:tab/>
      </w:r>
      <w:r>
        <w:rPr>
          <w:rFonts w:hint="default" w:ascii="Times New Roman" w:hAnsi="Times New Roman"/>
          <w:kern w:val="0"/>
          <w:sz w:val="24"/>
          <w:szCs w:val="24"/>
        </w:rPr>
        <w:t xml:space="preserve">H. Dong, Y. Liang, O. Tutusaus, R. Mohtadi, Y. Zhang, F. Hao, Y. Yao, </w:t>
      </w:r>
      <w:r>
        <w:rPr>
          <w:rFonts w:hint="default" w:ascii="Times New Roman" w:hAnsi="Times New Roman"/>
          <w:i/>
          <w:kern w:val="0"/>
          <w:sz w:val="24"/>
          <w:szCs w:val="24"/>
        </w:rPr>
        <w:t>Joule</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782.</w:t>
      </w:r>
    </w:p>
    <w:p w14:paraId="4B6369A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[138]</w:t>
      </w:r>
      <w:r>
        <w:rPr>
          <w:rFonts w:hint="default" w:ascii="Times New Roman" w:hAnsi="Times New Roman"/>
          <w:kern w:val="0"/>
          <w:sz w:val="24"/>
          <w:szCs w:val="24"/>
        </w:rPr>
        <w:tab/>
      </w:r>
      <w:r>
        <w:rPr>
          <w:rFonts w:hint="default" w:ascii="Times New Roman" w:hAnsi="Times New Roman"/>
          <w:kern w:val="0"/>
          <w:sz w:val="24"/>
          <w:szCs w:val="24"/>
        </w:rPr>
        <w:t xml:space="preserve">H. Dong, O. Tutusaus, Y. Liang, Y. Zhang, Z. Lebens-Higgins, W. Yang, R. Mohtadi, Y. Yao, </w:t>
      </w:r>
      <w:r>
        <w:rPr>
          <w:rFonts w:hint="default" w:ascii="Times New Roman" w:hAnsi="Times New Roman"/>
          <w:i/>
          <w:kern w:val="0"/>
          <w:sz w:val="24"/>
          <w:szCs w:val="24"/>
        </w:rPr>
        <w:t>Nature Energy</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1043.</w:t>
      </w:r>
    </w:p>
    <w:p w14:paraId="4A66E5C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[139]</w:t>
      </w:r>
      <w:r>
        <w:rPr>
          <w:rFonts w:hint="default" w:ascii="Times New Roman" w:hAnsi="Times New Roman"/>
          <w:kern w:val="0"/>
          <w:sz w:val="24"/>
          <w:szCs w:val="24"/>
        </w:rPr>
        <w:tab/>
      </w:r>
      <w:r>
        <w:rPr>
          <w:rFonts w:hint="default" w:ascii="Times New Roman" w:hAnsi="Times New Roman"/>
          <w:kern w:val="0"/>
          <w:sz w:val="24"/>
          <w:szCs w:val="24"/>
        </w:rPr>
        <w:t xml:space="preserve">H. S. Kim, T. S. Arthur, G. D. Allred, J. Zajicek, J. G. Newman, A. E. Rodnyansky, A. G. Oliver, W. C. Boggess, J. Muldoon, </w:t>
      </w:r>
      <w:r>
        <w:rPr>
          <w:rFonts w:hint="default" w:ascii="Times New Roman" w:hAnsi="Times New Roman"/>
          <w:i/>
          <w:kern w:val="0"/>
          <w:sz w:val="24"/>
          <w:szCs w:val="24"/>
        </w:rPr>
        <w:t>Nature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2011</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427.</w:t>
      </w:r>
    </w:p>
    <w:p w14:paraId="5B238D3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[140]</w:t>
      </w:r>
      <w:r>
        <w:rPr>
          <w:rFonts w:hint="default" w:ascii="Times New Roman" w:hAnsi="Times New Roman"/>
          <w:kern w:val="0"/>
          <w:sz w:val="24"/>
          <w:szCs w:val="24"/>
        </w:rPr>
        <w:tab/>
      </w:r>
      <w:r>
        <w:rPr>
          <w:rFonts w:hint="default" w:ascii="Times New Roman" w:hAnsi="Times New Roman"/>
          <w:kern w:val="0"/>
          <w:sz w:val="24"/>
          <w:szCs w:val="24"/>
        </w:rPr>
        <w:t xml:space="preserve">P. Hegemann, M. Hegemann, L. Zan, H. Baltruschat,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166</w:t>
      </w:r>
      <w:r>
        <w:rPr>
          <w:rFonts w:hint="default" w:ascii="Times New Roman" w:hAnsi="Times New Roman"/>
          <w:kern w:val="0"/>
          <w:sz w:val="24"/>
          <w:szCs w:val="24"/>
        </w:rPr>
        <w:t>, A245.</w:t>
      </w:r>
    </w:p>
    <w:p w14:paraId="53730E9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[141]</w:t>
      </w:r>
      <w:r>
        <w:rPr>
          <w:rFonts w:hint="default" w:ascii="Times New Roman" w:hAnsi="Times New Roman"/>
          <w:kern w:val="0"/>
          <w:sz w:val="24"/>
          <w:szCs w:val="24"/>
        </w:rPr>
        <w:tab/>
      </w:r>
      <w:r>
        <w:rPr>
          <w:rFonts w:hint="default" w:ascii="Times New Roman" w:hAnsi="Times New Roman"/>
          <w:kern w:val="0"/>
          <w:sz w:val="24"/>
          <w:szCs w:val="24"/>
        </w:rPr>
        <w:t xml:space="preserve">R. Iimura, H. Kobayashi, I. Honma, </w:t>
      </w:r>
      <w:r>
        <w:rPr>
          <w:rFonts w:hint="default" w:ascii="Times New Roman" w:hAnsi="Times New Roman"/>
          <w:i/>
          <w:kern w:val="0"/>
          <w:sz w:val="24"/>
          <w:szCs w:val="24"/>
        </w:rPr>
        <w:t>Electrochemistry</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90</w:t>
      </w:r>
      <w:r>
        <w:rPr>
          <w:rFonts w:hint="default" w:ascii="Times New Roman" w:hAnsi="Times New Roman"/>
          <w:kern w:val="0"/>
          <w:sz w:val="24"/>
          <w:szCs w:val="24"/>
        </w:rPr>
        <w:t>, 067002.</w:t>
      </w:r>
    </w:p>
    <w:p w14:paraId="44AFEEA1">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[142]</w:t>
      </w:r>
      <w:r>
        <w:rPr>
          <w:rFonts w:hint="default" w:ascii="Times New Roman" w:hAnsi="Times New Roman"/>
          <w:kern w:val="0"/>
          <w:sz w:val="24"/>
          <w:szCs w:val="24"/>
        </w:rPr>
        <w:tab/>
      </w:r>
      <w:r>
        <w:rPr>
          <w:rFonts w:hint="default" w:ascii="Times New Roman" w:hAnsi="Times New Roman"/>
          <w:kern w:val="0"/>
          <w:sz w:val="24"/>
          <w:szCs w:val="24"/>
        </w:rPr>
        <w:t xml:space="preserve">J. Behler, M. Parrinello, </w:t>
      </w:r>
      <w:r>
        <w:rPr>
          <w:rFonts w:hint="default" w:ascii="Times New Roman" w:hAnsi="Times New Roman"/>
          <w:i/>
          <w:kern w:val="0"/>
          <w:sz w:val="24"/>
          <w:szCs w:val="24"/>
        </w:rPr>
        <w:t>Physical Review Letters</w:t>
      </w:r>
      <w:r>
        <w:rPr>
          <w:rFonts w:hint="default" w:ascii="Times New Roman" w:hAnsi="Times New Roman"/>
          <w:kern w:val="0"/>
          <w:sz w:val="24"/>
          <w:szCs w:val="24"/>
        </w:rPr>
        <w:t xml:space="preserve"> </w:t>
      </w:r>
      <w:r>
        <w:rPr>
          <w:rFonts w:hint="default" w:ascii="Times New Roman" w:hAnsi="Times New Roman"/>
          <w:b/>
          <w:kern w:val="0"/>
          <w:sz w:val="24"/>
          <w:szCs w:val="24"/>
        </w:rPr>
        <w:t>2007</w:t>
      </w:r>
      <w:r>
        <w:rPr>
          <w:rFonts w:hint="default" w:ascii="Times New Roman" w:hAnsi="Times New Roman"/>
          <w:kern w:val="0"/>
          <w:sz w:val="24"/>
          <w:szCs w:val="24"/>
        </w:rPr>
        <w:t xml:space="preserve">, </w:t>
      </w:r>
      <w:r>
        <w:rPr>
          <w:rFonts w:hint="default" w:ascii="Times New Roman" w:hAnsi="Times New Roman"/>
          <w:i/>
          <w:kern w:val="0"/>
          <w:sz w:val="24"/>
          <w:szCs w:val="24"/>
        </w:rPr>
        <w:t>98</w:t>
      </w:r>
      <w:r>
        <w:rPr>
          <w:rFonts w:hint="default" w:ascii="Times New Roman" w:hAnsi="Times New Roman"/>
          <w:kern w:val="0"/>
          <w:sz w:val="24"/>
          <w:szCs w:val="24"/>
        </w:rPr>
        <w:t>, 146401.</w:t>
      </w:r>
    </w:p>
    <w:p w14:paraId="4E7F9E6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[143]</w:t>
      </w:r>
      <w:r>
        <w:rPr>
          <w:rFonts w:hint="default" w:ascii="Times New Roman" w:hAnsi="Times New Roman"/>
          <w:kern w:val="0"/>
          <w:sz w:val="24"/>
          <w:szCs w:val="24"/>
        </w:rPr>
        <w:tab/>
      </w:r>
      <w:r>
        <w:rPr>
          <w:rFonts w:hint="default" w:ascii="Times New Roman" w:hAnsi="Times New Roman"/>
          <w:kern w:val="0"/>
          <w:sz w:val="24"/>
          <w:szCs w:val="24"/>
        </w:rPr>
        <w:t xml:space="preserve">H. Hua, F. Wang, F. Wang, J. Wu, Y. Xu, Y. Zhuang, J. Zeng, J. Zhao,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70</w:t>
      </w:r>
      <w:r>
        <w:rPr>
          <w:rFonts w:hint="default" w:ascii="Times New Roman" w:hAnsi="Times New Roman"/>
          <w:kern w:val="0"/>
          <w:sz w:val="24"/>
          <w:szCs w:val="24"/>
        </w:rPr>
        <w:t>, 103470.</w:t>
      </w:r>
    </w:p>
    <w:p w14:paraId="40E624D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[144]</w:t>
      </w:r>
      <w:r>
        <w:rPr>
          <w:rFonts w:hint="default" w:ascii="Times New Roman" w:hAnsi="Times New Roman"/>
          <w:kern w:val="0"/>
          <w:sz w:val="24"/>
          <w:szCs w:val="24"/>
        </w:rPr>
        <w:tab/>
      </w:r>
      <w:r>
        <w:rPr>
          <w:rFonts w:hint="default" w:ascii="Times New Roman" w:hAnsi="Times New Roman"/>
          <w:kern w:val="0"/>
          <w:sz w:val="24"/>
          <w:szCs w:val="24"/>
        </w:rPr>
        <w:t xml:space="preserve">P. M. Attia, A. Grover, N. Jin, K. A. Severson, T. M. Markov, Y.-H. Liao, M. H. Chen, B. Cheong, N. Perkins, Z. Yang, P. K. Herring, M. Aykol, S. J. Harris, R. D. Braatz, S. Ermon, W. C. Chueh, </w:t>
      </w:r>
      <w:r>
        <w:rPr>
          <w:rFonts w:hint="default" w:ascii="Times New Roman" w:hAnsi="Times New Roman"/>
          <w:i/>
          <w:kern w:val="0"/>
          <w:sz w:val="24"/>
          <w:szCs w:val="24"/>
        </w:rPr>
        <w:t>Nature</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578</w:t>
      </w:r>
      <w:r>
        <w:rPr>
          <w:rFonts w:hint="default" w:ascii="Times New Roman" w:hAnsi="Times New Roman"/>
          <w:kern w:val="0"/>
          <w:sz w:val="24"/>
          <w:szCs w:val="24"/>
        </w:rPr>
        <w:t>, 397.</w:t>
      </w:r>
    </w:p>
    <w:p w14:paraId="1406A0D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[145]</w:t>
      </w:r>
      <w:r>
        <w:rPr>
          <w:rFonts w:hint="default" w:ascii="Times New Roman" w:hAnsi="Times New Roman"/>
          <w:kern w:val="0"/>
          <w:sz w:val="24"/>
          <w:szCs w:val="24"/>
        </w:rPr>
        <w:tab/>
      </w:r>
      <w:r>
        <w:rPr>
          <w:rFonts w:hint="default" w:ascii="Times New Roman" w:hAnsi="Times New Roman"/>
          <w:kern w:val="0"/>
          <w:sz w:val="24"/>
          <w:szCs w:val="24"/>
        </w:rPr>
        <w:t xml:space="preserve">A. Ponrouch, C. Frontera, F. Bardé, M. R. Palacín, </w:t>
      </w:r>
      <w:r>
        <w:rPr>
          <w:rFonts w:hint="default" w:ascii="Times New Roman" w:hAnsi="Times New Roman"/>
          <w:i/>
          <w:kern w:val="0"/>
          <w:sz w:val="24"/>
          <w:szCs w:val="24"/>
        </w:rPr>
        <w:t>Nature Materials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15</w:t>
      </w:r>
      <w:r>
        <w:rPr>
          <w:rFonts w:hint="default" w:ascii="Times New Roman" w:hAnsi="Times New Roman"/>
          <w:kern w:val="0"/>
          <w:sz w:val="24"/>
          <w:szCs w:val="24"/>
        </w:rPr>
        <w:t>, 169.</w:t>
      </w:r>
    </w:p>
    <w:p w14:paraId="4A70B43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[146]</w:t>
      </w:r>
      <w:r>
        <w:rPr>
          <w:rFonts w:hint="default" w:ascii="Times New Roman" w:hAnsi="Times New Roman"/>
          <w:kern w:val="0"/>
          <w:sz w:val="24"/>
          <w:szCs w:val="24"/>
        </w:rPr>
        <w:tab/>
      </w:r>
      <w:r>
        <w:rPr>
          <w:rFonts w:hint="default" w:ascii="Times New Roman" w:hAnsi="Times New Roman"/>
          <w:kern w:val="0"/>
          <w:sz w:val="24"/>
          <w:szCs w:val="24"/>
        </w:rPr>
        <w:t xml:space="preserve">M.-C. Lin, M. Gong, B. Lu, Y. Wu, D.-Y. Wang, M. Guan, M. Angell, C. Chen, J. Yang, B.-J. Hwang, H. Dai, </w:t>
      </w:r>
      <w:r>
        <w:rPr>
          <w:rFonts w:hint="default" w:ascii="Times New Roman" w:hAnsi="Times New Roman"/>
          <w:i/>
          <w:kern w:val="0"/>
          <w:sz w:val="24"/>
          <w:szCs w:val="24"/>
        </w:rPr>
        <w:t>Nature</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520</w:t>
      </w:r>
      <w:r>
        <w:rPr>
          <w:rFonts w:hint="default" w:ascii="Times New Roman" w:hAnsi="Times New Roman"/>
          <w:kern w:val="0"/>
          <w:sz w:val="24"/>
          <w:szCs w:val="24"/>
        </w:rPr>
        <w:t>, 324.</w:t>
      </w:r>
    </w:p>
    <w:p w14:paraId="457D1D1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[147]</w:t>
      </w:r>
      <w:r>
        <w:rPr>
          <w:rFonts w:hint="default" w:ascii="Times New Roman" w:hAnsi="Times New Roman"/>
          <w:kern w:val="0"/>
          <w:sz w:val="24"/>
          <w:szCs w:val="24"/>
        </w:rPr>
        <w:tab/>
      </w:r>
      <w:r>
        <w:rPr>
          <w:rFonts w:hint="default" w:ascii="Times New Roman" w:hAnsi="Times New Roman"/>
          <w:kern w:val="0"/>
          <w:sz w:val="24"/>
          <w:szCs w:val="24"/>
        </w:rPr>
        <w:t xml:space="preserve">W. Zhao, Y. Liu, X. Zhao, Z. Pan, J. Chen, S. Zheng, L. Qu, X. Yang, </w:t>
      </w:r>
      <w:r>
        <w:rPr>
          <w:rFonts w:hint="default" w:ascii="Times New Roman" w:hAnsi="Times New Roman"/>
          <w:i/>
          <w:kern w:val="0"/>
          <w:sz w:val="24"/>
          <w:szCs w:val="24"/>
        </w:rPr>
        <w:t>Chemistry - A European Journal</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29</w:t>
      </w:r>
      <w:r>
        <w:rPr>
          <w:rFonts w:hint="default" w:ascii="Times New Roman" w:hAnsi="Times New Roman"/>
          <w:kern w:val="0"/>
          <w:sz w:val="24"/>
          <w:szCs w:val="24"/>
        </w:rPr>
        <w:t>, e202203334.</w:t>
      </w:r>
    </w:p>
    <w:p w14:paraId="62BA08B8">
      <w:pPr>
        <w:pStyle w:val="165"/>
        <w:widowControl w:val="0"/>
        <w:spacing w:after="0" w:line="240" w:lineRule="auto"/>
        <w:jc w:val="both"/>
        <w:rPr>
          <w:rFonts w:hint="default" w:ascii="Times New Roman" w:hAnsi="Times New Roman" w:cs="Times New Roman"/>
          <w:kern w:val="2"/>
          <w:sz w:val="24"/>
          <w:szCs w:val="24"/>
          <w:lang w:eastAsia="zh-CN"/>
        </w:rPr>
      </w:pPr>
    </w:p>
    <w:sectPr>
      <w:headerReference r:id="rId33" w:type="default"/>
      <w:footerReference r:id="rId34" w:type="default"/>
      <w:type w:val="continuous"/>
      <w:pgSz w:w="11906" w:h="16838"/>
      <w:pgMar w:top="1077" w:right="1020" w:bottom="1020" w:left="1020" w:header="567" w:footer="510" w:gutter="0"/>
      <w:pgNumType w:fmt="decimal"/>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iberation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iberation San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Times New Roman CE">
    <w:altName w:val="Times New Roman"/>
    <w:panose1 w:val="00000000000000000000"/>
    <w:charset w:val="EE"/>
    <w:family w:val="roman"/>
    <w:pitch w:val="default"/>
    <w:sig w:usb0="00000000" w:usb1="00000000" w:usb2="00000000" w:usb3="00000000" w:csb0="00000002"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CF5DF">
    <w:pPr>
      <w:pStyle w:val="24"/>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B48A5">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BEB48A5">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46AAA">
    <w:pPr>
      <w:pStyle w:val="24"/>
      <w:jc w:val="cente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7028D1">
                          <w:pPr>
                            <w:pStyle w:val="24"/>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E7028D1">
                    <w:pPr>
                      <w:pStyle w:val="24"/>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40414">
    <w:pPr>
      <w:pStyle w:val="24"/>
      <w:jc w:val="cente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37898">
                          <w:pPr>
                            <w:pStyle w:val="24"/>
                          </w:pPr>
                          <w:r>
                            <w:t xml:space="preserve">第 </w:t>
                          </w:r>
                          <w:r>
                            <w:fldChar w:fldCharType="begin"/>
                          </w:r>
                          <w:r>
                            <w:instrText xml:space="preserve"> PAGE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4B37898">
                    <w:pPr>
                      <w:pStyle w:val="24"/>
                    </w:pPr>
                    <w:r>
                      <w:t xml:space="preserve">第 </w:t>
                    </w:r>
                    <w:r>
                      <w:fldChar w:fldCharType="begin"/>
                    </w:r>
                    <w:r>
                      <w:instrText xml:space="preserve"> PAGE  \* MERGEFORMAT </w:instrText>
                    </w:r>
                    <w:r>
                      <w:fldChar w:fldCharType="separate"/>
                    </w:r>
                    <w:r>
                      <w:t>3</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939A8">
    <w:pPr>
      <w:pStyle w:val="24"/>
      <w:jc w:val="cente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9B4677">
                          <w:pPr>
                            <w:pStyle w:val="24"/>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E9B4677">
                    <w:pPr>
                      <w:pStyle w:val="24"/>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ABD0B">
    <w:pPr>
      <w:pStyle w:val="24"/>
      <w:jc w:val="cente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34B17">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8934B17">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6F940">
    <w:pPr>
      <w:pStyle w:val="24"/>
      <w:jc w:val="cente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B3703">
                          <w:pPr>
                            <w:pStyle w:val="24"/>
                          </w:pPr>
                          <w:r>
                            <w:t xml:space="preserve">第 </w:t>
                          </w:r>
                          <w:r>
                            <w:fldChar w:fldCharType="begin"/>
                          </w:r>
                          <w:r>
                            <w:instrText xml:space="preserve"> PAGE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28B3703">
                    <w:pPr>
                      <w:pStyle w:val="24"/>
                    </w:pPr>
                    <w:r>
                      <w:t xml:space="preserve">第 </w:t>
                    </w:r>
                    <w:r>
                      <w:fldChar w:fldCharType="begin"/>
                    </w:r>
                    <w:r>
                      <w:instrText xml:space="preserve"> PAGE  \* MERGEFORMAT </w:instrText>
                    </w:r>
                    <w:r>
                      <w:fldChar w:fldCharType="separate"/>
                    </w:r>
                    <w:r>
                      <w:t>6</w:t>
                    </w:r>
                    <w:r>
                      <w:fldChar w:fldCharType="end"/>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C9B42">
    <w:pPr>
      <w:pStyle w:val="24"/>
      <w:jc w:val="cente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11F217">
                          <w:pPr>
                            <w:pStyle w:val="24"/>
                          </w:pPr>
                          <w:r>
                            <w:t xml:space="preserve">第 </w:t>
                          </w:r>
                          <w:r>
                            <w:fldChar w:fldCharType="begin"/>
                          </w:r>
                          <w:r>
                            <w:instrText xml:space="preserve"> PAGE  \* MERGEFORMAT </w:instrText>
                          </w:r>
                          <w:r>
                            <w:fldChar w:fldCharType="separate"/>
                          </w:r>
                          <w:r>
                            <w:t>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4111F217">
                    <w:pPr>
                      <w:pStyle w:val="24"/>
                    </w:pPr>
                    <w:r>
                      <w:t xml:space="preserve">第 </w:t>
                    </w:r>
                    <w:r>
                      <w:fldChar w:fldCharType="begin"/>
                    </w:r>
                    <w:r>
                      <w:instrText xml:space="preserve"> PAGE  \* MERGEFORMAT </w:instrText>
                    </w:r>
                    <w:r>
                      <w:fldChar w:fldCharType="separate"/>
                    </w:r>
                    <w:r>
                      <w:t>7</w:t>
                    </w:r>
                    <w:r>
                      <w:fldChar w:fldCharType="end"/>
                    </w:r>
                    <w: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2C400">
    <w:pPr>
      <w:pStyle w:val="24"/>
      <w:jc w:val="cente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256294">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1256294">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C59E3">
    <w:pPr>
      <w:pStyle w:val="24"/>
      <w:jc w:val="center"/>
    </w:pPr>
    <w:r>
      <w:rPr>
        <w:sz w:val="2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F78C23">
                          <w:pPr>
                            <w:pStyle w:val="24"/>
                          </w:pPr>
                          <w:r>
                            <w:t xml:space="preserve">第 </w:t>
                          </w:r>
                          <w:r>
                            <w:fldChar w:fldCharType="begin"/>
                          </w:r>
                          <w:r>
                            <w:instrText xml:space="preserve"> PAGE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EF78C23">
                    <w:pPr>
                      <w:pStyle w:val="24"/>
                    </w:pPr>
                    <w:r>
                      <w:t xml:space="preserve">第 </w:t>
                    </w:r>
                    <w:r>
                      <w:fldChar w:fldCharType="begin"/>
                    </w:r>
                    <w:r>
                      <w:instrText xml:space="preserve"> PAGE  \* MERGEFORMAT </w:instrText>
                    </w:r>
                    <w:r>
                      <w:fldChar w:fldCharType="separate"/>
                    </w:r>
                    <w:r>
                      <w:t>8</w:t>
                    </w:r>
                    <w:r>
                      <w:fldChar w:fldCharType="end"/>
                    </w:r>
                    <w: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D6CA">
    <w:pPr>
      <w:pStyle w:val="24"/>
      <w:jc w:val="center"/>
    </w:pPr>
    <w:r>
      <w:rPr>
        <w:sz w:val="20"/>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32CA80">
                          <w:pPr>
                            <w:pStyle w:val="24"/>
                          </w:pPr>
                          <w:r>
                            <w:t xml:space="preserve">第 </w:t>
                          </w:r>
                          <w:r>
                            <w:fldChar w:fldCharType="begin"/>
                          </w:r>
                          <w:r>
                            <w:instrText xml:space="preserve"> PAGE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832CA80">
                    <w:pPr>
                      <w:pStyle w:val="24"/>
                    </w:pPr>
                    <w:r>
                      <w:t xml:space="preserve">第 </w:t>
                    </w:r>
                    <w:r>
                      <w:fldChar w:fldCharType="begin"/>
                    </w:r>
                    <w:r>
                      <w:instrText xml:space="preserve"> PAGE  \* MERGEFORMAT </w:instrText>
                    </w:r>
                    <w:r>
                      <w:fldChar w:fldCharType="separate"/>
                    </w:r>
                    <w:r>
                      <w:t>10</w:t>
                    </w:r>
                    <w:r>
                      <w:fldChar w:fldCharType="end"/>
                    </w:r>
                    <w:r>
                      <w:t xml:space="preserve"> 页</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25A72">
    <w:pPr>
      <w:pStyle w:val="24"/>
      <w:jc w:val="cente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ECA4E">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5A6ECA4E">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6338B">
    <w:pPr>
      <w:pStyle w:val="24"/>
      <w:jc w:val="center"/>
    </w:pPr>
    <w:r>
      <w:rPr>
        <w:sz w:val="20"/>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EC207">
                          <w:pPr>
                            <w:pStyle w:val="24"/>
                          </w:pPr>
                          <w:r>
                            <w:t xml:space="preserve">第 </w:t>
                          </w:r>
                          <w:r>
                            <w:fldChar w:fldCharType="begin"/>
                          </w:r>
                          <w:r>
                            <w:instrText xml:space="preserve"> PAGE  \* MERGEFORMAT </w:instrText>
                          </w:r>
                          <w:r>
                            <w:fldChar w:fldCharType="separate"/>
                          </w:r>
                          <w:r>
                            <w:t>11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552EC207">
                    <w:pPr>
                      <w:pStyle w:val="24"/>
                    </w:pPr>
                    <w:r>
                      <w:t xml:space="preserve">第 </w:t>
                    </w:r>
                    <w:r>
                      <w:fldChar w:fldCharType="begin"/>
                    </w:r>
                    <w:r>
                      <w:instrText xml:space="preserve"> PAGE  \* MERGEFORMAT </w:instrText>
                    </w:r>
                    <w:r>
                      <w:fldChar w:fldCharType="separate"/>
                    </w:r>
                    <w:r>
                      <w:t>11</w:t>
                    </w:r>
                    <w:r>
                      <w:fldChar w:fldCharType="end"/>
                    </w:r>
                    <w:r>
                      <w:t xml:space="preserve"> 页</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E6966">
    <w:pPr>
      <w:pStyle w:val="24"/>
      <w:jc w:val="center"/>
    </w:pPr>
    <w:r>
      <w:rPr>
        <w:sz w:val="20"/>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BA0E8">
                          <w:pPr>
                            <w:pStyle w:val="24"/>
                          </w:pPr>
                          <w:r>
                            <w:t xml:space="preserve">第 </w:t>
                          </w:r>
                          <w:r>
                            <w:fldChar w:fldCharType="begin"/>
                          </w:r>
                          <w:r>
                            <w:instrText xml:space="preserve"> PAGE  \* MERGEFORMAT </w:instrText>
                          </w:r>
                          <w:r>
                            <w:fldChar w:fldCharType="separate"/>
                          </w:r>
                          <w:r>
                            <w:t>12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62DBA0E8">
                    <w:pPr>
                      <w:pStyle w:val="24"/>
                    </w:pPr>
                    <w:r>
                      <w:t xml:space="preserve">第 </w:t>
                    </w:r>
                    <w:r>
                      <w:fldChar w:fldCharType="begin"/>
                    </w:r>
                    <w:r>
                      <w:instrText xml:space="preserve"> PAGE  \* MERGEFORMAT </w:instrText>
                    </w:r>
                    <w:r>
                      <w:fldChar w:fldCharType="separate"/>
                    </w:r>
                    <w:r>
                      <w:t>12</w:t>
                    </w:r>
                    <w:r>
                      <w:fldChar w:fldCharType="end"/>
                    </w:r>
                    <w:r>
                      <w:t xml:space="preserve"> 页</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569A4">
    <w:pPr>
      <w:pStyle w:val="24"/>
      <w:jc w:val="center"/>
    </w:pPr>
    <w:r>
      <w:rPr>
        <w:sz w:val="20"/>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E8E7C1">
                          <w:pPr>
                            <w:pStyle w:val="24"/>
                          </w:pPr>
                          <w:r>
                            <w:t xml:space="preserve">第 </w:t>
                          </w:r>
                          <w:r>
                            <w:fldChar w:fldCharType="begin"/>
                          </w:r>
                          <w:r>
                            <w:instrText xml:space="preserve"> PAGE  \* MERGEFORMAT </w:instrText>
                          </w:r>
                          <w:r>
                            <w:fldChar w:fldCharType="separate"/>
                          </w:r>
                          <w:r>
                            <w:t>15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DE8E7C1">
                    <w:pPr>
                      <w:pStyle w:val="24"/>
                    </w:pPr>
                    <w:r>
                      <w:t xml:space="preserve">第 </w:t>
                    </w:r>
                    <w:r>
                      <w:fldChar w:fldCharType="begin"/>
                    </w:r>
                    <w:r>
                      <w:instrText xml:space="preserve"> PAGE  \* MERGEFORMAT </w:instrText>
                    </w:r>
                    <w:r>
                      <w:fldChar w:fldCharType="separate"/>
                    </w:r>
                    <w:r>
                      <w:t>15</w:t>
                    </w:r>
                    <w:r>
                      <w:fldChar w:fldCharType="end"/>
                    </w:r>
                    <w:r>
                      <w:t xml:space="preserve"> 页</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5127B">
    <w:pPr>
      <w:pStyle w:val="24"/>
      <w:jc w:val="center"/>
    </w:pPr>
    <w:r>
      <w:rPr>
        <w:sz w:val="20"/>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BA17E6">
                          <w:pPr>
                            <w:pStyle w:val="24"/>
                          </w:pPr>
                          <w:r>
                            <w:t xml:space="preserve">第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39BA17E6">
                    <w:pPr>
                      <w:pStyle w:val="24"/>
                    </w:pPr>
                    <w:r>
                      <w:t xml:space="preserve">第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5" w:lineRule="auto"/>
      </w:pPr>
      <w:r>
        <w:separator/>
      </w:r>
    </w:p>
  </w:footnote>
  <w:footnote w:type="continuationSeparator" w:id="1">
    <w:p>
      <w:pPr>
        <w:spacing w:before="0" w:after="0" w:line="24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6D9A7">
    <w:pPr>
      <w:pStyle w:val="25"/>
      <w:pBdr>
        <w:bottom w:val="single" w:color="777777" w:sz="4" w:space="4"/>
      </w:pBdr>
      <w:tabs>
        <w:tab w:val="right" w:pos="9865"/>
      </w:tabs>
      <w:spacing w:after="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47C8C">
    <w:pPr>
      <w:pStyle w:val="25"/>
      <w:pBdr>
        <w:bottom w:val="single" w:color="777777" w:sz="4" w:space="4"/>
      </w:pBdr>
      <w:tabs>
        <w:tab w:val="right" w:pos="9866"/>
      </w:tabs>
      <w:spacing w:after="40"/>
    </w:pPr>
    <w:r>
      <w:rPr>
        <w:rFonts w:ascii="Liberation Sans" w:hAnsi="Liberation Sans"/>
        <w:b/>
        <w:sz w:val="18"/>
      </w:rPr>
      <w: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474A9">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AF066">
    <w:pPr>
      <w:pStyle w:val="25"/>
      <w:pBdr>
        <w:bottom w:val="single" w:color="777777" w:sz="4" w:space="4"/>
      </w:pBdr>
      <w:tabs>
        <w:tab w:val="right" w:pos="9866"/>
      </w:tabs>
      <w:spacing w:after="4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96665">
    <w:pPr>
      <w:pStyle w:val="25"/>
      <w:pBdr>
        <w:bottom w:val="single" w:color="777777" w:sz="4" w:space="4"/>
      </w:pBdr>
      <w:tabs>
        <w:tab w:val="right" w:pos="9866"/>
      </w:tabs>
      <w:spacing w:after="40"/>
    </w:pPr>
    <w:r>
      <w:rPr>
        <w:rFonts w:ascii="Liberation Sans" w:hAnsi="Liberation Sans"/>
        <w:b/>
        <w:sz w:val="18"/>
      </w:rPr>
      <w:t>PERSPECTIVE</w:t>
    </w:r>
    <w:r>
      <w:rPr>
        <w:rFonts w:ascii="Liberation Sans" w:hAnsi="Liberation Sans"/>
        <w:b/>
        <w:sz w:val="18"/>
      </w:rPr>
      <w:tab/>
    </w:r>
    <w:r>
      <w:rPr>
        <w:rFonts w:ascii="Liberation Sans" w:hAnsi="Liberation Sans"/>
        <w:b/>
        <w:sz w:val="18"/>
      </w:rPr>
      <w:t>MAGNESIUM ELECTROLYTES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31B98">
    <w:pPr>
      <w:pStyle w:val="25"/>
      <w:pBdr>
        <w:bottom w:val="single" w:color="777777" w:sz="4" w:space="4"/>
      </w:pBdr>
      <w:tabs>
        <w:tab w:val="right" w:pos="15478"/>
      </w:tabs>
      <w:spacing w:after="4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81A3F">
    <w:pPr>
      <w:pStyle w:val="25"/>
      <w:pBdr>
        <w:bottom w:val="single" w:color="777777" w:sz="4" w:space="4"/>
      </w:pBdr>
      <w:tabs>
        <w:tab w:val="right" w:pos="9866"/>
      </w:tabs>
      <w:spacing w:after="4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644FD">
    <w:pPr>
      <w:pStyle w:val="25"/>
      <w:pBdr>
        <w:bottom w:val="single" w:color="777777" w:sz="4" w:space="4"/>
      </w:pBdr>
      <w:tabs>
        <w:tab w:val="right" w:pos="9866"/>
      </w:tabs>
      <w:spacing w:after="40"/>
    </w:pPr>
    <w:r>
      <w:rPr>
        <w:rFonts w:ascii="Liberation Sans" w:hAnsi="Liberation Sans"/>
        <w:b/>
        <w:sz w:val="18"/>
      </w:rPr>
      <w:t>PERSPECTIVE</w:t>
    </w:r>
    <w:r>
      <w:rPr>
        <w:rFonts w:ascii="Liberation Sans" w:hAnsi="Liberation Sans"/>
        <w:b/>
        <w:sz w:val="18"/>
      </w:rPr>
      <w:tab/>
    </w:r>
    <w:r>
      <w:rPr>
        <w:rFonts w:ascii="Liberation Sans" w:hAnsi="Liberation Sans"/>
        <w:b/>
        <w:sz w:val="18"/>
      </w:rPr>
      <w:t>MAGNESIUM ELECTROLYTES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AF849">
    <w:pPr>
      <w:pStyle w:val="25"/>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D4B2">
    <w:pPr>
      <w:pStyle w:val="25"/>
      <w:pBdr>
        <w:bottom w:val="single" w:color="777777" w:sz="4" w:space="4"/>
      </w:pBdr>
      <w:tabs>
        <w:tab w:val="right" w:pos="9866"/>
      </w:tabs>
      <w:spacing w:after="4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1E104">
    <w:pPr>
      <w:pStyle w:val="25"/>
      <w:pBdr>
        <w:bottom w:val="single" w:color="777777" w:sz="4" w:space="4"/>
      </w:pBdr>
      <w:tabs>
        <w:tab w:val="right" w:pos="9866"/>
      </w:tabs>
      <w:spacing w:after="40"/>
    </w:pPr>
    <w:r>
      <w:rPr>
        <w:rFonts w:ascii="Liberation Sans" w:hAnsi="Liberation Sans"/>
        <w:b/>
        <w:sz w:val="18"/>
      </w:rPr>
      <w:t>PERSPECTIVE</w:t>
    </w:r>
    <w:r>
      <w:rPr>
        <w:rFonts w:ascii="Liberation Sans" w:hAnsi="Liberation Sans"/>
        <w:b/>
        <w:sz w:val="18"/>
      </w:rPr>
      <w:tab/>
    </w:r>
    <w:r>
      <w:rPr>
        <w:rFonts w:ascii="Liberation Sans" w:hAnsi="Liberation Sans"/>
        <w:b/>
        <w:sz w:val="18"/>
      </w:rPr>
      <w:t>MAGNESIUM ELECTROLYTES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88685">
    <w:pPr>
      <w:pStyle w:val="25"/>
      <w:pBdr>
        <w:bottom w:val="single" w:color="777777" w:sz="4" w:space="4"/>
      </w:pBdr>
      <w:tabs>
        <w:tab w:val="right" w:pos="9866"/>
      </w:tabs>
      <w:spacing w:after="4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0E973">
    <w:pPr>
      <w:pStyle w:val="25"/>
      <w:pBdr>
        <w:bottom w:val="single" w:color="777777" w:sz="4" w:space="4"/>
      </w:pBdr>
      <w:tabs>
        <w:tab w:val="right" w:pos="9866"/>
      </w:tabs>
      <w:spacing w:after="4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7ED0E">
    <w:pPr>
      <w:pStyle w:val="25"/>
      <w:pBdr>
        <w:bottom w:val="single" w:color="777777" w:sz="4" w:space="4"/>
      </w:pBdr>
      <w:tabs>
        <w:tab w:val="right" w:pos="9866"/>
      </w:tabs>
      <w:spacing w:after="4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04261">
    <w:pPr>
      <w:pStyle w:val="25"/>
      <w:pBdr>
        <w:bottom w:val="single" w:color="777777" w:sz="4" w:space="4"/>
      </w:pBdr>
      <w:tabs>
        <w:tab w:val="right" w:pos="9866"/>
      </w:tabs>
      <w:spacing w:after="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19758BE"/>
    <w:rsid w:val="02646373"/>
    <w:rsid w:val="139879D4"/>
    <w:rsid w:val="2BD26A73"/>
    <w:rsid w:val="30586A11"/>
    <w:rsid w:val="541F2246"/>
    <w:rsid w:val="597E3CBC"/>
    <w:rsid w:val="6DBE7ACC"/>
    <w:rsid w:val="6F0902F2"/>
    <w:rsid w:val="78335C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245" w:lineRule="auto"/>
    </w:pPr>
    <w:rPr>
      <w:rFonts w:ascii="Liberation Serif" w:hAnsi="Liberation Serif" w:eastAsiaTheme="minorEastAsia" w:cstheme="minorBidi"/>
      <w:color w:val="000000"/>
      <w:sz w:val="20"/>
      <w:szCs w:val="22"/>
      <w:lang w:val="en-US" w:eastAsia="en-US" w:bidi="ar-SA"/>
    </w:rPr>
  </w:style>
  <w:style w:type="paragraph" w:styleId="3">
    <w:name w:val="heading 1"/>
    <w:basedOn w:val="1"/>
    <w:next w:val="1"/>
    <w:link w:val="139"/>
    <w:qFormat/>
    <w:uiPriority w:val="9"/>
    <w:pPr>
      <w:keepNext/>
      <w:keepLines/>
      <w:spacing w:before="180" w:after="100"/>
      <w:outlineLvl w:val="0"/>
    </w:pPr>
    <w:rPr>
      <w:rFonts w:asciiTheme="majorHAnsi" w:hAnsiTheme="majorHAnsi" w:eastAsiaTheme="majorEastAsia" w:cstheme="majorBidi"/>
      <w:b/>
      <w:bCs/>
      <w:color w:val="000000"/>
      <w:sz w:val="23"/>
      <w:szCs w:val="28"/>
    </w:rPr>
  </w:style>
  <w:style w:type="paragraph" w:styleId="4">
    <w:name w:val="heading 2"/>
    <w:basedOn w:val="1"/>
    <w:next w:val="1"/>
    <w:link w:val="140"/>
    <w:unhideWhenUsed/>
    <w:qFormat/>
    <w:uiPriority w:val="9"/>
    <w:pPr>
      <w:keepNext/>
      <w:keepLines/>
      <w:spacing w:before="180" w:after="100"/>
      <w:outlineLvl w:val="1"/>
    </w:pPr>
    <w:rPr>
      <w:rFonts w:asciiTheme="majorHAnsi" w:hAnsiTheme="majorHAnsi" w:eastAsiaTheme="majorEastAsia" w:cstheme="majorBidi"/>
      <w:b/>
      <w:bCs/>
      <w:color w:val="000000"/>
      <w:sz w:val="20"/>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Lines/>
      <w:spacing w:after="160" w:line="250" w:lineRule="auto"/>
    </w:pPr>
    <w:rPr>
      <w:rFonts w:ascii="Liberation Sans" w:hAnsi="Liberation Sans"/>
      <w:b/>
      <w:bCs/>
      <w:color w:val="000000"/>
      <w:sz w:val="17"/>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beforeAutospacing="1" w:afterAutospacing="1"/>
      <w:jc w:val="left"/>
    </w:pPr>
    <w:rPr>
      <w:rFonts w:cs="Times New Roman"/>
      <w:kern w:val="0"/>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240" w:line="240" w:lineRule="auto"/>
      <w:contextualSpacing/>
    </w:pPr>
    <w:rPr>
      <w:rFonts w:asciiTheme="majorHAnsi" w:hAnsiTheme="majorHAnsi" w:eastAsiaTheme="majorEastAsia" w:cstheme="majorBidi"/>
      <w:b/>
      <w:color w:val="000000"/>
      <w:spacing w:val="5"/>
      <w:kern w:val="28"/>
      <w:sz w:val="40"/>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EndNote Bibliography"/>
    <w:basedOn w:val="1"/>
    <w:qFormat/>
    <w:uiPriority w:val="0"/>
    <w:rPr>
      <w:rFonts w:ascii="Calibri" w:hAnsi="Calibri" w:cs="Calibri"/>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4.pn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10379</Words>
  <Characters>61459</Characters>
  <Lines>0</Lines>
  <Paragraphs>0</Paragraphs>
  <TotalTime>0</TotalTime>
  <ScaleCrop>false</ScaleCrop>
  <LinksUpToDate>false</LinksUpToDate>
  <CharactersWithSpaces>71496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special  sunshine</dc:creator>
  <dc:description>AM-style editable manuscript draft; author information has not been supplied.</dc:description>
  <cp:keywords>magnesium electrolyte solvation Perspective</cp:keywords>
  <cp:lastModifiedBy>special  sunshine</cp:lastModifiedBy>
  <dcterms:modified xsi:type="dcterms:W3CDTF">2026-10-13T10:13:59Z</dcterms:modified>
  <dc:subject>Perspective on magnesium electrolyte solvation structures</dc:subject>
  <dc:title>Anion Coordination and Magnesium Transfer Pathways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eyJoZGlkIjoiOTAwYmQzOTU1NDkyNjc2MTRlNGUxMGQ1ZGFiNjBiZWIiLCJ1c2VySWQiOiI0NTE4OTQ3OTkifQ==</vt:lpwstr>
  </property>
  <property fmtid="{D5CDD505-2E9C-101B-9397-08002B2CF9AE}" pid="3" name="KSOProductBuildVer">
    <vt:lpwstr>2052-12.1.0.28505</vt:lpwstr>
  </property>
  <property fmtid="{D5CDD505-2E9C-101B-9397-08002B2CF9AE}" pid="4" name="ICV">
    <vt:lpwstr>93860C43D7EF4D809182A8DB4CFAC8E7_13</vt:lpwstr>
  </property>
</Properties>
</file>