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b/>
          <w:sz w:val="23"/>
        </w:rPr>
        <w:t xml:space="preserve">Table 2. </w:t>
      </w:r>
      <w:r>
        <w:rPr>
          <w:sz w:val="23"/>
        </w:rPr>
        <w:t>Magnesium reversibility as a common readout for distinguishing transfer pathways.</w:t>
      </w:r>
    </w:p>
    <w:tbl>
      <w:tblPr>
        <w:tblW w:type="dxa" w:w="15364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Layout w:type="fixed"/>
        <w:tblCellMar>
          <w:top w:type="dxa" w:w="90"/>
          <w:bottom w:type="dxa" w:w="90"/>
          <w:left w:type="dxa" w:w="80"/>
          <w:right w:type="dxa" w:w="80"/>
        </w:tblCellMar>
      </w:tblPr>
      <w:tblGrid>
        <w:gridCol w:w="3572"/>
        <w:gridCol w:w="1134"/>
        <w:gridCol w:w="3402"/>
        <w:gridCol w:w="6123"/>
        <w:gridCol w:w="1134"/>
      </w:tblGrid>
      <w:tr>
        <w:trPr>
          <w:tblHeader w:val="true"/>
        </w:trPr>
        <w:tc>
          <w:tcPr>
            <w:tcW w:type="dxa" w:w="3572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/>
                <w:sz w:val="21"/>
              </w:rPr>
              <w:t>Transfer contribution and representative chemistry</w:t>
            </w:r>
          </w:p>
        </w:tc>
        <w:tc>
          <w:tcPr>
            <w:tcW w:type="dxa" w:w="1134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/>
                <w:sz w:val="21"/>
              </w:rPr>
              <w:t>Reported Mg CE (%)</w:t>
            </w:r>
          </w:p>
        </w:tc>
        <w:tc>
          <w:tcPr>
            <w:tcW w:type="dxa" w:w="3402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/>
                <w:sz w:val="21"/>
              </w:rPr>
              <w:t>Reported performance context</w:t>
            </w:r>
          </w:p>
        </w:tc>
        <w:tc>
          <w:tcPr>
            <w:tcW w:type="dxa" w:w="6123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/>
                <w:sz w:val="21"/>
              </w:rPr>
              <w:t>Matched mechanistic test</w:t>
            </w:r>
          </w:p>
        </w:tc>
        <w:tc>
          <w:tcPr>
            <w:tcW w:type="dxa" w:w="1134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/>
                <w:sz w:val="21"/>
              </w:rPr>
              <w:t>Refs.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/>
                <w:sz w:val="21"/>
              </w:rPr>
              <w:t>Precursor availability</w:t>
            </w:r>
            <w:r>
              <w:rPr>
                <w:rFonts w:ascii="Liberation Serif" w:hAnsi="Liberation Serif"/>
                <w:sz w:val="21"/>
              </w:rPr>
              <w:br/>
              <w:t>Mg(TFSI)₂ / DME–G2–BTFE–TEP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  <w:t>95.2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Reversibility in a weakly paired formulation</w:t>
            </w:r>
          </w:p>
        </w:tc>
        <w:tc>
          <w:tcPr>
            <w:tcW w:type="dxa" w:w="6123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Relate carrier population to Mg current; match transport and surface history.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</w:r>
            <w:hyperlink r:id="rId9">
              <w:r>
                <w:rPr>
                  <w:rFonts w:ascii="Liberation Serif" w:hAnsi="Liberation Serif"/>
                  <w:sz w:val="21"/>
                </w:rPr>
                <w:t>[24]</w:t>
              </w:r>
            </w:hyperlink>
            <w:r>
              <w:br/>
              <w:t xml:space="preserve">via </w:t>
            </w:r>
            <w:hyperlink r:id="rId10">
              <w:r>
                <w:rPr>
                  <w:rFonts w:ascii="Liberation Serif" w:hAnsi="Liberation Serif"/>
                  <w:sz w:val="21"/>
                </w:rPr>
                <w:t>[86]</w:t>
              </w:r>
            </w:hyperlink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/>
                <w:sz w:val="21"/>
              </w:rPr>
              <w:t>Ligand rearrangement</w:t>
            </w:r>
            <w:r>
              <w:rPr>
                <w:rFonts w:ascii="Liberation Serif" w:hAnsi="Liberation Serif"/>
                <w:sz w:val="21"/>
              </w:rPr>
              <w:br/>
              <w:t>Mg(TFSI)₂ / DME–MOPA-1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  <w:t>99.5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Reversibility with redesigned donor coordination</w:t>
            </w:r>
          </w:p>
        </w:tc>
        <w:tc>
          <w:tcPr>
            <w:tcW w:type="dxa" w:w="6123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Compare ligand exchange and Mg current on equally conditioned surfaces.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</w:r>
            <w:hyperlink r:id="rId11">
              <w:r>
                <w:rPr>
                  <w:rFonts w:ascii="Liberation Serif" w:hAnsi="Liberation Serif"/>
                  <w:sz w:val="21"/>
                </w:rPr>
                <w:t>[76]</w:t>
              </w:r>
            </w:hyperlink>
            <w:r>
              <w:br/>
              <w:t xml:space="preserve">via </w:t>
            </w:r>
            <w:hyperlink r:id="rId10">
              <w:r>
                <w:rPr>
                  <w:rFonts w:ascii="Liberation Serif" w:hAnsi="Liberation Serif"/>
                  <w:sz w:val="21"/>
                </w:rPr>
                <w:t>[86]</w:t>
              </w:r>
            </w:hyperlink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/>
                <w:sz w:val="21"/>
              </w:rPr>
              <w:t>Reduction selectivity</w:t>
            </w:r>
            <w:r>
              <w:rPr>
                <w:rFonts w:ascii="Liberation Serif" w:hAnsi="Liberation Serif"/>
                <w:sz w:val="21"/>
              </w:rPr>
              <w:br/>
              <w:t>Ion-paired amine electrolyte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  <w:t>99.6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Mg charge recovery over an 800-cycle readout</w:t>
            </w:r>
          </w:p>
        </w:tc>
        <w:tc>
          <w:tcPr>
            <w:tcW w:type="dxa" w:w="6123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Quantify H₂ and decomposition products alongside Mg deposition and ligand exchange.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</w:r>
            <w:hyperlink r:id="rId12">
              <w:r>
                <w:rPr>
                  <w:rFonts w:ascii="Liberation Serif" w:hAnsi="Liberation Serif"/>
                  <w:sz w:val="21"/>
                </w:rPr>
                <w:t>[80]</w:t>
              </w:r>
            </w:hyperlink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/>
                <w:sz w:val="21"/>
              </w:rPr>
              <w:t>Retained surface benefit</w:t>
            </w:r>
            <w:r>
              <w:rPr>
                <w:rFonts w:ascii="Liberation Serif" w:hAnsi="Liberation Serif"/>
                <w:sz w:val="21"/>
              </w:rPr>
              <w:br/>
              <w:t>Mg(pftb)₂ + MgCl₂ / THF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  <w:t>99.7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Mg charge recovery over a 3000-cycle readout</w:t>
            </w:r>
          </w:p>
        </w:tc>
        <w:tc>
          <w:tcPr>
            <w:tcW w:type="dxa" w:w="6123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Replace the liquid; verify film persistence and retained Mg transfer.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</w:r>
            <w:hyperlink r:id="rId13">
              <w:r>
                <w:rPr>
                  <w:rFonts w:ascii="Liberation Serif" w:hAnsi="Liberation Serif"/>
                  <w:sz w:val="21"/>
                </w:rPr>
                <w:t>[20]</w:t>
              </w:r>
            </w:hyperlink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/>
                <w:sz w:val="21"/>
              </w:rPr>
              <w:t>Coupled liquid and film effects</w:t>
            </w:r>
            <w:r>
              <w:rPr>
                <w:rFonts w:ascii="Liberation Serif" w:hAnsi="Liberation Serif"/>
                <w:sz w:val="21"/>
              </w:rPr>
              <w:br/>
              <w:t>Mg(OTf)₂ + MgCl₂ / DME–TEP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  <w:t>99.4</w:t>
            </w:r>
          </w:p>
        </w:tc>
        <w:tc>
          <w:tcPr>
            <w:tcW w:type="dxa" w:w="3402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Mg∥Mo charge recovery after 3000 h</w:t>
            </w:r>
          </w:p>
        </w:tc>
        <w:tc>
          <w:tcPr>
            <w:tcW w:type="dxa" w:w="6123"/>
            <w:vAlign w:val="center"/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Vary the liquid and conditioned surface independently; resolve their contributions.</w:t>
            </w:r>
          </w:p>
        </w:tc>
        <w:tc>
          <w:tcPr>
            <w:tcW w:type="dxa" w:w="1134"/>
            <w:vAlign w:val="center"/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</w:r>
            <w:hyperlink r:id="rId14">
              <w:r>
                <w:rPr>
                  <w:rFonts w:ascii="Liberation Serif" w:hAnsi="Liberation Serif"/>
                  <w:sz w:val="21"/>
                </w:rPr>
                <w:t>[88]</w:t>
              </w:r>
            </w:hyperlink>
          </w:p>
        </w:tc>
      </w:tr>
      <w:tr>
        <w:trPr>
          <w:cantSplit/>
        </w:trPr>
        <w:tc>
          <w:tcPr>
            <w:tcW w:type="dxa" w:w="3572"/>
            <w:vAlign w:val="center"/>
            <w:tcBorders>
              <w:bottom w:val="single" w:sz="12" w:color="000000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/>
                <w:sz w:val="21"/>
              </w:rPr>
              <w:t>Compatibility at both electrodes</w:t>
            </w:r>
            <w:r>
              <w:rPr>
                <w:rFonts w:ascii="Liberation Serif" w:hAnsi="Liberation Serif"/>
                <w:sz w:val="21"/>
              </w:rPr>
              <w:br/>
              <w:t>Mg(OTf)₂ / G2–MOEA</w:t>
            </w:r>
          </w:p>
        </w:tc>
        <w:tc>
          <w:tcPr>
            <w:tcW w:type="dxa" w:w="1134"/>
            <w:vAlign w:val="center"/>
            <w:tcBorders>
              <w:bottom w:val="single" w:sz="12" w:color="000000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  <w:t>98.3</w:t>
            </w:r>
          </w:p>
        </w:tc>
        <w:tc>
          <w:tcPr>
            <w:tcW w:type="dxa" w:w="3402"/>
            <w:vAlign w:val="center"/>
            <w:tcBorders>
              <w:bottom w:val="single" w:sz="12" w:color="000000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Average Mg CE after 8200 cycles in an asymmetric cell</w:t>
            </w:r>
          </w:p>
        </w:tc>
        <w:tc>
          <w:tcPr>
            <w:tcW w:type="dxa" w:w="6123"/>
            <w:vAlign w:val="center"/>
            <w:tcBorders>
              <w:bottom w:val="single" w:sz="12" w:color="000000"/>
            </w:tcBorders>
          </w:tcPr>
          <w:p>
            <w:pPr>
              <w:keepLines/>
              <w:spacing w:after="0" w:line="252" w:lineRule="auto"/>
              <w:jc w:val="left"/>
            </w:pPr>
            <w:r>
              <w:rPr>
                <w:rFonts w:ascii="Liberation Serif" w:hAnsi="Liberation Serif"/>
                <w:b w:val="0"/>
                <w:sz w:val="21"/>
              </w:rPr>
              <w:t>Retest Mg reversibility after cathode exposure; isolate each electrode response.</w:t>
            </w:r>
          </w:p>
        </w:tc>
        <w:tc>
          <w:tcPr>
            <w:tcW w:type="dxa" w:w="1134"/>
            <w:vAlign w:val="center"/>
            <w:tcBorders>
              <w:bottom w:val="single" w:sz="12" w:color="000000"/>
            </w:tcBorders>
          </w:tcPr>
          <w:p>
            <w:pPr>
              <w:keepLines/>
              <w:spacing w:after="0" w:line="252" w:lineRule="auto"/>
              <w:jc w:val="center"/>
            </w:pPr>
            <w:r>
              <w:rPr>
                <w:rFonts w:ascii="Liberation Serif" w:hAnsi="Liberation Serif"/>
                <w:b w:val="0"/>
                <w:sz w:val="21"/>
              </w:rPr>
            </w:r>
            <w:hyperlink r:id="rId15">
              <w:r>
                <w:rPr>
                  <w:rFonts w:ascii="Liberation Serif" w:hAnsi="Liberation Serif"/>
                  <w:sz w:val="21"/>
                </w:rPr>
                <w:t>[87]</w:t>
              </w:r>
            </w:hyperlink>
          </w:p>
        </w:tc>
      </w:tr>
    </w:tbl>
    <w:p>
      <w:pPr>
        <w:keepLines/>
        <w:spacing w:before="140" w:line="252" w:lineRule="auto"/>
      </w:pPr>
      <w:r>
        <w:rPr>
          <w:rFonts w:ascii="Liberation Serif" w:hAnsi="Liberation Serif"/>
          <w:sz w:val="18"/>
        </w:rPr>
        <w:t>CE is the common source-reported Mg plating/stripping endpoint. Cycling windows retain each source’s context; protocols are not normalised and the values are not a performance ranking. The matched tests are proposed controls. High CE alone does not establish faster release, anion regeneration or the absence of kinetic trapping. “Via” identifies Zhang et al. [86] as the numerical source; the other values were checked in original abstracts.</w:t>
      </w:r>
    </w:p>
    <w:p>
      <w:pPr>
        <w:keepLines/>
        <w:spacing w:before="80" w:line="252" w:lineRule="auto"/>
      </w:pPr>
      <w:r>
        <w:rPr>
          <w:rFonts w:ascii="Liberation Serif" w:hAnsi="Liberation Serif"/>
          <w:sz w:val="18"/>
        </w:rPr>
        <w:t>Chemistries identify representative systems, not complete recipes. DME: 1,2-dimethoxyethane; G2: diglyme; BTFE: bis(2,2,2-trifluoroethyl) ether; THF: tetrahydrofuran; TEP: triethyl phosphate; MOPA-1: 1-methoxy-2-propylamine; MOEA: 2-methoxyethylamine; pftb: perfluorinated tert-butoxide; OTf: triflate; TFSI: bis(trifluoromethanesulfonyl)imide. Reference numbers retain the V7 manuscript order and link to DOI records.</w:t>
      </w:r>
    </w:p>
    <w:sectPr w:rsidR="00FC693F" w:rsidRPr="0006063C" w:rsidSect="00034616">
      <w:pgSz w:w="16838" w:h="11906" w:orient="landscape"/>
      <w:pgMar w:top="680" w:right="737" w:bottom="680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Liberation Serif" w:hAnsi="Liberation Serif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9/d3ee02861e" TargetMode="External"/><Relationship Id="rId10" Type="http://schemas.openxmlformats.org/officeDocument/2006/relationships/hyperlink" Target="https://doi.org/10.1002/adma.202417652" TargetMode="External"/><Relationship Id="rId11" Type="http://schemas.openxmlformats.org/officeDocument/2006/relationships/hyperlink" Target="https://doi.org/10.1126/science.abg3954" TargetMode="External"/><Relationship Id="rId12" Type="http://schemas.openxmlformats.org/officeDocument/2006/relationships/hyperlink" Target="https://doi.org/10.1002/aenm.202301544" TargetMode="External"/><Relationship Id="rId13" Type="http://schemas.openxmlformats.org/officeDocument/2006/relationships/hyperlink" Target="https://doi.org/10.1002/adma.202203783" TargetMode="External"/><Relationship Id="rId14" Type="http://schemas.openxmlformats.org/officeDocument/2006/relationships/hyperlink" Target="https://doi.org/10.1021/acscentsci.6c01164" TargetMode="External"/><Relationship Id="rId15" Type="http://schemas.openxmlformats.org/officeDocument/2006/relationships/hyperlink" Target="https://doi.org/10.1002/aenm.2023017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2 Magnesium Transfer Pathways</dc:title>
  <dc:subject>Concise mechanism framework with shared source-reported Mg Coulombic efficiencies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