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Anion Coordination and Magnesium Transfer Pathways</w:t>
      </w:r>
    </w:p>
    <w:p>
      <w:pPr>
        <w:sectPr>
          <w:headerReference w:type="default" r:id="rId9"/>
          <w:footerReference w:type="default" r:id="rId10"/>
          <w:pgSz w:w="11906" w:h="16838"/>
          <w:pgMar w:top="1077" w:right="1020" w:bottom="1020" w:left="1020" w:header="567" w:footer="510" w:gutter="0"/>
          <w:cols w:space="720"/>
          <w:docGrid w:linePitch="360"/>
        </w:sectPr>
      </w:pPr>
    </w:p>
    <w:p>
      <w:pPr>
        <w:pStyle w:val="Heading2"/>
        <w:spacing w:before="0"/>
      </w:pPr>
      <w:r>
        <w:t>Abstract</w:t>
      </w:r>
    </w:p>
    <w:p>
      <w:pPr>
        <w:spacing w:line="250" w:lineRule="auto" w:after="140"/>
        <w:jc w:val="both"/>
        <w:shd w:fill="E3E3E3"/>
      </w:pPr>
      <w:r>
        <w:rPr>
          <w:rFonts w:ascii="Liberation Sans" w:hAnsi="Liberation Sans"/>
          <w:b/>
          <w:sz w:val="19"/>
        </w:rPr>
        <w:t>Reversible magnesium deposition has been achieved both by weakening ion pairing and by bringing selected anions into the primary solvation shell. This apparent contradiction exposes a limitation of structure-based electrolyte design: occupancy does not identify the reaction that controls metal transfer. We argue that a coordinating anion matters because it changes solvent attachment, the route of ligand departure and the competition between magnesium reduction and electrolyte decomposition. These effects can precede, accompany or persist independently of film formation. Representative studies illustrate distinct benefits, from suppressing amine reduction to opening a rearrangement pathway or preserving an active interface. We use these cases to define the evidence that separates population changes, molecular kinetics and retained surface effects. A two-state example clarifies why the abundance of a solvate and its reactivity are different quantities. We then propose controlled experiments and magnesium-specific modelling tests that connect local chemistry to both electrodes and material consumption. The aim is a reaction pathway that predicts electrolyte behaviour beyond the formulation in which it was discovered.</w:t>
      </w:r>
    </w:p>
    <w:p>
      <w:pPr>
        <w:spacing w:after="160"/>
      </w:pPr>
      <w:r>
        <w:rPr>
          <w:rFonts w:ascii="Liberation Sans" w:hAnsi="Liberation Sans"/>
          <w:sz w:val="17"/>
        </w:rPr>
        <w:t>Keywords: magnesium electrolytes; solvation structure; anion coordination; desolvation; interphase; multivalent batteries</w:t>
      </w:r>
    </w:p>
    <w:p>
      <w:pPr>
        <w:pStyle w:val="Heading1"/>
      </w:pPr>
      <w:r>
        <w:t>1. Introduction</w:t>
      </w:r>
    </w:p>
    <w:p>
      <w:pPr>
        <w:pStyle w:val="Heading2"/>
      </w:pPr>
      <w:r>
        <w:t>1.1. Why magnesium needs its own electrolyte logic</w:t>
      </w:r>
    </w:p>
    <w:p>
      <w:pPr>
        <w:jc w:val="both"/>
      </w:pPr>
      <w:r>
        <w:t>A working magnesium electrolyte delivers more than dissolved Mg²⁺. It supplies a carrier whose ligands can rearrange, whose reduction produces recoverable metal, and whose reactions leave the surface active. The early rechargeable prototype combined an organohaloaluminate liquid with a Chevrel-phase cathode.</w:t>
      </w:r>
      <w:r>
        <w:rPr>
          <w:sz w:val="16"/>
          <w:vertAlign w:val="superscript"/>
        </w:rPr>
        <w:t>⁠[⁠1⁠–⁠3⁠]</w:t>
      </w:r>
      <w:r>
        <w:t xml:space="preserve"> Subsequent studies established how strongly reversibility depends on donor chemistry and electrode preparation.</w:t>
      </w:r>
      <w:r>
        <w:rPr>
          <w:sz w:val="16"/>
          <w:vertAlign w:val="superscript"/>
        </w:rPr>
        <w:t>⁠[⁠4⁠–⁠5⁠]</w:t>
      </w:r>
      <w:r>
        <w:t xml:space="preserve"> Those dependencies still constrain magnesium and other multivalent batteries.</w:t>
      </w:r>
      <w:r>
        <w:rPr>
          <w:sz w:val="16"/>
          <w:vertAlign w:val="superscript"/>
        </w:rPr>
        <w:t>⁠[⁠6⁠–⁠9⁠]</w:t>
      </w:r>
      <w:r>
        <w:t xml:space="preserve"> The central design question is therefore how a formulation transfers magnesium, and which part of that mechanism survives a change in chemistry.</w:t>
      </w:r>
    </w:p>
    <w:p>
      <w:pPr>
        <w:jc w:val="both"/>
      </w:pPr>
      <w:r>
        <w:t>Lithium offers a valuable starting point, but magnesium requires a different interpretation of the interface. In lithium electrolytes, salt concentration and anion participation can redirect reduction and improve electrode compatibility.</w:t>
      </w:r>
      <w:r>
        <w:rPr>
          <w:sz w:val="16"/>
          <w:vertAlign w:val="superscript"/>
        </w:rPr>
        <w:t>⁠[⁠1⁠0⁠–⁠1⁠5⁠]</w:t>
      </w:r>
      <w:r>
        <w:t xml:space="preserve"> A functional lithium SEI limits electronic leakage while allowing ion transport.</w:t>
      </w:r>
      <w:r>
        <w:rPr>
          <w:sz w:val="16"/>
          <w:vertAlign w:val="superscript"/>
        </w:rPr>
        <w:t>⁠[⁠1⁠6⁠–⁠1⁠7⁠]</w:t>
      </w:r>
      <w:r>
        <w:t xml:space="preserve"> Magnesium often develops blocking films, although selected artificial and electrolyte-derived interfaces sustain cycling.</w:t>
      </w:r>
      <w:r>
        <w:rPr>
          <w:sz w:val="16"/>
          <w:vertAlign w:val="superscript"/>
        </w:rPr>
        <w:t>⁠[⁠1⁠8⁠–⁠2⁠0⁠]</w:t>
      </w:r>
      <w:r>
        <w:t xml:space="preserve"> Comparative work on Li and Mg emphasizes that the same film-building strategy can have different transport consequences.</w:t>
      </w:r>
      <w:r>
        <w:rPr>
          <w:sz w:val="16"/>
          <w:vertAlign w:val="superscript"/>
        </w:rPr>
        <w:t>⁠[⁠2⁠1⁠]</w:t>
      </w:r>
      <w:r>
        <w:t xml:space="preserve"> Identifying a familiar SEI compound is thus less informative than establishing how magnesium passes through the resulting interface.</w:t>
      </w:r>
    </w:p>
    <w:p>
      <w:pPr>
        <w:jc w:val="both"/>
      </w:pPr>
      <w:r>
        <w:t>The distinction is visible in a hybrid organic/inorganic Mg interphase. A surface formed in its original electrolyte suppresses side reactions after transfer into a TFSI-containing liquid.</w:t>
      </w:r>
      <w:r>
        <w:rPr>
          <w:sz w:val="16"/>
          <w:vertAlign w:val="superscript"/>
        </w:rPr>
        <w:t>⁠[⁠2⁠0⁠]</w:t>
      </w:r>
      <w:r>
        <w:t xml:space="preserve"> Part of the benefit therefore resides in the retained surface. Its persistence says little about ligand departure in the replacement liquid. This experiment captures an essential separation: solution coordination determines which carrier arrives, while the surface determines how that carrier reacts. A useful film and an accessible molecular pathway can reinforce one another, but neither establishes the other.</w:t>
      </w:r>
    </w:p>
    <w:p>
      <w:pPr>
        <w:jc w:val="both"/>
      </w:pPr>
      <w:r>
        <w:t>The divalent charge of Mg generally strengthens its interaction with comparable donors relative to Li, making polarisation, ion association and ligand geometry especially consequential.</w:t>
      </w:r>
      <w:r>
        <w:rPr>
          <w:sz w:val="16"/>
          <w:vertAlign w:val="superscript"/>
        </w:rPr>
        <w:t>⁠[⁠2⁠2⁠–⁠2⁠3⁠]</w:t>
      </w:r>
      <w:r>
        <w:t xml:space="preserve"> Denticity denotes the number of donor atoms from one ligand bound to the metal; it is not the number of ligand molecules. Anion contact changes carrier charge and geometry while Mg remains formally Mg(II) before reduction. This creates a design paradox. Anion-rich shells can favour interfacial chemistry, yet persistent association can obstruct release. Electrolytes developed in both directions work.</w:t>
      </w:r>
      <w:r>
        <w:rPr>
          <w:sz w:val="16"/>
          <w:vertAlign w:val="superscript"/>
        </w:rPr>
        <w:t>⁠[⁠2⁠4⁠–⁠2⁠5⁠]</w:t>
      </w:r>
      <w:r>
        <w:t xml:space="preserve"> Their success becomes intelligible once coordination is connected to the particular reaction it improves.</w:t>
      </w:r>
    </w:p>
    <w:p>
      <w:pPr>
        <w:pStyle w:val="Heading2"/>
      </w:pPr>
      <w:r>
        <w:t>1.2. A working recipe needs a reaction mechanism</w:t>
      </w:r>
    </w:p>
    <w:p>
      <w:pPr>
        <w:jc w:val="both"/>
      </w:pPr>
      <w:r>
        <w:t>A successful recipe is not yet an explanation. Magnesium electrolytes span organometallic complexes, simple salts and mixed-donor liquids,</w:t>
      </w:r>
      <w:r>
        <w:rPr>
          <w:sz w:val="16"/>
          <w:vertAlign w:val="superscript"/>
        </w:rPr>
        <w:t>⁠[⁠2⁠6⁠–⁠2⁠9⁠]</w:t>
      </w:r>
      <w:r>
        <w:t xml:space="preserve"> and each substitution changes several processes at once. Coordination number and isolated binding energy describe the starting environment; they do not identify the slow step.</w:t>
      </w:r>
      <w:r>
        <w:rPr>
          <w:sz w:val="16"/>
          <w:vertAlign w:val="superscript"/>
        </w:rPr>
        <w:t>⁠[⁠2⁠3⁠,⁠3⁠0⁠–⁠3⁠1⁠]</w:t>
      </w:r>
      <w:r>
        <w:t xml:space="preserve"> A chloride-complex calculation provides a concrete counterexample to a single-descriptor ranking: clustering facilitates calculated desolvation but hinders electron transfer.</w:t>
      </w:r>
      <w:r>
        <w:rPr>
          <w:sz w:val="16"/>
          <w:vertAlign w:val="superscript"/>
        </w:rPr>
        <w:t>⁠[⁠3⁠2⁠]</w:t>
      </w:r>
      <w:r>
        <w:t xml:space="preserve"> Chemical equilibria and oxidation introduce further constraints.</w:t>
      </w:r>
      <w:r>
        <w:rPr>
          <w:sz w:val="16"/>
          <w:vertAlign w:val="superscript"/>
        </w:rPr>
        <w:t>⁠[⁠3⁠3⁠]</w:t>
      </w:r>
      <w:r>
        <w:t xml:space="preserve"> A descriptor is useful when it predicts a defined response, including a condition under which its apparent advantage disappears.</w:t>
      </w:r>
    </w:p>
    <w:p>
      <w:pPr>
        <w:jc w:val="both"/>
      </w:pPr>
      <w:r>
        <w:t>Mg–solvent, Mg–anion and anion–solvent interactions belong to the same chemical system. Organoboron, non-Grignard and alkoxide electrolytes access different carriers,</w:t>
      </w:r>
      <w:r>
        <w:rPr>
          <w:sz w:val="16"/>
          <w:vertAlign w:val="superscript"/>
        </w:rPr>
        <w:t>⁠[⁠3⁠4⁠–⁠3⁠6⁠]</w:t>
      </w:r>
      <w:r>
        <w:t xml:space="preserve"> while substituent changes alter the electrochemistry of Grignard-derived formulations.</w:t>
      </w:r>
      <w:r>
        <w:rPr>
          <w:sz w:val="16"/>
          <w:vertAlign w:val="superscript"/>
        </w:rPr>
        <w:t>⁠[⁠3⁠7⁠]</w:t>
      </w:r>
      <w:r>
        <w:t xml:space="preserve"> Comparing these families requires a common reaction definition rather than a common-looking cluster. The relevant information is the populated precursor, its route to the electrode product, and the competing route that consumes electrolyte. Similar Coulombic efficiencies can conceal differences in all three. The design rule worth transferring identifies which interaction to change next.</w:t>
      </w:r>
    </w:p>
    <w:p>
      <w:pPr>
        <w:pStyle w:val="Heading2"/>
      </w:pPr>
      <w:r>
        <w:t>1.3. Our position and the criterion for progress</w:t>
      </w:r>
    </w:p>
    <w:p>
      <w:pPr>
        <w:jc w:val="both"/>
      </w:pPr>
      <w:r>
        <w:t>Our position is that first-shell anions should be selected for the transfer pathway they make accessible. An anion can displace a persistent donor, redistribute electron density or create a geometry from which remaining ligands leave more readily. Its contribution can therefore arise before any solid film exists. Studies of competing interactions, dynamic solvation and modulation beyond the primary shell provide complementary starting points.</w:t>
      </w:r>
      <w:r>
        <w:rPr>
          <w:sz w:val="16"/>
          <w:vertAlign w:val="superscript"/>
        </w:rPr>
        <w:t>⁠[⁠2⁠5⁠,⁠3⁠8⁠–⁠3⁠9⁠]</w:t>
      </w:r>
      <w:r>
        <w:t xml:space="preserve"> We use direct coordination for a Mg–anion donor contact. A contact ion pair contains such a contact; a solvent-separated pair has solvent between the ions. Both remain solvated species.</w:t>
      </w:r>
    </w:p>
    <w:p>
      <w:pPr>
        <w:jc w:val="both"/>
      </w:pPr>
      <w:r>
        <w:t>This Perspective examines the reaction changed by coordination, the evidence for its effect on useful Mg transfer, and the subsequent fate of the anion. The occupied precursor is the solution or interfacial state populated before the step of interest, rather than necessarily the most stable isolated cluster. Release makes further interactions possible; decomposition spends inventory and may build a film; persistent binding can retain Mg in an unproductive state. These outcomes demand different measurements. We regard a mechanism as transferable when it predicts a donor, anion or potential perturbation in another chemical environment and identifies its operating limits.</w:t>
      </w:r>
    </w:p>
    <w:p>
      <w:pPr>
        <w:sectPr>
          <w:headerReference w:type="default" r:id="rId26"/>
          <w:footerReference w:type="default" r:id="rId27"/>
          <w:type w:val="continuous"/>
          <w:pgSz w:w="11906" w:h="16838"/>
          <w:pgMar w:top="1077" w:right="1020" w:bottom="1020" w:left="1020" w:header="567" w:footer="510" w:gutter="0"/>
          <w:cols w:space="360" w:num="2"/>
          <w:docGrid w:linePitch="360"/>
        </w:sectPr>
      </w:pPr>
    </w:p>
    <w:p>
      <w:pPr>
        <w:pStyle w:val="Heading1"/>
      </w:pPr>
      <w:r>
        <w:t>2. The Anion Participation Paradox</w:t>
      </w:r>
    </w:p>
    <w:p>
      <w:pPr>
        <w:keepNext/>
        <w:spacing w:after="60"/>
        <w:jc w:val="center"/>
      </w:pPr>
      <w:r>
        <w:drawing>
          <wp:inline xmlns:a="http://schemas.openxmlformats.org/drawingml/2006/main" xmlns:pic="http://schemas.openxmlformats.org/drawingml/2006/picture">
            <wp:extent cx="5328000" cy="2664000"/>
            <wp:docPr id="1" name="Picture 1" descr="Figure 1. Original conceptual schematic for magnesium electrolyte design."/>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328000" cy="2664000"/>
                    </a:xfrm>
                    <a:prstGeom prst="rect"/>
                  </pic:spPr>
                </pic:pic>
              </a:graphicData>
            </a:graphic>
          </wp:inline>
        </w:drawing>
      </w:r>
    </w:p>
    <w:p>
      <w:pPr>
        <w:pStyle w:val="Caption"/>
      </w:pPr>
      <w:r>
        <w:rPr>
          <w:b w:val="0"/>
        </w:rPr>
        <w:t>Figure 1. Coordination influences magnesium transfer through the pathway available to the occupied carrier. a) Weak pairing retains a solvent-release requirement. b) Labile anion contact can permit rearrangement. c) Persistent coordination can impede departure. The regimes are schematic rather than assignments to specific liquids; ligand counts are illustrative and Mg²⁺ labels the centre, not total complex charge. The arrows summarize a sequence of transfer events, with released species omitted.</w:t>
      </w:r>
    </w:p>
    <w:p>
      <w:pPr>
        <w:sectPr>
          <w:headerReference w:type="default" r:id="rId28"/>
          <w:footerReference w:type="default" r:id="rId29"/>
          <w:type w:val="continuous"/>
          <w:pgSz w:w="11906" w:h="16838"/>
          <w:pgMar w:top="1077" w:right="1020" w:bottom="1020" w:left="1020" w:header="567" w:footer="510" w:gutter="0"/>
          <w:cols w:space="360" w:num="1"/>
          <w:docGrid w:linePitch="360"/>
        </w:sectPr>
      </w:pPr>
    </w:p>
    <w:p>
      <w:pPr>
        <w:pStyle w:val="Heading2"/>
      </w:pPr>
      <w:r>
        <w:t>2.1. Weak pairing avoids an unproductive association</w:t>
      </w:r>
    </w:p>
    <w:p>
      <w:pPr>
        <w:jc w:val="both"/>
      </w:pPr>
      <w:r>
        <w:t>Weak pairing is advantageous when Mg–anion association removes reactive carriers or promotes unwanted chemistry. A solvent-designed Mg(TFSI)₂ formulation combines increased pair dissociation with reversible deposition,</w:t>
      </w:r>
      <w:r>
        <w:rPr>
          <w:sz w:val="16"/>
          <w:vertAlign w:val="superscript"/>
        </w:rPr>
        <w:t>⁠[⁠2⁠4⁠]</w:t>
      </w:r>
      <w:r>
        <w:t xml:space="preserve"> whereas earlier TFSI studies show substantial dependence on donor environment and cycling history.</w:t>
      </w:r>
      <w:r>
        <w:rPr>
          <w:sz w:val="16"/>
          <w:vertAlign w:val="superscript"/>
        </w:rPr>
        <w:t>⁠[⁠4⁠0⁠–⁠4⁠2⁠]</w:t>
      </w:r>
      <w:r>
        <w:t xml:space="preserve"> Reduced contact does not remove the solvent shell. It shifts attention to solvent rearrangement, carrier supply and the surface reaction. Conductivity and dissociation consequently answer different questions: correlated motion, viscosity and carrier mobility can change the former without producing a corresponding change in molecular release.</w:t>
      </w:r>
    </w:p>
    <w:p>
      <w:pPr>
        <w:jc w:val="both"/>
      </w:pPr>
      <w:r>
        <w:t>Weakly coordinating salts approach this problem from the anion side. Boron clusters and carboranes extended Mg chemistry beyond organohalide liquids, with cluster modification addressing solubility and stability.</w:t>
      </w:r>
      <w:r>
        <w:rPr>
          <w:sz w:val="16"/>
          <w:vertAlign w:val="superscript"/>
        </w:rPr>
        <w:t>⁠[⁠4⁠3⁠–⁠4⁠6⁠]</w:t>
      </w:r>
      <w:r>
        <w:t xml:space="preserve"> Fluorinated borates and alkoxyaluminates added less corrosive and high-voltage options.</w:t>
      </w:r>
      <w:r>
        <w:rPr>
          <w:sz w:val="16"/>
          <w:vertAlign w:val="superscript"/>
        </w:rPr>
        <w:t>⁠[⁠4⁠7⁠–⁠5⁠1⁠]</w:t>
      </w:r>
      <w:r>
        <w:t xml:space="preserve"> The common design intent is to reduce disruptive association, not to establish identical shells across these chemistries. Even a bulky anion can associate under some conditions. Its practical value rests on whether the remaining donor environment delivers Mg to an active interface.</w:t>
      </w:r>
    </w:p>
    <w:p>
      <w:pPr>
        <w:jc w:val="both"/>
      </w:pPr>
      <w:r>
        <w:t>The solvent can become the limitation after persistent anion contacts are reduced. Competitive ethers loosen a borate solvation environment,</w:t>
      </w:r>
      <w:r>
        <w:rPr>
          <w:sz w:val="16"/>
          <w:vertAlign w:val="superscript"/>
        </w:rPr>
        <w:t>⁠[⁠5⁠2⁠]</w:t>
      </w:r>
      <w:r>
        <w:t xml:space="preserve"> and hydrofluoroether–diglyme mixtures provide another way to change Mg coordination.</w:t>
      </w:r>
      <w:r>
        <w:rPr>
          <w:sz w:val="16"/>
          <w:vertAlign w:val="superscript"/>
        </w:rPr>
        <w:t>⁠[⁠5⁠3⁠]</w:t>
      </w:r>
      <w:r>
        <w:t xml:space="preserve"> Within a controlled series, an association decrease accompanied by slower deposition would redirect the investigation towards solvent departure, adsorption or surface conversion. That response would delimit a dissociation-based rule rather than invalidate weak pairing itself. The benefit of removing one obstruction depends on the next step in the sequence.</w:t>
      </w:r>
    </w:p>
    <w:p>
      <w:pPr>
        <w:jc w:val="both"/>
      </w:pPr>
      <w:r>
        <w:t>A direct carborane–TFSI comparison is particularly useful because it examines the Mg/electrolyte interface alongside anion identity.</w:t>
      </w:r>
      <w:r>
        <w:rPr>
          <w:sz w:val="16"/>
          <w:vertAlign w:val="superscript"/>
        </w:rPr>
        <w:t>⁠[⁠5⁠4⁠]</w:t>
      </w:r>
      <w:r>
        <w:t xml:space="preserve"> Initial shell assignments alone miss the chemical divergence that develops during cycling. Metal recovery, soluble products and surface evolution locate that divergence. Matched donor composition and surface history then reveal whether the important difference is carrier reactivity, suppressed decomposition or a retained interface. An anion family is a chemical starting point for such a comparison, not a mechanism that can be assigned from its name.</w:t>
      </w:r>
    </w:p>
    <w:p>
      <w:pPr>
        <w:pStyle w:val="Heading2"/>
      </w:pPr>
      <w:r>
        <w:t>2.2. Coordinating anions can help without one universal mechanism</w:t>
      </w:r>
    </w:p>
    <w:p>
      <w:pPr>
        <w:jc w:val="both"/>
      </w:pPr>
      <w:r>
        <w:t>Chloride electrolytes demonstrate that direct anion coordination is compatible with Mg transfer. Structural studies identify chloride-containing carriers with coordination and charge unlike a solvent-only Mg²⁺ solvate.</w:t>
      </w:r>
      <w:r>
        <w:rPr>
          <w:sz w:val="16"/>
          <w:vertAlign w:val="superscript"/>
        </w:rPr>
        <w:t>⁠[⁠5⁠5⁠–⁠6⁠0⁠]</w:t>
      </w:r>
      <w:r>
        <w:t xml:space="preserve"> Magnesium/aluminium speciation, donor choice and conditioning determine their electrochemical behaviour.</w:t>
      </w:r>
      <w:r>
        <w:rPr>
          <w:sz w:val="16"/>
          <w:vertAlign w:val="superscript"/>
        </w:rPr>
        <w:t>⁠[⁠6⁠1⁠–⁠6⁠7⁠]</w:t>
      </w:r>
      <w:r>
        <w:t xml:space="preserve"> Chloride can act within the approaching complex and at the surface. These coupled functions explain why neither excluding all anions nor maximizing contact pairs offers a general rule. The relevant contact is the one that participates in a productive sequence under the operating conditions.</w:t>
      </w:r>
    </w:p>
    <w:p>
      <w:pPr>
        <w:jc w:val="both"/>
      </w:pPr>
      <w:r>
        <w:t>Phenolate, phenoxyimine, amido and Hauser-base electrolytes further broaden the chemistry of Mg carriers.</w:t>
      </w:r>
      <w:r>
        <w:rPr>
          <w:sz w:val="16"/>
          <w:vertAlign w:val="superscript"/>
        </w:rPr>
        <w:t>⁠[⁠6⁠8⁠–⁠7⁠2⁠]</w:t>
      </w:r>
      <w:r>
        <w:t xml:space="preserve"> Borohydride systems are likewise sensitive to concentration and donor choice.</w:t>
      </w:r>
      <w:r>
        <w:rPr>
          <w:sz w:val="16"/>
          <w:vertAlign w:val="superscript"/>
        </w:rPr>
        <w:t>⁠[⁠7⁠3⁠–⁠7⁠5⁠]</w:t>
      </w:r>
      <w:r>
        <w:t xml:space="preserve"> Amine cosolvents and redesigned solvent molecules enable transfer despite substantial Mg–donor interaction.</w:t>
      </w:r>
      <w:r>
        <w:rPr>
          <w:sz w:val="16"/>
          <w:vertAlign w:val="superscript"/>
        </w:rPr>
        <w:t>⁠[⁠7⁠6⁠–⁠7⁠9⁠]</w:t>
      </w:r>
      <w:r>
        <w:t xml:space="preserve"> These examples weaken the premise that the smallest attraction inevitably gives the fastest overall deposition. Strong binding can support dissolution and stabilize a useful precursor while a later rearrangement permits release. The equilibrium interaction and the activation process have to be considered together.</w:t>
      </w:r>
    </w:p>
    <w:p>
      <w:pPr>
        <w:jc w:val="both"/>
      </w:pPr>
      <w:r>
        <w:t>The amine example identifies one specific benefit of primary-shell pairing. Weakened amine coordination suppresses reduction and H₂ evolution, with 99.6% CE reported for 800 cycles.</w:t>
      </w:r>
      <w:r>
        <w:rPr>
          <w:sz w:val="16"/>
          <w:vertAlign w:val="superscript"/>
        </w:rPr>
        <w:t>⁠[⁠8⁠0⁠]</w:t>
      </w:r>
      <w:r>
        <w:t xml:space="preserve"> This result establishes improved reversibility and supports a selectivity argument. The competing solvent–anion study instead proposes synchronous ligand release and reports 0.06 V reduction overpotential at 1 mA cm⁻² together with an MgH₂-containing interphase.</w:t>
      </w:r>
      <w:r>
        <w:rPr>
          <w:sz w:val="16"/>
          <w:vertAlign w:val="superscript"/>
        </w:rPr>
        <w:t>⁠[⁠2⁠5⁠]</w:t>
      </w:r>
      <w:r>
        <w:t xml:space="preserve"> Its molecular and surface benefits remain coupled. These are independent protocols, not a kinetic ranking. In particular, identifying MgH₂ does not determine which phase, boundary or defect transports Mg through the operating film.</w:t>
      </w:r>
    </w:p>
    <w:p>
      <w:pPr>
        <w:jc w:val="both"/>
      </w:pPr>
      <w:r>
        <w:t>Chelating anions provide a third route. MgEDTF is magnesium (1R,2R)-1,2-diphenylethane-1,2-diylbis(trifluoromethylsulfonylamide); its EDTF²⁻ anion forms an unsaturated Mg–anion–DME complex.</w:t>
      </w:r>
      <w:r>
        <w:rPr>
          <w:sz w:val="16"/>
          <w:vertAlign w:val="superscript"/>
        </w:rPr>
        <w:t>⁠[⁠8⁠1⁠]</w:t>
      </w:r>
      <w:r>
        <w:t xml:space="preserve"> Relative to the non-chelating analogue, the authors report a decrease in plating/stripping overpotential from 2.0 to 0.24 V and attribute a substantial benefit to the anion-derived SEI. This within-study comparison is not directly comparable with the preceding reduction-overpotential report. It motivates a sharper experiment: vary the coordinating species on similarly conditioned surfaces, then compare the initial molecular response with the effect retained after liquid replacement.</w:t>
      </w:r>
    </w:p>
    <w:p>
      <w:pPr>
        <w:jc w:val="both"/>
      </w:pPr>
      <w:r>
        <w:t>Table 1 translates these reports into mechanistic choices. Dissociation is the appropriate target when association restricts carrier availability. Ligand departure becomes the target when donors persist, and selectivity or surface activation becomes the target when charge is lost to decomposition. The reported CE provides a common readout but preserves each study's context; it is not a common-rate measurement. We use the differences between successful strategies to identify the experiment that would resolve their mechanisms, rather than to order unmatched formulations by performance.</w:t>
      </w:r>
    </w:p>
    <w:p>
      <w:pPr>
        <w:pStyle w:val="Heading2"/>
      </w:pPr>
      <w:r>
        <w:t>2.3. How coordination changes the transfer barrier</w:t>
      </w:r>
    </w:p>
    <w:p>
      <w:pPr>
        <w:jc w:val="both"/>
      </w:pPr>
      <w:r>
        <w:t>First-shell occupancy measures association; transfer requires a route out of that associated state. An abundant precursor can feed deposition, exchange slowly or undergo decomposition.</w:t>
      </w:r>
      <w:r>
        <w:rPr>
          <w:sz w:val="16"/>
          <w:vertAlign w:val="superscript"/>
        </w:rPr>
        <w:t>⁠[⁠2⁠3⁠,⁠3⁠0⁠–⁠3⁠1⁠]</w:t>
      </w:r>
      <w:r>
        <w:t xml:space="preserve"> Its abundance alone gives no ordering of those outcomes. The activation barrier is measured from the state occupied under operating conditions. Stabilizing this state more than the transition state raises the barrier, even if both absolute energies decrease. Figure 2 illustrates why the energetic benefit of an anion depends on the relative stabilisation along the pathway, not on the depth of one selected cluster minimum.</w:t>
      </w:r>
    </w:p>
    <w:p>
      <w:pPr>
        <w:jc w:val="both"/>
      </w:pPr>
      <w:r>
        <w:t>Anion contact can alter Mg–solvent attachment through electron redistribution and coordination geometry. It need not weaken every interaction simultaneously. Computed partial charges depend on the electronic model, whereas the formal Mg oxidation state remains unchanged by binding. Anion–solvent interactions also influence carrier populations without placing every cosolvent in the primary shell.</w:t>
      </w:r>
      <w:r>
        <w:rPr>
          <w:sz w:val="16"/>
          <w:vertAlign w:val="superscript"/>
        </w:rPr>
        <w:t>⁠[⁠8⁠2⁠–⁠8⁠4⁠]</w:t>
      </w:r>
      <w:r>
        <w:t xml:space="preserve"> The published solvent–anion “counterpoised” design refers to competing coordination interactions, rather than a basis-set counterpoise correction.</w:t>
      </w:r>
      <w:r>
        <w:rPr>
          <w:sz w:val="16"/>
          <w:vertAlign w:val="superscript"/>
        </w:rPr>
        <w:t>⁠[⁠2⁠5⁠]</w:t>
      </w:r>
      <w:r>
        <w:t xml:space="preserve"> It supplies no universal equality of binding energies. Work on weak solvent–solvent interactions in battery electrolytes offers a broader context for these surrounding-liquid effects.</w:t>
      </w:r>
      <w:r>
        <w:rPr>
          <w:sz w:val="16"/>
          <w:vertAlign w:val="superscript"/>
        </w:rPr>
        <w:t>⁠[⁠8⁠5⁠]</w:t>
      </w:r>
      <w:r/>
    </w:p>
    <w:p>
      <w:pPr>
        <w:jc w:val="both"/>
      </w:pPr>
      <w:r>
        <w:t>The 7-aminoindole example makes an outer-shell contribution explicit.</w:t>
      </w:r>
      <w:r>
        <w:rPr>
          <w:sz w:val="16"/>
          <w:vertAlign w:val="superscript"/>
        </w:rPr>
        <w:t>⁠[⁠3⁠9⁠]</w:t>
      </w:r>
      <w:r>
        <w:t xml:space="preserve"> The additive is predominantly noncoordinating; its reported CH–π and hydrogen-bonding interactions involve both Mg-bound and free ether molecules. The authors connect these interactions to weakened Mg–solvent attachment, enhanced mobility and a lower release barrier. The example expands the design variable beyond first-shell occupancy without making the additive a coordinating anion. It also suggests a discriminating comparison: retain similar primary-shell populations while perturbing the surrounding donor network, then test the predicted exchange and Mg-transfer response.</w:t>
      </w:r>
    </w:p>
    <w:p>
      <w:pPr>
        <w:jc w:val="both"/>
      </w:pPr>
      <w:r>
        <w:t>For local precursors that interconvert rapidly relative to productive exits, a pre-equilibrium limit separates their populations from their transfer rates:</w:t>
      </w:r>
    </w:p>
    <w:p>
      <w:pPr>
        <w:spacing w:before="120" w:after="120"/>
        <w:jc w:val="center"/>
      </w:pPr>
      <m:oMath>
        <m:sSub>
          <m:e>
            <m:r>
              <m:t>k</m:t>
            </m:r>
          </m:e>
          <m:sub>
            <m:r>
              <m:t>eff</m:t>
            </m:r>
          </m:sub>
        </m:sSub>
        <m:r>
          <m:t>(U) = </m:t>
        </m:r>
        <m:sSub>
          <m:e>
            <m:r>
              <m:t>∑</m:t>
            </m:r>
          </m:e>
          <m:sub>
            <m:r>
              <m:t>i</m:t>
            </m:r>
          </m:sub>
        </m:sSub>
        <m:sSub>
          <m:e>
            <m:r>
              <m:t>p</m:t>
            </m:r>
          </m:e>
          <m:sub>
            <m:r>
              <m:t>i</m:t>
            </m:r>
          </m:sub>
        </m:sSub>
        <m:r>
          <m:t>(U) </m:t>
        </m:r>
        <m:sSub>
          <m:e>
            <m:r>
              <m:t>k</m:t>
            </m:r>
          </m:e>
          <m:sub>
            <m:r>
              <m:t>i</m:t>
            </m:r>
          </m:sub>
        </m:sSub>
        <m:r>
          <m:t>(U)</m:t>
        </m:r>
      </m:oMath>
    </w:p>
    <w:p>
      <w:pPr>
        <w:jc w:val="both"/>
      </w:pPr>
      <w:r>
        <w:t>Here pᵢ(U) is the local precursor fraction at potential U, with Σᵢpᵢ(U) = 1, and kᵢ(U) is its effective first-order productive-transfer rate constant. The fractions refer to reaction-relevant local states, not automatically bulk spectral fractions. Mutual exchange is fast relative to the included exits. Slow exchange, changing coverage and coupled side reactions require explicit kinetic evolution. The apparent rate can thus change through population redistribution, a faster exit, or both.</w:t>
      </w:r>
    </w:p>
    <w:p>
      <w:pPr>
        <w:jc w:val="both"/>
      </w:pPr>
      <w:r>
        <w:t>Illustrative arithmetic separates these effects. For k₁ = 1 s⁻¹ and k₂ = 10 s⁻¹, p₁ = 0.9 and p₂ = 0.1 give 1.9 s⁻¹. Changing only the fractions to p₁ = p₂ = 0.5 gives 5.5 s⁻¹: more reactive precursor is supplied without changing its exit rate. Conversely, changing k₂ at fixed fractions tests a pathway effect. These assumed values are not Mg measurements; they identify the quantity to constrain before attributing faster transfer to easier release.</w:t>
      </w:r>
    </w:p>
    <w:p>
      <w:pPr>
        <w:spacing w:before="0" w:after="0" w:line="20" w:lineRule="exact"/>
        <w:sectPr>
          <w:headerReference w:type="default" r:id="rId30"/>
          <w:footerReference w:type="default" r:id="rId31"/>
          <w:type w:val="continuous"/>
          <w:pgSz w:w="11906" w:h="16838"/>
          <w:pgMar w:top="1077" w:right="1020" w:bottom="1020" w:left="1020" w:header="567" w:footer="510" w:gutter="0"/>
          <w:cols w:space="360" w:num="2"/>
          <w:docGrid w:linePitch="360"/>
        </w:sectPr>
      </w:pPr>
    </w:p>
    <w:p>
      <w:pPr>
        <w:spacing w:before="0" w:after="0" w:line="20" w:lineRule="exact"/>
        <w:sectPr>
          <w:headerReference w:type="default" r:id="rId32"/>
          <w:footerReference w:type="default" r:id="rId33"/>
          <w:type w:val="continuous"/>
          <w:pgSz w:w="11906" w:h="16838"/>
          <w:pgMar w:top="1077" w:right="1020" w:bottom="1020" w:left="1020" w:header="567" w:footer="510" w:gutter="0"/>
          <w:cols w:space="360" w:num="1"/>
          <w:docGrid w:linePitch="360"/>
        </w:sectPr>
      </w:pPr>
    </w:p>
    <w:p>
      <w:pPr>
        <w:pStyle w:val="Caption"/>
        <w:keepNext/>
        <w:spacing w:after="140" w:line="240" w:lineRule="auto" w:before="0"/>
      </w:pPr>
      <w:r>
        <w:rPr>
          <w:b/>
          <w:sz w:val="22"/>
        </w:rPr>
        <w:t xml:space="preserve">Table 1. </w:t>
      </w:r>
      <w:r>
        <w:rPr>
          <w:b w:val="0"/>
          <w:sz w:val="22"/>
        </w:rPr>
        <w:t>Representative electrolyte strategies reveal multiple kinetic pathways for magnesium transfer.</w:t>
      </w:r>
    </w:p>
    <w:tbl>
      <w:tblPr>
        <w:tblW w:type="dxa" w:w="15477"/>
        <w:jc w:val="center"/>
        <w:tblLayout w:type="fixed"/>
        <w:tblLook w:firstColumn="1" w:firstRow="1" w:lastColumn="0" w:lastRow="0" w:noHBand="0" w:noVBand="1" w:val="04A0"/>
        <w:tblBorders>
          <w:top w:val="nil"/>
          <w:bottom w:val="nil"/>
          <w:left w:val="nil"/>
          <w:right w:val="nil"/>
          <w:insideH w:val="nil"/>
          <w:insideV w:val="nil"/>
        </w:tblBorders>
        <w:tblCellMar>
          <w:top w:w="28" w:type="dxa"/>
          <w:bottom w:w="28" w:type="dxa"/>
          <w:left w:w="60" w:type="dxa"/>
          <w:right w:w="60" w:type="dxa"/>
        </w:tblCellMar>
      </w:tblPr>
      <w:tblGrid>
        <w:gridCol w:w="1701"/>
        <w:gridCol w:w="2835"/>
        <w:gridCol w:w="1020"/>
        <w:gridCol w:w="3402"/>
        <w:gridCol w:w="5499"/>
        <w:gridCol w:w="1020"/>
      </w:tblGrid>
      <w:tr>
        <w:trPr>
          <w:tblHeader w:val="true"/>
        </w:trPr>
        <w:tc>
          <w:tcPr>
            <w:tcW w:type="dxa" w:w="1701"/>
            <w:vAlign w:val="center"/>
            <w:tcBorders>
              <w:top w:val="single" w:sz="10" w:color="000000"/>
              <w:bottom w:val="single" w:sz="5" w:color="000000"/>
            </w:tcBorders>
          </w:tcPr>
          <w:p>
            <w:pPr>
              <w:keepLines/>
              <w:spacing w:before="0" w:after="0" w:line="240" w:lineRule="auto"/>
              <w:jc w:val="left"/>
            </w:pPr>
            <w:r>
              <w:rPr>
                <w:rFonts w:ascii="Liberation Serif" w:hAnsi="Liberation Serif"/>
                <w:b/>
                <w:color w:val="000000"/>
                <w:sz w:val="19"/>
              </w:rPr>
              <w:t>Design strategy</w:t>
            </w:r>
          </w:p>
        </w:tc>
        <w:tc>
          <w:tcPr>
            <w:tcW w:type="dxa" w:w="2835"/>
            <w:vAlign w:val="center"/>
            <w:tcBorders>
              <w:top w:val="single" w:sz="10" w:color="000000"/>
              <w:bottom w:val="single" w:sz="5" w:color="000000"/>
            </w:tcBorders>
          </w:tcPr>
          <w:p>
            <w:pPr>
              <w:keepLines/>
              <w:spacing w:before="0" w:after="0" w:line="240" w:lineRule="auto"/>
              <w:jc w:val="left"/>
            </w:pPr>
            <w:r>
              <w:rPr>
                <w:rFonts w:ascii="Liberation Serif" w:hAnsi="Liberation Serif"/>
                <w:b/>
                <w:color w:val="000000"/>
                <w:sz w:val="19"/>
              </w:rPr>
              <w:t>Representative chemistry</w:t>
            </w:r>
          </w:p>
        </w:tc>
        <w:tc>
          <w:tcPr>
            <w:tcW w:type="dxa" w:w="1020"/>
            <w:vAlign w:val="center"/>
            <w:tcBorders>
              <w:top w:val="single" w:sz="10" w:color="000000"/>
              <w:bottom w:val="single" w:sz="5" w:color="000000"/>
            </w:tcBorders>
          </w:tcPr>
          <w:p>
            <w:pPr>
              <w:keepLines/>
              <w:spacing w:before="0" w:after="0" w:line="240" w:lineRule="auto"/>
              <w:jc w:val="center"/>
            </w:pPr>
            <w:r>
              <w:rPr>
                <w:rFonts w:ascii="Liberation Serif" w:hAnsi="Liberation Serif"/>
                <w:b/>
                <w:color w:val="000000"/>
                <w:sz w:val="19"/>
              </w:rPr>
              <w:t>Reported Mg CE (%)</w:t>
            </w:r>
          </w:p>
        </w:tc>
        <w:tc>
          <w:tcPr>
            <w:tcW w:type="dxa" w:w="3402"/>
            <w:vAlign w:val="center"/>
            <w:tcBorders>
              <w:top w:val="single" w:sz="10" w:color="000000"/>
              <w:bottom w:val="single" w:sz="5" w:color="000000"/>
            </w:tcBorders>
          </w:tcPr>
          <w:p>
            <w:pPr>
              <w:keepLines/>
              <w:spacing w:before="0" w:after="0" w:line="240" w:lineRule="auto"/>
              <w:jc w:val="left"/>
            </w:pPr>
            <w:r>
              <w:rPr>
                <w:rFonts w:ascii="Liberation Serif" w:hAnsi="Liberation Serif"/>
                <w:b/>
                <w:color w:val="000000"/>
                <w:sz w:val="19"/>
              </w:rPr>
              <w:t>Reported readout context</w:t>
            </w:r>
          </w:p>
        </w:tc>
        <w:tc>
          <w:tcPr>
            <w:tcW w:type="dxa" w:w="5499"/>
            <w:vAlign w:val="center"/>
            <w:tcBorders>
              <w:top w:val="single" w:sz="10" w:color="000000"/>
              <w:bottom w:val="single" w:sz="5" w:color="000000"/>
            </w:tcBorders>
          </w:tcPr>
          <w:p>
            <w:pPr>
              <w:keepLines/>
              <w:spacing w:before="0" w:after="0" w:line="240" w:lineRule="auto"/>
              <w:jc w:val="left"/>
            </w:pPr>
            <w:r>
              <w:rPr>
                <w:rFonts w:ascii="Liberation Serif" w:hAnsi="Liberation Serif"/>
                <w:b/>
                <w:color w:val="000000"/>
                <w:sz w:val="19"/>
              </w:rPr>
              <w:t>Mechanistic question to test</w:t>
            </w:r>
          </w:p>
        </w:tc>
        <w:tc>
          <w:tcPr>
            <w:tcW w:type="dxa" w:w="1020"/>
            <w:vAlign w:val="center"/>
            <w:tcBorders>
              <w:top w:val="single" w:sz="10" w:color="000000"/>
              <w:bottom w:val="single" w:sz="5" w:color="000000"/>
            </w:tcBorders>
          </w:tcPr>
          <w:p>
            <w:pPr>
              <w:keepLines/>
              <w:spacing w:before="0" w:after="0" w:line="240" w:lineRule="auto"/>
              <w:jc w:val="center"/>
            </w:pPr>
            <w:r>
              <w:rPr>
                <w:rFonts w:ascii="Liberation Serif" w:hAnsi="Liberation Serif"/>
                <w:b/>
                <w:color w:val="000000"/>
                <w:sz w:val="19"/>
              </w:rPr>
              <w:t>Source refs.</w:t>
            </w:r>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Weakly coordinating anion</w:t>
            </w:r>
          </w:p>
        </w:tc>
        <w:tc>
          <w:tcPr>
            <w:tcW w:type="dxa" w:w="2835"/>
            <w:vAlign w:val="center"/>
          </w:tcPr>
          <w:p>
            <w:pPr>
              <w:keepLines/>
              <w:spacing w:before="0" w:after="0" w:line="240" w:lineRule="auto"/>
              <w:jc w:val="left"/>
            </w:pPr>
            <w:r>
              <w:rPr>
                <w:rFonts w:ascii="Liberation Serif" w:hAnsi="Liberation Serif"/>
                <w:b w:val="0"/>
                <w:color w:val="000000"/>
                <w:sz w:val="19"/>
              </w:rPr>
              <w:t>Mg(CB₁₁H₁₂)₂/G4</w:t>
            </w:r>
          </w:p>
        </w:tc>
        <w:tc>
          <w:tcPr>
            <w:tcW w:type="dxa" w:w="1020"/>
            <w:vAlign w:val="center"/>
          </w:tcPr>
          <w:p>
            <w:pPr>
              <w:keepLines/>
              <w:spacing w:before="0" w:after="0" w:line="240" w:lineRule="auto"/>
              <w:jc w:val="center"/>
            </w:pPr>
            <w:r>
              <w:rPr>
                <w:rFonts w:ascii="Liberation Serif" w:hAnsi="Liberation Serif"/>
                <w:b w:val="0"/>
                <w:color w:val="000000"/>
                <w:sz w:val="19"/>
              </w:rPr>
              <w:t>&gt;94.4</w:t>
            </w:r>
          </w:p>
        </w:tc>
        <w:tc>
          <w:tcPr>
            <w:tcW w:type="dxa" w:w="3402"/>
            <w:vAlign w:val="center"/>
          </w:tcPr>
          <w:p>
            <w:pPr>
              <w:keepLines/>
              <w:spacing w:before="0" w:after="0" w:line="240" w:lineRule="auto"/>
              <w:jc w:val="left"/>
            </w:pPr>
            <w:r>
              <w:rPr>
                <w:rFonts w:ascii="Liberation Serif" w:hAnsi="Liberation Serif"/>
                <w:b w:val="0"/>
                <w:color w:val="000000"/>
                <w:sz w:val="19"/>
              </w:rPr>
              <w:t>Mg reversibility; value compiled by Zhang et al.</w:t>
            </w:r>
          </w:p>
        </w:tc>
        <w:tc>
          <w:tcPr>
            <w:tcW w:type="dxa" w:w="5499"/>
            <w:vAlign w:val="center"/>
          </w:tcPr>
          <w:p>
            <w:pPr>
              <w:keepLines/>
              <w:spacing w:before="0" w:after="0" w:line="240" w:lineRule="auto"/>
              <w:jc w:val="left"/>
            </w:pPr>
            <w:r>
              <w:rPr>
                <w:rFonts w:ascii="Liberation Serif" w:hAnsi="Liberation Serif"/>
                <w:b w:val="0"/>
                <w:color w:val="000000"/>
                <w:sz w:val="19"/>
              </w:rPr>
              <w:t>Does solvent rearrangement remain accessible as persistent anion association is reduced?</w:t>
            </w:r>
          </w:p>
        </w:tc>
        <w:tc>
          <w:tcPr>
            <w:tcW w:type="dxa" w:w="1020"/>
            <w:vAlign w:val="center"/>
          </w:tcPr>
          <w:p>
            <w:pPr>
              <w:keepLines/>
              <w:spacing w:before="0" w:after="0" w:line="240" w:lineRule="auto"/>
              <w:jc w:val="center"/>
            </w:pPr>
            <w:r>
              <w:rPr>
                <w:rFonts w:ascii="Liberation Serif" w:hAnsi="Liberation Serif"/>
                <w:b w:val="0"/>
                <w:color w:val="000000"/>
                <w:sz w:val="19"/>
              </w:rPr>
            </w:r>
            <w:hyperlink r:id="rId12">
              <w:r>
                <w:rPr>
                  <w:rFonts w:ascii="Liberation Serif" w:hAnsi="Liberation Serif"/>
                  <w:color w:val="000000"/>
                  <w:sz w:val="19"/>
                </w:rPr>
                <w:t>[44]</w:t>
              </w:r>
            </w:hyperlink>
            <w:r>
              <w:rPr>
                <w:sz w:val="17"/>
              </w:rPr>
              <w:br/>
              <w:t xml:space="preserve">via </w:t>
            </w:r>
            <w:hyperlink r:id="rId13">
              <w:r>
                <w:rPr>
                  <w:rFonts w:ascii="Liberation Serif" w:hAnsi="Liberation Serif"/>
                  <w:color w:val="000000"/>
                  <w:sz w:val="19"/>
                </w:rPr>
                <w:t>[86]</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Weakly coordinating anion</w:t>
            </w:r>
          </w:p>
        </w:tc>
        <w:tc>
          <w:tcPr>
            <w:tcW w:type="dxa" w:w="2835"/>
            <w:vAlign w:val="center"/>
          </w:tcPr>
          <w:p>
            <w:pPr>
              <w:keepLines/>
              <w:spacing w:before="0" w:after="0" w:line="240" w:lineRule="auto"/>
              <w:jc w:val="left"/>
            </w:pPr>
            <w:r>
              <w:rPr>
                <w:rFonts w:ascii="Liberation Serif" w:hAnsi="Liberation Serif"/>
                <w:b w:val="0"/>
                <w:color w:val="000000"/>
                <w:sz w:val="19"/>
              </w:rPr>
              <w:t>Mg perfluorinated pinacolatoborate (Mg-FPB)</w:t>
            </w:r>
          </w:p>
        </w:tc>
        <w:tc>
          <w:tcPr>
            <w:tcW w:type="dxa" w:w="1020"/>
            <w:vAlign w:val="center"/>
          </w:tcPr>
          <w:p>
            <w:pPr>
              <w:keepLines/>
              <w:spacing w:before="0" w:after="0" w:line="240" w:lineRule="auto"/>
              <w:jc w:val="center"/>
            </w:pPr>
            <w:r>
              <w:rPr>
                <w:rFonts w:ascii="Liberation Serif" w:hAnsi="Liberation Serif"/>
                <w:b w:val="0"/>
                <w:color w:val="000000"/>
                <w:sz w:val="19"/>
              </w:rPr>
              <w:t>95</w:t>
            </w:r>
          </w:p>
        </w:tc>
        <w:tc>
          <w:tcPr>
            <w:tcW w:type="dxa" w:w="3402"/>
            <w:vAlign w:val="center"/>
          </w:tcPr>
          <w:p>
            <w:pPr>
              <w:keepLines/>
              <w:spacing w:before="0" w:after="0" w:line="240" w:lineRule="auto"/>
              <w:jc w:val="left"/>
            </w:pPr>
            <w:r>
              <w:rPr>
                <w:rFonts w:ascii="Liberation Serif" w:hAnsi="Liberation Serif"/>
                <w:b w:val="0"/>
                <w:color w:val="000000"/>
                <w:sz w:val="19"/>
              </w:rPr>
              <w:t>Original report of reversible Mg deposition</w:t>
            </w:r>
          </w:p>
        </w:tc>
        <w:tc>
          <w:tcPr>
            <w:tcW w:type="dxa" w:w="5499"/>
            <w:vAlign w:val="center"/>
          </w:tcPr>
          <w:p>
            <w:pPr>
              <w:keepLines/>
              <w:spacing w:before="0" w:after="0" w:line="240" w:lineRule="auto"/>
              <w:jc w:val="left"/>
            </w:pPr>
            <w:r>
              <w:rPr>
                <w:rFonts w:ascii="Liberation Serif" w:hAnsi="Liberation Serif"/>
                <w:b w:val="0"/>
                <w:color w:val="000000"/>
                <w:sz w:val="19"/>
              </w:rPr>
              <w:t>Does weak anion association leave solvent rearrangement as the main limitation?</w:t>
            </w:r>
          </w:p>
        </w:tc>
        <w:tc>
          <w:tcPr>
            <w:tcW w:type="dxa" w:w="1020"/>
            <w:vAlign w:val="center"/>
          </w:tcPr>
          <w:p>
            <w:pPr>
              <w:keepLines/>
              <w:spacing w:before="0" w:after="0" w:line="240" w:lineRule="auto"/>
              <w:jc w:val="center"/>
            </w:pPr>
            <w:r>
              <w:rPr>
                <w:rFonts w:ascii="Liberation Serif" w:hAnsi="Liberation Serif"/>
                <w:b w:val="0"/>
                <w:color w:val="000000"/>
                <w:sz w:val="19"/>
              </w:rPr>
            </w:r>
            <w:hyperlink r:id="rId14">
              <w:r>
                <w:rPr>
                  <w:rFonts w:ascii="Liberation Serif" w:hAnsi="Liberation Serif"/>
                  <w:color w:val="000000"/>
                  <w:sz w:val="19"/>
                </w:rPr>
                <w:t>[48]</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Promote pair dissociation</w:t>
            </w:r>
          </w:p>
        </w:tc>
        <w:tc>
          <w:tcPr>
            <w:tcW w:type="dxa" w:w="2835"/>
            <w:vAlign w:val="center"/>
          </w:tcPr>
          <w:p>
            <w:pPr>
              <w:keepLines/>
              <w:spacing w:before="0" w:after="0" w:line="240" w:lineRule="auto"/>
              <w:jc w:val="left"/>
            </w:pPr>
            <w:r>
              <w:rPr>
                <w:rFonts w:ascii="Liberation Serif" w:hAnsi="Liberation Serif"/>
                <w:b w:val="0"/>
                <w:color w:val="000000"/>
                <w:sz w:val="19"/>
              </w:rPr>
              <w:t>Mg(TFSI)₂/DME–G2–BTFE–TEP</w:t>
            </w:r>
          </w:p>
        </w:tc>
        <w:tc>
          <w:tcPr>
            <w:tcW w:type="dxa" w:w="1020"/>
            <w:vAlign w:val="center"/>
          </w:tcPr>
          <w:p>
            <w:pPr>
              <w:keepLines/>
              <w:spacing w:before="0" w:after="0" w:line="240" w:lineRule="auto"/>
              <w:jc w:val="center"/>
            </w:pPr>
            <w:r>
              <w:rPr>
                <w:rFonts w:ascii="Liberation Serif" w:hAnsi="Liberation Serif"/>
                <w:b w:val="0"/>
                <w:color w:val="000000"/>
                <w:sz w:val="19"/>
              </w:rPr>
              <w:t>95.2</w:t>
            </w:r>
          </w:p>
        </w:tc>
        <w:tc>
          <w:tcPr>
            <w:tcW w:type="dxa" w:w="3402"/>
            <w:vAlign w:val="center"/>
          </w:tcPr>
          <w:p>
            <w:pPr>
              <w:keepLines/>
              <w:spacing w:before="0" w:after="0" w:line="240" w:lineRule="auto"/>
              <w:jc w:val="left"/>
            </w:pPr>
            <w:r>
              <w:rPr>
                <w:rFonts w:ascii="Liberation Serif" w:hAnsi="Liberation Serif"/>
                <w:b w:val="0"/>
                <w:color w:val="000000"/>
                <w:sz w:val="19"/>
              </w:rPr>
              <w:t>Mg plating/stripping; value compiled by Zhang et al.</w:t>
            </w:r>
          </w:p>
        </w:tc>
        <w:tc>
          <w:tcPr>
            <w:tcW w:type="dxa" w:w="5499"/>
            <w:vAlign w:val="center"/>
          </w:tcPr>
          <w:p>
            <w:pPr>
              <w:keepLines/>
              <w:spacing w:before="0" w:after="0" w:line="240" w:lineRule="auto"/>
              <w:jc w:val="left"/>
            </w:pPr>
            <w:r>
              <w:rPr>
                <w:rFonts w:ascii="Liberation Serif" w:hAnsi="Liberation Serif"/>
                <w:b w:val="0"/>
                <w:color w:val="000000"/>
                <w:sz w:val="19"/>
              </w:rPr>
              <w:t>Does dissociation increase reactive precursor availability independently of surface and growth changes?</w:t>
            </w:r>
          </w:p>
        </w:tc>
        <w:tc>
          <w:tcPr>
            <w:tcW w:type="dxa" w:w="1020"/>
            <w:vAlign w:val="center"/>
          </w:tcPr>
          <w:p>
            <w:pPr>
              <w:keepLines/>
              <w:spacing w:before="0" w:after="0" w:line="240" w:lineRule="auto"/>
              <w:jc w:val="center"/>
            </w:pPr>
            <w:r>
              <w:rPr>
                <w:rFonts w:ascii="Liberation Serif" w:hAnsi="Liberation Serif"/>
                <w:b w:val="0"/>
                <w:color w:val="000000"/>
                <w:sz w:val="19"/>
              </w:rPr>
            </w:r>
            <w:hyperlink r:id="rId15">
              <w:r>
                <w:rPr>
                  <w:rFonts w:ascii="Liberation Serif" w:hAnsi="Liberation Serif"/>
                  <w:color w:val="000000"/>
                  <w:sz w:val="19"/>
                </w:rPr>
                <w:t>[24]</w:t>
              </w:r>
            </w:hyperlink>
            <w:r>
              <w:rPr>
                <w:sz w:val="17"/>
              </w:rPr>
              <w:br/>
              <w:t xml:space="preserve">via </w:t>
            </w:r>
            <w:hyperlink r:id="rId13">
              <w:r>
                <w:rPr>
                  <w:rFonts w:ascii="Liberation Serif" w:hAnsi="Liberation Serif"/>
                  <w:color w:val="000000"/>
                  <w:sz w:val="19"/>
                </w:rPr>
                <w:t>[86]</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Introduce primary-shell pairing</w:t>
            </w:r>
          </w:p>
        </w:tc>
        <w:tc>
          <w:tcPr>
            <w:tcW w:type="dxa" w:w="2835"/>
            <w:vAlign w:val="center"/>
          </w:tcPr>
          <w:p>
            <w:pPr>
              <w:keepLines/>
              <w:spacing w:before="0" w:after="0" w:line="240" w:lineRule="auto"/>
              <w:jc w:val="left"/>
            </w:pPr>
            <w:r>
              <w:rPr>
                <w:rFonts w:ascii="Liberation Serif" w:hAnsi="Liberation Serif"/>
                <w:b w:val="0"/>
                <w:color w:val="000000"/>
                <w:sz w:val="19"/>
              </w:rPr>
              <w:t>Weakly solvated amine + strongly coordinating Mg salt</w:t>
            </w:r>
          </w:p>
        </w:tc>
        <w:tc>
          <w:tcPr>
            <w:tcW w:type="dxa" w:w="1020"/>
            <w:vAlign w:val="center"/>
          </w:tcPr>
          <w:p>
            <w:pPr>
              <w:keepLines/>
              <w:spacing w:before="0" w:after="0" w:line="240" w:lineRule="auto"/>
              <w:jc w:val="center"/>
            </w:pPr>
            <w:r>
              <w:rPr>
                <w:rFonts w:ascii="Liberation Serif" w:hAnsi="Liberation Serif"/>
                <w:b w:val="0"/>
                <w:color w:val="000000"/>
                <w:sz w:val="19"/>
              </w:rPr>
              <w:t>99.6</w:t>
            </w:r>
          </w:p>
        </w:tc>
        <w:tc>
          <w:tcPr>
            <w:tcW w:type="dxa" w:w="3402"/>
            <w:vAlign w:val="center"/>
          </w:tcPr>
          <w:p>
            <w:pPr>
              <w:keepLines/>
              <w:spacing w:before="0" w:after="0" w:line="240" w:lineRule="auto"/>
              <w:jc w:val="left"/>
            </w:pPr>
            <w:r>
              <w:rPr>
                <w:rFonts w:ascii="Liberation Serif" w:hAnsi="Liberation Serif"/>
                <w:b w:val="0"/>
                <w:color w:val="000000"/>
                <w:sz w:val="19"/>
              </w:rPr>
              <w:t>CE reported for 800 cycles</w:t>
            </w:r>
          </w:p>
        </w:tc>
        <w:tc>
          <w:tcPr>
            <w:tcW w:type="dxa" w:w="5499"/>
            <w:vAlign w:val="center"/>
          </w:tcPr>
          <w:p>
            <w:pPr>
              <w:keepLines/>
              <w:spacing w:before="0" w:after="0" w:line="240" w:lineRule="auto"/>
              <w:jc w:val="left"/>
            </w:pPr>
            <w:r>
              <w:rPr>
                <w:rFonts w:ascii="Liberation Serif" w:hAnsi="Liberation Serif"/>
                <w:b w:val="0"/>
                <w:color w:val="000000"/>
                <w:sz w:val="19"/>
              </w:rPr>
              <w:t>Pairing suppresses amine reduction and H₂ evolution; does ligand exchange also change?</w:t>
            </w:r>
          </w:p>
        </w:tc>
        <w:tc>
          <w:tcPr>
            <w:tcW w:type="dxa" w:w="1020"/>
            <w:vAlign w:val="center"/>
          </w:tcPr>
          <w:p>
            <w:pPr>
              <w:keepLines/>
              <w:spacing w:before="0" w:after="0" w:line="240" w:lineRule="auto"/>
              <w:jc w:val="center"/>
            </w:pPr>
            <w:r>
              <w:rPr>
                <w:rFonts w:ascii="Liberation Serif" w:hAnsi="Liberation Serif"/>
                <w:b w:val="0"/>
                <w:color w:val="000000"/>
                <w:sz w:val="19"/>
              </w:rPr>
            </w:r>
            <w:hyperlink r:id="rId16">
              <w:r>
                <w:rPr>
                  <w:rFonts w:ascii="Liberation Serif" w:hAnsi="Liberation Serif"/>
                  <w:color w:val="000000"/>
                  <w:sz w:val="19"/>
                </w:rPr>
                <w:t>[80]</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Reshape solvent coordination</w:t>
            </w:r>
          </w:p>
        </w:tc>
        <w:tc>
          <w:tcPr>
            <w:tcW w:type="dxa" w:w="2835"/>
            <w:vAlign w:val="center"/>
          </w:tcPr>
          <w:p>
            <w:pPr>
              <w:keepLines/>
              <w:spacing w:before="0" w:after="0" w:line="240" w:lineRule="auto"/>
              <w:jc w:val="left"/>
            </w:pPr>
            <w:r>
              <w:rPr>
                <w:rFonts w:ascii="Liberation Serif" w:hAnsi="Liberation Serif"/>
                <w:b w:val="0"/>
                <w:color w:val="000000"/>
                <w:sz w:val="19"/>
              </w:rPr>
              <w:t>Mg(TFSI)₂/DME–MOPA-1</w:t>
            </w:r>
          </w:p>
        </w:tc>
        <w:tc>
          <w:tcPr>
            <w:tcW w:type="dxa" w:w="1020"/>
            <w:vAlign w:val="center"/>
          </w:tcPr>
          <w:p>
            <w:pPr>
              <w:keepLines/>
              <w:spacing w:before="0" w:after="0" w:line="240" w:lineRule="auto"/>
              <w:jc w:val="center"/>
            </w:pPr>
            <w:r>
              <w:rPr>
                <w:rFonts w:ascii="Liberation Serif" w:hAnsi="Liberation Serif"/>
                <w:b w:val="0"/>
                <w:color w:val="000000"/>
                <w:sz w:val="19"/>
              </w:rPr>
              <w:t>99.5</w:t>
            </w:r>
          </w:p>
        </w:tc>
        <w:tc>
          <w:tcPr>
            <w:tcW w:type="dxa" w:w="3402"/>
            <w:vAlign w:val="center"/>
          </w:tcPr>
          <w:p>
            <w:pPr>
              <w:keepLines/>
              <w:spacing w:before="0" w:after="0" w:line="240" w:lineRule="auto"/>
              <w:jc w:val="left"/>
            </w:pPr>
            <w:r>
              <w:rPr>
                <w:rFonts w:ascii="Liberation Serif" w:hAnsi="Liberation Serif"/>
                <w:b w:val="0"/>
                <w:color w:val="000000"/>
                <w:sz w:val="19"/>
              </w:rPr>
              <w:t>Mg plating/stripping; value compiled by Zhang et al.</w:t>
            </w:r>
          </w:p>
        </w:tc>
        <w:tc>
          <w:tcPr>
            <w:tcW w:type="dxa" w:w="5499"/>
            <w:vAlign w:val="center"/>
          </w:tcPr>
          <w:p>
            <w:pPr>
              <w:keepLines/>
              <w:spacing w:before="0" w:after="0" w:line="240" w:lineRule="auto"/>
              <w:jc w:val="left"/>
            </w:pPr>
            <w:r>
              <w:rPr>
                <w:rFonts w:ascii="Liberation Serif" w:hAnsi="Liberation Serif"/>
                <w:b w:val="0"/>
                <w:color w:val="000000"/>
                <w:sz w:val="19"/>
              </w:rPr>
              <w:t>Does modified solvent coordination speed rearrangement, charge transfer or both?</w:t>
            </w:r>
          </w:p>
        </w:tc>
        <w:tc>
          <w:tcPr>
            <w:tcW w:type="dxa" w:w="1020"/>
            <w:vAlign w:val="center"/>
          </w:tcPr>
          <w:p>
            <w:pPr>
              <w:keepLines/>
              <w:spacing w:before="0" w:after="0" w:line="240" w:lineRule="auto"/>
              <w:jc w:val="center"/>
            </w:pPr>
            <w:r>
              <w:rPr>
                <w:rFonts w:ascii="Liberation Serif" w:hAnsi="Liberation Serif"/>
                <w:b w:val="0"/>
                <w:color w:val="000000"/>
                <w:sz w:val="19"/>
              </w:rPr>
            </w:r>
            <w:hyperlink r:id="rId17">
              <w:r>
                <w:rPr>
                  <w:rFonts w:ascii="Liberation Serif" w:hAnsi="Liberation Serif"/>
                  <w:color w:val="000000"/>
                  <w:sz w:val="19"/>
                </w:rPr>
                <w:t>[76]</w:t>
              </w:r>
            </w:hyperlink>
            <w:r>
              <w:rPr>
                <w:sz w:val="17"/>
              </w:rPr>
              <w:br/>
              <w:t xml:space="preserve">via </w:t>
            </w:r>
            <w:hyperlink r:id="rId13">
              <w:r>
                <w:rPr>
                  <w:rFonts w:ascii="Liberation Serif" w:hAnsi="Liberation Serif"/>
                  <w:color w:val="000000"/>
                  <w:sz w:val="19"/>
                </w:rPr>
                <w:t>[86]</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Mixed-ion coordination</w:t>
            </w:r>
          </w:p>
        </w:tc>
        <w:tc>
          <w:tcPr>
            <w:tcW w:type="dxa" w:w="2835"/>
            <w:vAlign w:val="center"/>
          </w:tcPr>
          <w:p>
            <w:pPr>
              <w:keepLines/>
              <w:spacing w:before="0" w:after="0" w:line="240" w:lineRule="auto"/>
              <w:jc w:val="left"/>
            </w:pPr>
            <w:r>
              <w:rPr>
                <w:rFonts w:ascii="Liberation Serif" w:hAnsi="Liberation Serif"/>
                <w:b w:val="0"/>
                <w:color w:val="000000"/>
                <w:sz w:val="19"/>
              </w:rPr>
              <w:t>Mg(TFSI)₂ + LiOTf/DME–TMP</w:t>
            </w:r>
          </w:p>
        </w:tc>
        <w:tc>
          <w:tcPr>
            <w:tcW w:type="dxa" w:w="1020"/>
            <w:vAlign w:val="center"/>
          </w:tcPr>
          <w:p>
            <w:pPr>
              <w:keepLines/>
              <w:spacing w:before="0" w:after="0" w:line="240" w:lineRule="auto"/>
              <w:jc w:val="center"/>
            </w:pPr>
            <w:r>
              <w:rPr>
                <w:rFonts w:ascii="Liberation Serif" w:hAnsi="Liberation Serif"/>
                <w:b w:val="0"/>
                <w:color w:val="000000"/>
                <w:sz w:val="19"/>
              </w:rPr>
              <w:t>98</w:t>
            </w:r>
          </w:p>
        </w:tc>
        <w:tc>
          <w:tcPr>
            <w:tcW w:type="dxa" w:w="3402"/>
            <w:vAlign w:val="center"/>
          </w:tcPr>
          <w:p>
            <w:pPr>
              <w:keepLines/>
              <w:spacing w:before="0" w:after="0" w:line="240" w:lineRule="auto"/>
              <w:jc w:val="left"/>
            </w:pPr>
            <w:r>
              <w:rPr>
                <w:rFonts w:ascii="Liberation Serif" w:hAnsi="Liberation Serif"/>
                <w:b w:val="0"/>
                <w:color w:val="000000"/>
                <w:sz w:val="19"/>
              </w:rPr>
              <w:t>Original report of Mg-metal reversibility</w:t>
            </w:r>
          </w:p>
        </w:tc>
        <w:tc>
          <w:tcPr>
            <w:tcW w:type="dxa" w:w="5499"/>
            <w:vAlign w:val="center"/>
          </w:tcPr>
          <w:p>
            <w:pPr>
              <w:keepLines/>
              <w:spacing w:before="0" w:after="0" w:line="240" w:lineRule="auto"/>
              <w:jc w:val="left"/>
            </w:pPr>
            <w:r>
              <w:rPr>
                <w:rFonts w:ascii="Liberation Serif" w:hAnsi="Liberation Serif"/>
                <w:b w:val="0"/>
                <w:color w:val="000000"/>
                <w:sz w:val="19"/>
              </w:rPr>
              <w:t>How much comes from altered Mg–DME interaction versus the phosphate-rich interface?</w:t>
            </w:r>
          </w:p>
        </w:tc>
        <w:tc>
          <w:tcPr>
            <w:tcW w:type="dxa" w:w="1020"/>
            <w:vAlign w:val="center"/>
          </w:tcPr>
          <w:p>
            <w:pPr>
              <w:keepLines/>
              <w:spacing w:before="0" w:after="0" w:line="240" w:lineRule="auto"/>
              <w:jc w:val="center"/>
            </w:pPr>
            <w:r>
              <w:rPr>
                <w:rFonts w:ascii="Liberation Serif" w:hAnsi="Liberation Serif"/>
                <w:b w:val="0"/>
                <w:color w:val="000000"/>
                <w:sz w:val="19"/>
              </w:rPr>
            </w:r>
            <w:hyperlink r:id="rId18">
              <w:r>
                <w:rPr>
                  <w:rFonts w:ascii="Liberation Serif" w:hAnsi="Liberation Serif"/>
                  <w:color w:val="000000"/>
                  <w:sz w:val="19"/>
                </w:rPr>
                <w:t>[83]</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Coordinate salt and solvent</w:t>
            </w:r>
          </w:p>
        </w:tc>
        <w:tc>
          <w:tcPr>
            <w:tcW w:type="dxa" w:w="2835"/>
            <w:vAlign w:val="center"/>
          </w:tcPr>
          <w:p>
            <w:pPr>
              <w:keepLines/>
              <w:spacing w:before="0" w:after="0" w:line="240" w:lineRule="auto"/>
              <w:jc w:val="left"/>
            </w:pPr>
            <w:r>
              <w:rPr>
                <w:rFonts w:ascii="Liberation Serif" w:hAnsi="Liberation Serif"/>
                <w:b w:val="0"/>
                <w:color w:val="000000"/>
                <w:sz w:val="19"/>
              </w:rPr>
              <w:t>Mg(OTf)₂/G2–MOEA</w:t>
            </w:r>
          </w:p>
        </w:tc>
        <w:tc>
          <w:tcPr>
            <w:tcW w:type="dxa" w:w="1020"/>
            <w:vAlign w:val="center"/>
          </w:tcPr>
          <w:p>
            <w:pPr>
              <w:keepLines/>
              <w:spacing w:before="0" w:after="0" w:line="240" w:lineRule="auto"/>
              <w:jc w:val="center"/>
            </w:pPr>
            <w:r>
              <w:rPr>
                <w:rFonts w:ascii="Liberation Serif" w:hAnsi="Liberation Serif"/>
                <w:b w:val="0"/>
                <w:color w:val="000000"/>
                <w:sz w:val="19"/>
              </w:rPr>
              <w:t>98.3</w:t>
            </w:r>
          </w:p>
        </w:tc>
        <w:tc>
          <w:tcPr>
            <w:tcW w:type="dxa" w:w="3402"/>
            <w:vAlign w:val="center"/>
          </w:tcPr>
          <w:p>
            <w:pPr>
              <w:keepLines/>
              <w:spacing w:before="0" w:after="0" w:line="240" w:lineRule="auto"/>
              <w:jc w:val="left"/>
            </w:pPr>
            <w:r>
              <w:rPr>
                <w:rFonts w:ascii="Liberation Serif" w:hAnsi="Liberation Serif"/>
                <w:b w:val="0"/>
                <w:color w:val="000000"/>
                <w:sz w:val="19"/>
              </w:rPr>
              <w:t>Asymmetric-cell average CE after 8200 cycles; symmetric lifetime reported separately</w:t>
            </w:r>
          </w:p>
        </w:tc>
        <w:tc>
          <w:tcPr>
            <w:tcW w:type="dxa" w:w="5499"/>
            <w:vAlign w:val="center"/>
          </w:tcPr>
          <w:p>
            <w:pPr>
              <w:keepLines/>
              <w:spacing w:before="0" w:after="0" w:line="240" w:lineRule="auto"/>
              <w:jc w:val="left"/>
            </w:pPr>
            <w:r>
              <w:rPr>
                <w:rFonts w:ascii="Liberation Serif" w:hAnsi="Liberation Serif"/>
                <w:b w:val="0"/>
                <w:color w:val="000000"/>
                <w:sz w:val="19"/>
              </w:rPr>
              <w:t>How do coordination and distinct electrode interphases share the contribution to reversibility?</w:t>
            </w:r>
          </w:p>
        </w:tc>
        <w:tc>
          <w:tcPr>
            <w:tcW w:type="dxa" w:w="1020"/>
            <w:vAlign w:val="center"/>
          </w:tcPr>
          <w:p>
            <w:pPr>
              <w:keepLines/>
              <w:spacing w:before="0" w:after="0" w:line="240" w:lineRule="auto"/>
              <w:jc w:val="center"/>
            </w:pPr>
            <w:r>
              <w:rPr>
                <w:rFonts w:ascii="Liberation Serif" w:hAnsi="Liberation Serif"/>
                <w:b w:val="0"/>
                <w:color w:val="000000"/>
                <w:sz w:val="19"/>
              </w:rPr>
            </w:r>
            <w:hyperlink r:id="rId19">
              <w:r>
                <w:rPr>
                  <w:rFonts w:ascii="Liberation Serif" w:hAnsi="Liberation Serif"/>
                  <w:color w:val="000000"/>
                  <w:sz w:val="19"/>
                </w:rPr>
                <w:t>[87]</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Chloride complexes + interphase</w:t>
            </w:r>
          </w:p>
        </w:tc>
        <w:tc>
          <w:tcPr>
            <w:tcW w:type="dxa" w:w="2835"/>
            <w:vAlign w:val="center"/>
          </w:tcPr>
          <w:p>
            <w:pPr>
              <w:keepLines/>
              <w:spacing w:before="0" w:after="0" w:line="240" w:lineRule="auto"/>
              <w:jc w:val="left"/>
            </w:pPr>
            <w:r>
              <w:rPr>
                <w:rFonts w:ascii="Liberation Serif" w:hAnsi="Liberation Serif"/>
                <w:b w:val="0"/>
                <w:color w:val="000000"/>
                <w:sz w:val="19"/>
              </w:rPr>
              <w:t>Mg(pftb)₂ + MgCl₂/THF</w:t>
            </w:r>
          </w:p>
        </w:tc>
        <w:tc>
          <w:tcPr>
            <w:tcW w:type="dxa" w:w="1020"/>
            <w:vAlign w:val="center"/>
          </w:tcPr>
          <w:p>
            <w:pPr>
              <w:keepLines/>
              <w:spacing w:before="0" w:after="0" w:line="240" w:lineRule="auto"/>
              <w:jc w:val="center"/>
            </w:pPr>
            <w:r>
              <w:rPr>
                <w:rFonts w:ascii="Liberation Serif" w:hAnsi="Liberation Serif"/>
                <w:b w:val="0"/>
                <w:color w:val="000000"/>
                <w:sz w:val="19"/>
              </w:rPr>
              <w:t>99.7</w:t>
            </w:r>
          </w:p>
        </w:tc>
        <w:tc>
          <w:tcPr>
            <w:tcW w:type="dxa" w:w="3402"/>
            <w:vAlign w:val="center"/>
          </w:tcPr>
          <w:p>
            <w:pPr>
              <w:keepLines/>
              <w:spacing w:before="0" w:after="0" w:line="240" w:lineRule="auto"/>
              <w:jc w:val="left"/>
            </w:pPr>
            <w:r>
              <w:rPr>
                <w:rFonts w:ascii="Liberation Serif" w:hAnsi="Liberation Serif"/>
                <w:b w:val="0"/>
                <w:color w:val="000000"/>
                <w:sz w:val="19"/>
              </w:rPr>
              <w:t>CE reported over 3000 cycles; symmetric lifetime is separate</w:t>
            </w:r>
          </w:p>
        </w:tc>
        <w:tc>
          <w:tcPr>
            <w:tcW w:type="dxa" w:w="5499"/>
            <w:vAlign w:val="center"/>
          </w:tcPr>
          <w:p>
            <w:pPr>
              <w:keepLines/>
              <w:spacing w:before="0" w:after="0" w:line="240" w:lineRule="auto"/>
              <w:jc w:val="left"/>
            </w:pPr>
            <w:r>
              <w:rPr>
                <w:rFonts w:ascii="Liberation Serif" w:hAnsi="Liberation Serif"/>
                <w:b w:val="0"/>
                <w:color w:val="000000"/>
                <w:sz w:val="19"/>
              </w:rPr>
              <w:t>Does a retained hybrid interphase sustain transfer when solution coordination is changed?</w:t>
            </w:r>
          </w:p>
        </w:tc>
        <w:tc>
          <w:tcPr>
            <w:tcW w:type="dxa" w:w="1020"/>
            <w:vAlign w:val="center"/>
          </w:tcPr>
          <w:p>
            <w:pPr>
              <w:keepLines/>
              <w:spacing w:before="0" w:after="0" w:line="240" w:lineRule="auto"/>
              <w:jc w:val="center"/>
            </w:pPr>
            <w:r>
              <w:rPr>
                <w:rFonts w:ascii="Liberation Serif" w:hAnsi="Liberation Serif"/>
                <w:b w:val="0"/>
                <w:color w:val="000000"/>
                <w:sz w:val="19"/>
              </w:rPr>
            </w:r>
            <w:hyperlink r:id="rId20">
              <w:r>
                <w:rPr>
                  <w:rFonts w:ascii="Liberation Serif" w:hAnsi="Liberation Serif"/>
                  <w:color w:val="000000"/>
                  <w:sz w:val="19"/>
                </w:rPr>
                <w:t>[20]</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Dissociation + interphase</w:t>
            </w:r>
          </w:p>
        </w:tc>
        <w:tc>
          <w:tcPr>
            <w:tcW w:type="dxa" w:w="2835"/>
            <w:vAlign w:val="center"/>
          </w:tcPr>
          <w:p>
            <w:pPr>
              <w:keepLines/>
              <w:spacing w:before="0" w:after="0" w:line="240" w:lineRule="auto"/>
              <w:jc w:val="left"/>
            </w:pPr>
            <w:r>
              <w:rPr>
                <w:rFonts w:ascii="Liberation Serif" w:hAnsi="Liberation Serif"/>
                <w:b w:val="0"/>
                <w:color w:val="000000"/>
                <w:sz w:val="19"/>
              </w:rPr>
              <w:t>Mg(OTf)₂ + MgCl₂/DME–TEP</w:t>
            </w:r>
          </w:p>
        </w:tc>
        <w:tc>
          <w:tcPr>
            <w:tcW w:type="dxa" w:w="1020"/>
            <w:vAlign w:val="center"/>
          </w:tcPr>
          <w:p>
            <w:pPr>
              <w:keepLines/>
              <w:spacing w:before="0" w:after="0" w:line="240" w:lineRule="auto"/>
              <w:jc w:val="center"/>
            </w:pPr>
            <w:r>
              <w:rPr>
                <w:rFonts w:ascii="Liberation Serif" w:hAnsi="Liberation Serif"/>
                <w:b w:val="0"/>
                <w:color w:val="000000"/>
                <w:sz w:val="19"/>
              </w:rPr>
              <w:t>99.4</w:t>
            </w:r>
          </w:p>
        </w:tc>
        <w:tc>
          <w:tcPr>
            <w:tcW w:type="dxa" w:w="3402"/>
            <w:vAlign w:val="center"/>
          </w:tcPr>
          <w:p>
            <w:pPr>
              <w:keepLines/>
              <w:spacing w:before="0" w:after="0" w:line="240" w:lineRule="auto"/>
              <w:jc w:val="left"/>
            </w:pPr>
            <w:r>
              <w:rPr>
                <w:rFonts w:ascii="Liberation Serif" w:hAnsi="Liberation Serif"/>
                <w:b w:val="0"/>
                <w:color w:val="000000"/>
                <w:sz w:val="19"/>
              </w:rPr>
              <w:t>Mg||Mo: 0.5 mA cm⁻², 0.25 mAh cm⁻²; CE reported after 3000 h</w:t>
            </w:r>
          </w:p>
        </w:tc>
        <w:tc>
          <w:tcPr>
            <w:tcW w:type="dxa" w:w="5499"/>
            <w:vAlign w:val="center"/>
          </w:tcPr>
          <w:p>
            <w:pPr>
              <w:keepLines/>
              <w:spacing w:before="0" w:after="0" w:line="240" w:lineRule="auto"/>
              <w:jc w:val="left"/>
            </w:pPr>
            <w:r>
              <w:rPr>
                <w:rFonts w:ascii="Liberation Serif" w:hAnsi="Liberation Serif"/>
                <w:b w:val="0"/>
                <w:color w:val="000000"/>
                <w:sz w:val="19"/>
              </w:rPr>
              <w:t>Can a molecular transfer gain be separated from suppressed losses at the interphase?</w:t>
            </w:r>
          </w:p>
        </w:tc>
        <w:tc>
          <w:tcPr>
            <w:tcW w:type="dxa" w:w="1020"/>
            <w:vAlign w:val="center"/>
          </w:tcPr>
          <w:p>
            <w:pPr>
              <w:keepLines/>
              <w:spacing w:before="0" w:after="0" w:line="240" w:lineRule="auto"/>
              <w:jc w:val="center"/>
            </w:pPr>
            <w:r>
              <w:rPr>
                <w:rFonts w:ascii="Liberation Serif" w:hAnsi="Liberation Serif"/>
                <w:b w:val="0"/>
                <w:color w:val="000000"/>
                <w:sz w:val="19"/>
              </w:rPr>
            </w:r>
            <w:hyperlink r:id="rId21">
              <w:r>
                <w:rPr>
                  <w:rFonts w:ascii="Liberation Serif" w:hAnsi="Liberation Serif"/>
                  <w:color w:val="000000"/>
                  <w:sz w:val="19"/>
                </w:rPr>
                <w:t>[88]</w:t>
              </w:r>
            </w:hyperlink>
          </w:p>
        </w:tc>
      </w:tr>
      <w:tr>
        <w:trPr>
          <w:cantSplit/>
        </w:trPr>
        <w:tc>
          <w:tcPr>
            <w:tcW w:type="dxa" w:w="1701"/>
            <w:vAlign w:val="center"/>
            <w:tcBorders>
              <w:bottom w:val="single" w:sz="10" w:color="000000"/>
            </w:tcBorders>
          </w:tcPr>
          <w:p>
            <w:pPr>
              <w:keepLines/>
              <w:spacing w:before="0" w:after="0" w:line="240" w:lineRule="auto"/>
              <w:jc w:val="left"/>
            </w:pPr>
            <w:r>
              <w:rPr>
                <w:rFonts w:ascii="Liberation Serif" w:hAnsi="Liberation Serif"/>
                <w:b w:val="0"/>
                <w:color w:val="000000"/>
                <w:sz w:val="19"/>
              </w:rPr>
              <w:t>Mixed donors + chloride carrier</w:t>
            </w:r>
          </w:p>
        </w:tc>
        <w:tc>
          <w:tcPr>
            <w:tcW w:type="dxa" w:w="2835"/>
            <w:vAlign w:val="center"/>
            <w:tcBorders>
              <w:bottom w:val="single" w:sz="10" w:color="000000"/>
            </w:tcBorders>
          </w:tcPr>
          <w:p>
            <w:pPr>
              <w:keepLines/>
              <w:spacing w:before="0" w:after="0" w:line="240" w:lineRule="auto"/>
              <w:jc w:val="left"/>
            </w:pPr>
            <w:r>
              <w:rPr>
                <w:rFonts w:ascii="Liberation Serif" w:hAnsi="Liberation Serif"/>
                <w:b w:val="0"/>
                <w:color w:val="000000"/>
                <w:sz w:val="19"/>
              </w:rPr>
              <w:t>Mg(OTf)₂ + MgCl₂/DME–MOEA</w:t>
            </w:r>
          </w:p>
        </w:tc>
        <w:tc>
          <w:tcPr>
            <w:tcW w:type="dxa" w:w="1020"/>
            <w:vAlign w:val="center"/>
            <w:tcBorders>
              <w:bottom w:val="single" w:sz="10" w:color="000000"/>
            </w:tcBorders>
          </w:tcPr>
          <w:p>
            <w:pPr>
              <w:keepLines/>
              <w:spacing w:before="0" w:after="0" w:line="240" w:lineRule="auto"/>
              <w:jc w:val="center"/>
            </w:pPr>
            <w:r>
              <w:rPr>
                <w:rFonts w:ascii="Liberation Serif" w:hAnsi="Liberation Serif"/>
                <w:b w:val="0"/>
                <w:color w:val="000000"/>
                <w:sz w:val="19"/>
              </w:rPr>
              <w:t>&gt;92.3</w:t>
            </w:r>
          </w:p>
        </w:tc>
        <w:tc>
          <w:tcPr>
            <w:tcW w:type="dxa" w:w="3402"/>
            <w:vAlign w:val="center"/>
            <w:tcBorders>
              <w:bottom w:val="single" w:sz="10" w:color="000000"/>
            </w:tcBorders>
          </w:tcPr>
          <w:p>
            <w:pPr>
              <w:keepLines/>
              <w:spacing w:before="0" w:after="0" w:line="240" w:lineRule="auto"/>
              <w:jc w:val="left"/>
            </w:pPr>
            <w:r>
              <w:rPr>
                <w:rFonts w:ascii="Liberation Serif" w:hAnsi="Liberation Serif"/>
                <w:b w:val="0"/>
                <w:color w:val="000000"/>
                <w:sz w:val="19"/>
              </w:rPr>
              <w:t>Reported Mg CE; donor ratio MOEA:DME = 1:6 (v/v)</w:t>
            </w:r>
          </w:p>
        </w:tc>
        <w:tc>
          <w:tcPr>
            <w:tcW w:type="dxa" w:w="5499"/>
            <w:vAlign w:val="center"/>
            <w:tcBorders>
              <w:bottom w:val="single" w:sz="10" w:color="000000"/>
            </w:tcBorders>
          </w:tcPr>
          <w:p>
            <w:pPr>
              <w:keepLines/>
              <w:spacing w:before="0" w:after="0" w:line="240" w:lineRule="auto"/>
              <w:jc w:val="left"/>
            </w:pPr>
            <w:r>
              <w:rPr>
                <w:rFonts w:ascii="Liberation Serif" w:hAnsi="Liberation Serif"/>
                <w:b w:val="0"/>
                <w:color w:val="000000"/>
                <w:sz w:val="19"/>
              </w:rPr>
              <w:t>Does the gain follow the modified carrier, the surface layer or both when cathode chemistry changes?</w:t>
            </w:r>
          </w:p>
        </w:tc>
        <w:tc>
          <w:tcPr>
            <w:tcW w:type="dxa" w:w="1020"/>
            <w:vAlign w:val="center"/>
            <w:tcBorders>
              <w:bottom w:val="single" w:sz="10" w:color="000000"/>
            </w:tcBorders>
          </w:tcPr>
          <w:p>
            <w:pPr>
              <w:keepLines/>
              <w:spacing w:before="0" w:after="0" w:line="240" w:lineRule="auto"/>
              <w:jc w:val="center"/>
            </w:pPr>
            <w:r>
              <w:rPr>
                <w:rFonts w:ascii="Liberation Serif" w:hAnsi="Liberation Serif"/>
                <w:b w:val="0"/>
                <w:color w:val="000000"/>
                <w:sz w:val="19"/>
              </w:rPr>
            </w:r>
            <w:hyperlink r:id="rId22">
              <w:r>
                <w:rPr>
                  <w:rFonts w:ascii="Liberation Serif" w:hAnsi="Liberation Serif"/>
                  <w:color w:val="000000"/>
                  <w:sz w:val="19"/>
                </w:rPr>
                <w:t>[89]</w:t>
              </w:r>
            </w:hyperlink>
          </w:p>
        </w:tc>
      </w:tr>
    </w:tbl>
    <w:p>
      <w:pPr>
        <w:keepLines/>
        <w:spacing w:before="100" w:after="0" w:line="240" w:lineRule="auto"/>
      </w:pPr>
      <w:r>
        <w:rPr>
          <w:rFonts w:ascii="Liberation Serif" w:hAnsi="Liberation Serif"/>
          <w:sz w:val="17"/>
        </w:rPr>
        <w:t>CE is the shared reported endpoint, not a rate or barrier measurement. Independent protocols and unspecified averaging windows prevent a performance ranking. The readout retains each source's reported context; symmetric lifetime and full-cell efficiency are excluded. Cross-system kinetics require matched current, capacity, substrate, temperature and conditioning.</w:t>
      </w:r>
    </w:p>
    <w:p>
      <w:pPr>
        <w:keepLines/>
        <w:spacing w:before="40" w:after="0" w:line="240" w:lineRule="auto"/>
      </w:pPr>
      <w:r>
        <w:rPr>
          <w:rFonts w:ascii="Liberation Serif" w:hAnsi="Liberation Serif"/>
          <w:sz w:val="17"/>
        </w:rPr>
        <w:t>The chemistry identifies the design, not a complete recipe. Mechanistic questions are proposed tests. For the carborane, solvent-designed TFSI and MOPA-1 rows, “via” identifies Zhang et al. [86] as the accessed numerical source; the original study identifies the chemistry. The other values were checked in original abstracts. Protocol and source-access limits are recorded separately. Reference numbers link to DOI records.</w:t>
      </w:r>
    </w:p>
    <w:p>
      <w:pPr>
        <w:keepLines/>
        <w:spacing w:before="40" w:after="0" w:line="240" w:lineRule="auto"/>
      </w:pPr>
      <w:r>
        <w:rPr>
          <w:rFonts w:ascii="Liberation Serif" w:hAnsi="Liberation Serif"/>
          <w:sz w:val="17"/>
        </w:rPr>
        <w:t>THF: tetrahydrofuran; DME: 1,2-dimethoxyethane; G2/G4: diglyme/tetraglyme; BTFE: bis(2,2,2-trifluoroethyl) ether; TMP/TEP: trimethyl/triethyl phosphate; MOPA-1: 1-methoxy-2-propylamine; MOEA: 2-methoxyethylamine; pftb: perfluorinated tert-butoxide; OTf: triflate; TFSI: bis(trifluoromethanesulfonyl)imide. TMP denotes the phosphate here, not the piperidide ligand used in some Hauser bases.</w:t>
      </w:r>
    </w:p>
    <w:p>
      <w:pPr>
        <w:sectPr>
          <w:headerReference w:type="default" r:id="rId34"/>
          <w:footerReference w:type="default" r:id="rId35"/>
          <w:pgSz w:w="16838" w:h="11906" w:orient="landscape"/>
          <w:pgMar w:top="624" w:right="680" w:bottom="624" w:left="680" w:header="198" w:footer="227" w:gutter="0"/>
          <w:cols w:space="360" w:num="1"/>
          <w:docGrid w:linePitch="360"/>
        </w:sectPr>
      </w:pPr>
    </w:p>
    <w:p>
      <w:pPr>
        <w:jc w:val="both"/>
      </w:pPr>
      <w:r>
        <w:t>Anion fate determines the duration and inventory cost of an assisted pathway. Release in an active form allows another interaction, whereas consumption changes both liquid composition and the surface.</w:t>
      </w:r>
      <w:r>
        <w:rPr>
          <w:sz w:val="16"/>
          <w:vertAlign w:val="superscript"/>
        </w:rPr>
        <w:t>⁠[⁠9⁠0⁠–⁠9⁠1⁠]</w:t>
      </w:r>
      <w:r>
        <w:t xml:space="preserve"> Calling the effect catalytic requires repeated kinetic assistance with regeneration and no net consumption of the active facilitator. High CE and anion survival establish neither turnover nor causation. For a fixed overall reaction, catalysis changes the route rather than its equilibrium free energy; changing electrolyte composition can also change reactant activities and equilibrium. This boundary guides the measurements without requiring a catalytic label for a useful coordination effect.</w:t>
      </w:r>
    </w:p>
    <w:p>
      <w:pPr>
        <w:sectPr>
          <w:headerReference w:type="default" r:id="rId36"/>
          <w:footerReference w:type="default" r:id="rId37"/>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5328000" cy="2664000"/>
            <wp:docPr id="2" name="Picture 2" descr="Figure 2. Original conceptual schematic for magnesium electrolyte design."/>
            <wp:cNvGraphicFramePr>
              <a:graphicFrameLocks noChangeAspect="1"/>
            </wp:cNvGraphicFramePr>
            <a:graphic>
              <a:graphicData uri="http://schemas.openxmlformats.org/drawingml/2006/picture">
                <pic:pic>
                  <pic:nvPicPr>
                    <pic:cNvPr id="0" name="Figure_2.png"/>
                    <pic:cNvPicPr/>
                  </pic:nvPicPr>
                  <pic:blipFill>
                    <a:blip r:embed="rId23"/>
                    <a:stretch>
                      <a:fillRect/>
                    </a:stretch>
                  </pic:blipFill>
                  <pic:spPr>
                    <a:xfrm>
                      <a:off x="0" y="0"/>
                      <a:ext cx="5328000" cy="2664000"/>
                    </a:xfrm>
                    <a:prstGeom prst="rect"/>
                  </pic:spPr>
                </pic:pic>
              </a:graphicData>
            </a:graphic>
          </wp:inline>
        </w:drawing>
      </w:r>
    </w:p>
    <w:p>
      <w:pPr>
        <w:pStyle w:val="Caption"/>
      </w:pPr>
      <w:r>
        <w:rPr>
          <w:b w:val="0"/>
        </w:rPr>
        <w:t>Figure 2. Transfer barriers and anion fate. a) Schematic free-energy paths share the overall reaction and potential; escape from an occupied intermediate is referenced to its local minimum. b) Balanced net equations treat monovalent and divalent anions separately, with neutral L. Released A denotes the anion inventory in the net balance, not an isolated unsolvated ion: reassociation, protonation or reaction requires measurement. The dashed loop proposes a test of reuse; it does not establish a catalytic cycle.</w:t>
      </w:r>
    </w:p>
    <w:p>
      <w:pPr>
        <w:sectPr>
          <w:headerReference w:type="default" r:id="rId38"/>
          <w:footerReference w:type="default" r:id="rId39"/>
          <w:type w:val="continuous"/>
          <w:pgSz w:w="11906" w:h="16838"/>
          <w:pgMar w:top="1077" w:right="1020" w:bottom="1020" w:left="1020" w:header="567" w:footer="510" w:gutter="0"/>
          <w:cols w:space="360" w:num="1"/>
          <w:docGrid w:linePitch="360"/>
        </w:sectPr>
      </w:pPr>
    </w:p>
    <w:p>
      <w:pPr>
        <w:jc w:val="both"/>
      </w:pPr>
      <w:r>
        <w:t>The representative strategies already constrain the interpretation. The amine study supports suppression of unwanted reduction,</w:t>
      </w:r>
      <w:r>
        <w:rPr>
          <w:sz w:val="16"/>
          <w:vertAlign w:val="superscript"/>
        </w:rPr>
        <w:t>⁠[⁠8⁠0⁠]</w:t>
      </w:r>
      <w:r>
        <w:t xml:space="preserve"> the weak-pairing electrolyte reports dissociation and altered Mg growth,</w:t>
      </w:r>
      <w:r>
        <w:rPr>
          <w:sz w:val="16"/>
          <w:vertAlign w:val="superscript"/>
        </w:rPr>
        <w:t>⁠[⁠2⁠4⁠]</w:t>
      </w:r>
      <w:r>
        <w:t xml:space="preserve"> and the chelating salt couples a new carrier with an anion-derived film.</w:t>
      </w:r>
      <w:r>
        <w:rPr>
          <w:sz w:val="16"/>
          <w:vertAlign w:val="superscript"/>
        </w:rPr>
        <w:t>⁠[⁠8⁠1⁠]</w:t>
      </w:r>
      <w:r>
        <w:t xml:space="preserve"> A compilation can expose these distinct explanations,</w:t>
      </w:r>
      <w:r>
        <w:rPr>
          <w:sz w:val="16"/>
          <w:vertAlign w:val="superscript"/>
        </w:rPr>
        <w:t>⁠[⁠8⁠6⁠]</w:t>
      </w:r>
      <w:r>
        <w:t xml:space="preserve"> but it cannot supply the missing matched rate measurements. In each case, the next comparison is chosen by the unresolved contribution. A molecular descriptor earns predictive value by distinguishing these contributions within a defined series.</w:t>
      </w:r>
    </w:p>
    <w:p>
      <w:pPr>
        <w:jc w:val="both"/>
      </w:pPr>
      <w:r>
        <w:t>Three possible outcomes lead to different design decisions. Faster exchange with unchanged Mg current indicates a remaining bottleneck in adsorption, reduction or incorporation. Higher CE with unchanged exchange directs attention to reduced losses. A benefit that follows an intact treated surface after liquid replacement identifies a retained surface contribution. These interpretations retain the value of the electrolyte while locating the chemistry that deserves further optimisation. A pathway claim is strongest when it predicts one of these outcomes before the perturbation is made.</w:t>
      </w:r>
    </w:p>
    <w:p>
      <w:pPr>
        <w:pStyle w:val="Heading1"/>
      </w:pPr>
      <w:r>
        <w:t>3. Evidence Needed to Assign a Transfer Mechanism</w:t>
      </w:r>
    </w:p>
    <w:p>
      <w:pPr>
        <w:pStyle w:val="Heading2"/>
      </w:pPr>
      <w:r>
        <w:t>3.1. Define the reaction before comparing energies</w:t>
      </w:r>
    </w:p>
    <w:p>
      <w:pPr>
        <w:jc w:val="both"/>
      </w:pPr>
      <w:r>
        <w:t>An energy comparison begins with a balanced chemical reaction. Ion-pairing free energy compares associated and dissociated states in a specified liquid. Exchange free energy compares a bound donor, its replacement and the released donor. An activation barrier concerns the intervening transition state. Charge, solvent activity, composition and reference conditions give each quantity its meaning. More favourable association can increase the population of a carrier while slowing its escape.</w:t>
      </w:r>
      <w:r>
        <w:rPr>
          <w:sz w:val="16"/>
          <w:vertAlign w:val="superscript"/>
        </w:rPr>
        <w:t>⁠[⁠2⁠3⁠,⁠3⁠2⁠]</w:t>
      </w:r>
      <w:r>
        <w:t xml:space="preserve"> Treating association energy as a release barrier erases precisely the competition that electrolyte design needs to resolve.</w:t>
      </w:r>
    </w:p>
    <w:p>
      <w:pPr>
        <w:jc w:val="both"/>
      </w:pPr>
      <w:r>
        <w:t>A useful calculation follows the species beyond an isolated minimum. If an anion replaces a donor, the free donor and the incoming anion belong in the balance. If a chelate opens, conformational states and entropy affect the available route. Comparing complexes with different charges requires an appropriate chemical or electrode reservoir. These choices are not numerical refinements to an otherwise fixed barrier; they define the reaction being calculated. The resulting pathway gains credibility when it predicts an exchange trend or potential-dependent Mg response that can be tested independently.</w:t>
      </w:r>
    </w:p>
    <w:p>
      <w:pPr>
        <w:jc w:val="both"/>
      </w:pPr>
      <w:r>
        <w:t>Enhanced sampling connects local coordination to free-energy surfaces.</w:t>
      </w:r>
      <w:r>
        <w:rPr>
          <w:sz w:val="16"/>
          <w:vertAlign w:val="superscript"/>
        </w:rPr>
        <w:t>⁠[⁠9⁠2⁠–⁠9⁠3⁠]</w:t>
      </w:r>
      <w:r>
        <w:t xml:space="preserve"> Solvent contacts, anion contacts and distance from the electrode can provide complementary coordinates; restricting sampling to one may exclude the productive route. Reweighting estimates equilibrium properties where sampled distributions overlap, but cannot reconstruct an unvisited transition.</w:t>
      </w:r>
      <w:r>
        <w:rPr>
          <w:sz w:val="16"/>
          <w:vertAlign w:val="superscript"/>
        </w:rPr>
        <w:t>⁠[⁠9⁠4⁠]</w:t>
      </w:r>
      <w:r>
        <w:t xml:space="preserve"> Adsorption and reduction add a potential dependence that calls for suitable constant-potential or grand-canonical treatment.</w:t>
      </w:r>
      <w:r>
        <w:rPr>
          <w:sz w:val="16"/>
          <w:vertAlign w:val="superscript"/>
        </w:rPr>
        <w:t>⁠[⁠3⁠1⁠,⁠9⁠5⁠]</w:t>
      </w:r>
      <w:r>
        <w:t xml:space="preserve"> The comparison of interest is a reproducible ordering of balanced pathways, with sampling uncertainty carried into the experimental prediction.</w:t>
      </w:r>
    </w:p>
    <w:p>
      <w:pPr>
        <w:pStyle w:val="Heading2"/>
      </w:pPr>
      <w:r>
        <w:t>3.2. Identify the species that the kinetic model needs</w:t>
      </w:r>
    </w:p>
    <w:p>
      <w:pPr>
        <w:jc w:val="both"/>
      </w:pPr>
      <w:r>
        <w:t>Spectroscopy constrains the carrier rather than directly measuring its transfer barrier. Raman and IR resolve donor and anion environments; ²⁵Mg NMR, combined with computation, probes Mg solvation and dynamics.</w:t>
      </w:r>
      <w:r>
        <w:rPr>
          <w:sz w:val="16"/>
          <w:vertAlign w:val="superscript"/>
        </w:rPr>
        <w:t>⁠[⁠9⁠6⁠]</w:t>
      </w:r>
      <w:r>
        <w:t xml:space="preserve"> Composition-dependent chloride studies demonstrate the benefit of combining methods.</w:t>
      </w:r>
      <w:r>
        <w:rPr>
          <w:sz w:val="16"/>
          <w:vertAlign w:val="superscript"/>
        </w:rPr>
        <w:t>⁠[⁠5⁠7⁠–⁠5⁠8⁠,⁠7⁠4⁠,⁠9⁠7⁠]</w:t>
      </w:r>
      <w:r>
        <w:t xml:space="preserve"> Assignments specify donor atoms as well as molecules, because a multidentate ligand supplies several contacts. The resulting species distribution is a constraint on a kinetic model. A selected calculated cluster becomes a credible precursor only when measurements support its occurrence under the relevant conditions.</w:t>
      </w:r>
    </w:p>
    <w:p>
      <w:pPr>
        <w:jc w:val="both"/>
      </w:pPr>
      <w:r>
        <w:t>The choice of NMR experiment depends on the accessible time scale and spectral resolution. Quadrupolar broadening and low sensitivity complicate ²⁵Mg measurements. Ligand-resolved EXSY can test exchange where separate environments are resolved, but cross-peaks need separation from nuclear Overhauser effects. DOSY constrains diffusion and association, not ligand-release rates by itself. Raman intensities likewise require response factors before being converted into populations. These boundaries make a combined assignment more useful than a nominally definitive method: several observables constrain the same species model from different directions.</w:t>
      </w:r>
    </w:p>
    <w:p>
      <w:pPr>
        <w:jc w:val="both"/>
      </w:pPr>
      <w:r>
        <w:t>Mixed chloride/lithium formulations make carrier charge an additional variable.</w:t>
      </w:r>
      <w:r>
        <w:rPr>
          <w:sz w:val="16"/>
          <w:vertAlign w:val="superscript"/>
        </w:rPr>
        <w:t>⁠[⁠6⁠0⁠,⁠8⁠2⁠,⁠9⁠8⁠]</w:t>
      </w:r>
      <w:r>
        <w:t xml:space="preserve"> Two liquids with equal total Mg can transport differently because their complexes differ in charge, size and population. Mass spectrometry and crystallography help identify candidate carriers, while ionisation and crystallisation can select species unlike those dominating the liquid. A minor bulk state may nevertheless react preferentially at a polarized surface. Connecting that state to deposition requires a compatible potential-dependent response, not simply detection of the complex outside the operating interface.</w:t>
      </w:r>
    </w:p>
    <w:p>
      <w:pPr>
        <w:jc w:val="both"/>
      </w:pPr>
      <w:r>
        <w:t>Anion exclusion deserves equally quantitative treatment. A bulky salt or a shifted vibrational band does not establish zero primary-shell contact. An associated fraction with an uncertainty range is more informative than a binary shell assignment. Comparing that fraction with donor exchange determines whether a structural perturbation also changes dynamics. Comparing both with metal recovery then tests its electrochemical consequence. If surface chemistry evolves during the same interval, the liquid and surface contributions remain unresolved until an additional control separates them.</w:t>
      </w:r>
    </w:p>
    <w:p>
      <w:pPr>
        <w:jc w:val="both"/>
      </w:pPr>
      <w:r>
        <w:t>The useful evidence is cumulative. Association measurements identify possible carriers; exchange measurements establish how quickly their ligands rearrange; Mg-specific current and products reveal which route actually operates. None is a substitute for the others. The important advance is often the measurement that rejects the nearest alternative explanation, rather than the addition of another technique to the same structural assignment. In practice, this means choosing spectroscopy and electrochemistry around the reaction model, including conditions under which the proposed active carrier is expected to disappear.</w:t>
      </w:r>
    </w:p>
    <w:p>
      <w:pPr>
        <w:pStyle w:val="Heading2"/>
      </w:pPr>
      <w:r>
        <w:t>3.3. Connect exchange times to the rate at the electrode</w:t>
      </w:r>
    </w:p>
    <w:p>
      <w:pPr>
        <w:jc w:val="both"/>
      </w:pPr>
      <w:r>
        <w:t>Exchange, diffusion, adsorption, reduction and nucleation occupy different time scales. Their ordering can change with potential and surface history, so the fastest bulk donor exchange need not produce the fastest deposition. Exchange-sensitive NMR, temperature dependence and molecular dynamics each probe part of this sequence. A measured relaxation becomes evidence for a release step when the reaction model connects the observable to ligand departure. That connection also defines whether the measurement concerns the dominant carrier or a small population responsible for most of the productive current.</w:t>
      </w:r>
    </w:p>
    <w:p>
      <w:pPr>
        <w:jc w:val="both"/>
      </w:pPr>
      <w:r>
        <w:t>Residence time is particularly sensitive to its definition. A brief departure followed by rebinding produces different continuous and intermittent lifetimes. The distance criterion, correlation function, rebinding treatment and sampling duration therefore belong with the reported time. Diffusion requires convergence and finite-size checks,</w:t>
      </w:r>
      <w:r>
        <w:rPr>
          <w:sz w:val="16"/>
          <w:vertAlign w:val="superscript"/>
        </w:rPr>
        <w:t>⁠[⁠9⁠9⁠]</w:t>
      </w:r>
      <w:r>
        <w:t xml:space="preserve"> while conductivity includes correlated motion. These quantities matter experimentally because improved conductivity can lower polarisation without accelerating release. Constraining transport removes one explanation for a rate change and makes a subsequent exchange–current comparison chemically interpretable.</w:t>
      </w:r>
    </w:p>
    <w:p>
      <w:pPr>
        <w:jc w:val="both"/>
      </w:pPr>
      <w:r>
        <w:t>Impedance and current transients become more informative when a controlled perturbation changes one candidate process. A frequency feature has no universal assignment to film transport, electron transfer or diffusion: adsorption, nucleation and evolving surfaces can overlap. Potential and temperature dependences, constrained by transport and Mg-specific current, narrow the interpretation. Reorganization contributes to electron-transfer kinetics,</w:t>
      </w:r>
      <w:r>
        <w:rPr>
          <w:sz w:val="16"/>
          <w:vertAlign w:val="superscript"/>
        </w:rPr>
        <w:t>⁠[⁠1⁠0⁠0⁠]</w:t>
      </w:r>
      <w:r>
        <w:t xml:space="preserve"> but Mg deposition also changes coordination and the metal surface. Faster exchange at similar film response points to a different contribution from progressive activation at unchanged exchange.</w:t>
      </w:r>
    </w:p>
    <w:p>
      <w:pPr>
        <w:jc w:val="both"/>
      </w:pPr>
      <w:r>
        <w:t>This is why a universal binding-energy–CE correlation is an unsuitable objective. CE integrates the recovery of deposited charge, whereas an exchange barrier concerns one molecular step. Adsorption or incorporation can remain limiting after that step accelerates; suppressing decomposition can raise CE while its rate stays fixed. A better initial target is the joint response of exchange and Mg-specific transfer to one donor or potential change. Agreement defines the descriptor's useful range. A mismatch identifies the missing process instead of becoming another point in a pooled performance fit.</w:t>
      </w:r>
    </w:p>
    <w:p>
      <w:pPr>
        <w:sectPr>
          <w:headerReference w:type="default" r:id="rId40"/>
          <w:footerReference w:type="default" r:id="rId41"/>
          <w:type w:val="continuous"/>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5328000" cy="2664000"/>
            <wp:docPr id="3" name="Picture 3" descr="Figure 3. Original conceptual schematic for magnesium electrolyte design."/>
            <wp:cNvGraphicFramePr>
              <a:graphicFrameLocks noChangeAspect="1"/>
            </wp:cNvGraphicFramePr>
            <a:graphic>
              <a:graphicData uri="http://schemas.openxmlformats.org/drawingml/2006/picture">
                <pic:pic>
                  <pic:nvPicPr>
                    <pic:cNvPr id="0" name="Figure_3.png"/>
                    <pic:cNvPicPr/>
                  </pic:nvPicPr>
                  <pic:blipFill>
                    <a:blip r:embed="rId24"/>
                    <a:stretch>
                      <a:fillRect/>
                    </a:stretch>
                  </pic:blipFill>
                  <pic:spPr>
                    <a:xfrm>
                      <a:off x="0" y="0"/>
                      <a:ext cx="5328000" cy="2664000"/>
                    </a:xfrm>
                    <a:prstGeom prst="rect"/>
                  </pic:spPr>
                </pic:pic>
              </a:graphicData>
            </a:graphic>
          </wp:inline>
        </w:drawing>
      </w:r>
    </w:p>
    <w:p>
      <w:pPr>
        <w:pStyle w:val="Caption"/>
      </w:pPr>
      <w:r>
        <w:rPr>
          <w:b w:val="0"/>
        </w:rPr>
        <w:t>Figure 3. Populations, exchange and selectivity constrain different parts of the mechanism. a) Schematic donor motifs represent candidate states. b) One-for-one ligand exchange conserves L and L*; other donors are omitted. The decay illustrates a correlation function, without experimental values. c) Mg deposition competes with electrolyte reaction; the equation is a net two-electron balance. Measurements are compared at connected composition, temperature, potential and surface history.</w:t>
      </w:r>
    </w:p>
    <w:p>
      <w:pPr>
        <w:sectPr>
          <w:headerReference w:type="default" r:id="rId42"/>
          <w:footerReference w:type="default" r:id="rId43"/>
          <w:type w:val="continuous"/>
          <w:pgSz w:w="11906" w:h="16838"/>
          <w:pgMar w:top="1077" w:right="1020" w:bottom="1020" w:left="1020" w:header="567" w:footer="510" w:gutter="0"/>
          <w:cols w:space="360" w:num="1"/>
          <w:docGrid w:linePitch="360"/>
        </w:sectPr>
      </w:pPr>
    </w:p>
    <w:p>
      <w:pPr>
        <w:pStyle w:val="Heading2"/>
      </w:pPr>
      <w:r>
        <w:t>3.4. Identify useful reduction and the chemical fate of the anion</w:t>
      </w:r>
    </w:p>
    <w:p>
      <w:pPr>
        <w:jc w:val="both"/>
      </w:pPr>
      <w:r>
        <w:t>An accessible molecular route is valuable only if it leads selectively to Mg. Potential-dependent calculations identify decomposition of solvated species in the double layer as a competing reaction.</w:t>
      </w:r>
      <w:r>
        <w:rPr>
          <w:sz w:val="16"/>
          <w:vertAlign w:val="superscript"/>
        </w:rPr>
        <w:t>⁠[⁠3⁠0⁠–⁠3⁠1⁠]</w:t>
      </w:r>
      <w:r>
        <w:t xml:space="preserve"> Electron transfer requires electronic coupling, not complete desolvation or direct physical adsorption of every reacting molecule. Orbital energies suggest susceptible sites, while liquid reorganization, bond cleavage and activation barriers determine products. A cathodic onset can therefore reflect electrolyte reaction as well as metal reduction. Deposited Mg and the accompanying chemical products identify which interpretation is relevant.</w:t>
      </w:r>
    </w:p>
    <w:p>
      <w:pPr>
        <w:jc w:val="both"/>
      </w:pPr>
      <w:r>
        <w:t>A material balance gives current its chemical meaning. Deposited Mg, recovered charge, gas, soluble products and film growth constrain different losses. Instantaneous Mg partial current differs from cycle-integrated CE, and chemical corrosion can consume metal without an equivalent deposition current. Early plating studies and later interphase work make these distinctions essential.</w:t>
      </w:r>
      <w:r>
        <w:rPr>
          <w:sz w:val="16"/>
          <w:vertAlign w:val="superscript"/>
        </w:rPr>
        <w:t>⁠[⁠3⁠,⁠7⁠8⁠,⁠1⁠0⁠1⁠]</w:t>
      </w:r>
      <w:r>
        <w:t xml:space="preserve"> Operando EQCM-D tracks coupled mass and dissipation changes during conditioning and passivation.</w:t>
      </w:r>
      <w:r>
        <w:rPr>
          <w:sz w:val="16"/>
          <w:vertAlign w:val="superscript"/>
        </w:rPr>
        <w:t>⁠[⁠1⁠0⁠2⁠]</w:t>
      </w:r>
      <w:r>
        <w:t xml:space="preserve"> Solvent coupling, porosity and changing surface area affect the signal, so mass uptake alone is not automatically the mass of a compact SEI.</w:t>
      </w:r>
    </w:p>
    <w:p>
      <w:pPr>
        <w:jc w:val="both"/>
      </w:pPr>
      <w:r>
        <w:t>The same balance determines anion fate. A surviving anion may be an inert spectator, while a persistent benefit can consume active species slowly from a large reservoir. Recovery becomes evidence for repeated assistance only when the recovered form retains a kinetic effect on a controlled surface. Table 2 links each contribution to a matched perturbation and a discriminating observation. Its rows overlap: one ligand can alter donor departure, suppress a competing reduction and subsequently react into a film. Resolving those functions makes the result more useful than assigning a single descriptive role.</w:t>
      </w:r>
    </w:p>
    <w:p>
      <w:pPr>
        <w:sectPr>
          <w:headerReference w:type="default" r:id="rId44"/>
          <w:footerReference w:type="default" r:id="rId45"/>
          <w:type w:val="continuous"/>
          <w:pgSz w:w="11906" w:h="16838"/>
          <w:pgMar w:top="1077" w:right="1020" w:bottom="1020" w:left="1020" w:header="567" w:footer="510" w:gutter="0"/>
          <w:cols w:space="360" w:num="2"/>
          <w:docGrid w:linePitch="360"/>
        </w:sectPr>
      </w:pPr>
    </w:p>
    <w:p>
      <w:pPr>
        <w:pStyle w:val="Caption"/>
        <w:keepNext/>
        <w:spacing w:before="140"/>
      </w:pPr>
      <w:r>
        <w:rPr>
          <w:b/>
        </w:rPr>
        <w:t>Table 2. Perturbations and outcomes that distinguish contributions to magnesium transfer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45" w:type="dxa"/>
          <w:left w:w="45" w:type="dxa"/>
          <w:bottom w:w="45" w:type="dxa"/>
          <w:right w:w="45" w:type="dxa"/>
        </w:tblCellMar>
      </w:tblPr>
      <w:tblGrid>
        <w:gridCol w:w="1928"/>
        <w:gridCol w:w="2835"/>
        <w:gridCol w:w="3628"/>
        <w:gridCol w:w="1474"/>
      </w:tblGrid>
      <w:tr>
        <w:trPr>
          <w:tblHeader/>
          <w:cantSplit/>
        </w:trPr>
        <w:tc>
          <w:tcPr>
            <w:tcW w:type="dxa" w:w="1928"/>
            <w:vAlign w:val="center"/>
            <w:tcBorders>
              <w:top w:val="single" w:sz="10" w:color="000000"/>
              <w:bottom w:val="single" w:sz="5" w:color="000000"/>
            </w:tcBorders>
          </w:tcPr>
          <w:p>
            <w:pPr>
              <w:keepNext w:val="0"/>
              <w:spacing w:before="20" w:after="40" w:line="240" w:lineRule="auto"/>
              <w:jc w:val="left"/>
            </w:pPr>
            <w:r>
              <w:rPr>
                <w:rFonts w:ascii="Liberation Serif" w:hAnsi="Liberation Serif"/>
                <w:b/>
                <w:color w:val="000000"/>
                <w:sz w:val="18"/>
              </w:rPr>
              <w:t>Possible contribution</w:t>
            </w:r>
          </w:p>
        </w:tc>
        <w:tc>
          <w:tcPr>
            <w:tcW w:type="dxa" w:w="2835"/>
            <w:vAlign w:val="center"/>
            <w:tcBorders>
              <w:top w:val="single" w:sz="10" w:color="000000"/>
              <w:bottom w:val="single" w:sz="5" w:color="000000"/>
            </w:tcBorders>
          </w:tcPr>
          <w:p>
            <w:pPr>
              <w:keepNext w:val="0"/>
              <w:spacing w:before="20" w:after="40" w:line="240" w:lineRule="auto"/>
              <w:jc w:val="left"/>
            </w:pPr>
            <w:r>
              <w:rPr>
                <w:rFonts w:ascii="Liberation Serif" w:hAnsi="Liberation Serif"/>
                <w:b/>
                <w:color w:val="000000"/>
                <w:sz w:val="18"/>
              </w:rPr>
              <w:t>Matched perturbation</w:t>
            </w:r>
          </w:p>
        </w:tc>
        <w:tc>
          <w:tcPr>
            <w:tcW w:type="dxa" w:w="3628"/>
            <w:vAlign w:val="center"/>
            <w:tcBorders>
              <w:top w:val="single" w:sz="10" w:color="000000"/>
              <w:bottom w:val="single" w:sz="5" w:color="000000"/>
            </w:tcBorders>
          </w:tcPr>
          <w:p>
            <w:pPr>
              <w:keepNext w:val="0"/>
              <w:spacing w:before="20" w:after="40" w:line="240" w:lineRule="auto"/>
              <w:jc w:val="left"/>
            </w:pPr>
            <w:r>
              <w:rPr>
                <w:rFonts w:ascii="Liberation Serif" w:hAnsi="Liberation Serif"/>
                <w:b/>
                <w:color w:val="000000"/>
                <w:sz w:val="18"/>
              </w:rPr>
              <w:t>Observation favouring or limiting the explanation</w:t>
            </w:r>
          </w:p>
        </w:tc>
        <w:tc>
          <w:tcPr>
            <w:tcW w:type="dxa" w:w="1474"/>
            <w:vAlign w:val="center"/>
            <w:tcBorders>
              <w:top w:val="single" w:sz="10" w:color="000000"/>
              <w:bottom w:val="single" w:sz="5" w:color="000000"/>
            </w:tcBorders>
          </w:tcPr>
          <w:p>
            <w:pPr>
              <w:keepNext w:val="0"/>
              <w:spacing w:before="20" w:after="40" w:line="240" w:lineRule="auto"/>
              <w:jc w:val="center"/>
            </w:pPr>
            <w:r>
              <w:rPr>
                <w:rFonts w:ascii="Liberation Serif" w:hAnsi="Liberation Serif"/>
                <w:b/>
                <w:color w:val="000000"/>
                <w:sz w:val="18"/>
              </w:rPr>
              <w:t>Studies motivating the test</w:t>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Precursor availability</w:t>
            </w:r>
          </w:p>
        </w:tc>
        <w:tc>
          <w:tcPr>
            <w:tcW w:type="dxa" w:w="2835"/>
            <w:vAlign w:val="center"/>
          </w:tcPr>
          <w:p>
            <w:pPr>
              <w:keepNext w:val="0"/>
              <w:spacing w:before="20" w:after="40" w:line="240" w:lineRule="auto"/>
              <w:jc w:val="left"/>
            </w:pPr>
            <w:r>
              <w:rPr>
                <w:rFonts w:ascii="Liberation Serif" w:hAnsi="Liberation Serif"/>
                <w:b w:val="0"/>
                <w:color w:val="000000"/>
                <w:sz w:val="17"/>
              </w:rPr>
              <w:t>Change association while constraining bulk transport and the surface</w:t>
            </w:r>
          </w:p>
        </w:tc>
        <w:tc>
          <w:tcPr>
            <w:tcW w:type="dxa" w:w="3628"/>
            <w:vAlign w:val="center"/>
          </w:tcPr>
          <w:p>
            <w:pPr>
              <w:keepNext w:val="0"/>
              <w:spacing w:before="20" w:after="40" w:line="240" w:lineRule="auto"/>
              <w:jc w:val="left"/>
            </w:pPr>
            <w:r>
              <w:rPr>
                <w:rFonts w:ascii="Liberation Serif" w:hAnsi="Liberation Serif"/>
                <w:b w:val="0"/>
                <w:color w:val="000000"/>
                <w:sz w:val="17"/>
              </w:rPr>
              <w:t>Population-resolved Raman/NMR plus transport controls: a reactive-carrier increase tracks Mg current at unchanged exchange; conductivity or film changes leave the assignment unresolved</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⁠[⁠2⁠4⁠,⁠8⁠2⁠]</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Ligand departure or rearrangement</w:t>
            </w:r>
          </w:p>
        </w:tc>
        <w:tc>
          <w:tcPr>
            <w:tcW w:type="dxa" w:w="2835"/>
            <w:vAlign w:val="center"/>
          </w:tcPr>
          <w:p>
            <w:pPr>
              <w:keepNext w:val="0"/>
              <w:spacing w:before="20" w:after="40" w:line="240" w:lineRule="auto"/>
              <w:jc w:val="left"/>
            </w:pPr>
            <w:r>
              <w:rPr>
                <w:rFonts w:ascii="Liberation Serif" w:hAnsi="Liberation Serif"/>
                <w:b w:val="0"/>
                <w:color w:val="000000"/>
                <w:sz w:val="17"/>
              </w:rPr>
              <w:t>Change donor/anion identity on compatibly conditioned surfaces</w:t>
            </w:r>
          </w:p>
        </w:tc>
        <w:tc>
          <w:tcPr>
            <w:tcW w:type="dxa" w:w="3628"/>
            <w:vAlign w:val="center"/>
          </w:tcPr>
          <w:p>
            <w:pPr>
              <w:keepNext w:val="0"/>
              <w:spacing w:before="20" w:after="40" w:line="240" w:lineRule="auto"/>
              <w:jc w:val="left"/>
            </w:pPr>
            <w:r>
              <w:rPr>
                <w:rFonts w:ascii="Liberation Serif" w:hAnsi="Liberation Serif"/>
                <w:b w:val="0"/>
                <w:color w:val="000000"/>
                <w:sz w:val="17"/>
              </w:rPr>
              <w:t>Resolved-ligand exchange NMR or validated MD plus Mg-specific current: matched exchange and rate responses support rearrangement; unchanged Mg current locates a later limitation</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⁠[⁠2⁠5⁠,⁠3⁠9⁠,⁠7⁠6⁠]</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Suppression of unwanted reduction</w:t>
            </w:r>
          </w:p>
        </w:tc>
        <w:tc>
          <w:tcPr>
            <w:tcW w:type="dxa" w:w="2835"/>
            <w:vAlign w:val="center"/>
          </w:tcPr>
          <w:p>
            <w:pPr>
              <w:keepNext w:val="0"/>
              <w:spacing w:before="20" w:after="40" w:line="240" w:lineRule="auto"/>
              <w:jc w:val="left"/>
            </w:pPr>
            <w:r>
              <w:rPr>
                <w:rFonts w:ascii="Liberation Serif" w:hAnsi="Liberation Serif"/>
                <w:b w:val="0"/>
                <w:color w:val="000000"/>
                <w:sz w:val="17"/>
              </w:rPr>
              <w:t>Follow Mg-specific current, gas and soluble/film products</w:t>
            </w:r>
          </w:p>
        </w:tc>
        <w:tc>
          <w:tcPr>
            <w:tcW w:type="dxa" w:w="3628"/>
            <w:vAlign w:val="center"/>
          </w:tcPr>
          <w:p>
            <w:pPr>
              <w:keepNext w:val="0"/>
              <w:spacing w:before="20" w:after="40" w:line="240" w:lineRule="auto"/>
              <w:jc w:val="left"/>
            </w:pPr>
            <w:r>
              <w:rPr>
                <w:rFonts w:ascii="Liberation Serif" w:hAnsi="Liberation Serif"/>
                <w:b w:val="0"/>
                <w:color w:val="000000"/>
                <w:sz w:val="17"/>
              </w:rPr>
              <w:t>Gas analysis and soluble/film-product balance: reduced H₂ or decomposition at unchanged exchange favours selectivity; a shell assignment alone does not establish it</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⁠[⁠3⁠1⁠,⁠8⁠0⁠]</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Repeated molecular assistance</w:t>
            </w:r>
          </w:p>
        </w:tc>
        <w:tc>
          <w:tcPr>
            <w:tcW w:type="dxa" w:w="2835"/>
            <w:vAlign w:val="center"/>
          </w:tcPr>
          <w:p>
            <w:pPr>
              <w:keepNext w:val="0"/>
              <w:spacing w:before="20" w:after="40" w:line="240" w:lineRule="auto"/>
              <w:jc w:val="left"/>
            </w:pPr>
            <w:r>
              <w:rPr>
                <w:rFonts w:ascii="Liberation Serif" w:hAnsi="Liberation Serif"/>
                <w:b w:val="0"/>
                <w:color w:val="000000"/>
                <w:sz w:val="17"/>
              </w:rPr>
              <w:t>Track active anion and products with increasing Mg throughput</w:t>
            </w:r>
          </w:p>
        </w:tc>
        <w:tc>
          <w:tcPr>
            <w:tcW w:type="dxa" w:w="3628"/>
            <w:vAlign w:val="center"/>
          </w:tcPr>
          <w:p>
            <w:pPr>
              <w:keepNext w:val="0"/>
              <w:spacing w:before="20" w:after="40" w:line="240" w:lineRule="auto"/>
              <w:jc w:val="left"/>
            </w:pPr>
            <w:r>
              <w:rPr>
                <w:rFonts w:ascii="Liberation Serif" w:hAnsi="Liberation Serif"/>
                <w:b w:val="0"/>
                <w:color w:val="000000"/>
                <w:sz w:val="17"/>
              </w:rPr>
              <w:t>Calibrated anion assay and products versus Mg throughput: active-species recovery with a repeated kinetic effect supports reuse; survival alone is compatible with a spectator</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⁠[⁠2⁠0⁠,⁠8⁠1⁠]</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Persistent intermediate</w:t>
            </w:r>
          </w:p>
        </w:tc>
        <w:tc>
          <w:tcPr>
            <w:tcW w:type="dxa" w:w="2835"/>
            <w:vAlign w:val="center"/>
          </w:tcPr>
          <w:p>
            <w:pPr>
              <w:keepNext w:val="0"/>
              <w:spacing w:before="20" w:after="40" w:line="240" w:lineRule="auto"/>
              <w:jc w:val="left"/>
            </w:pPr>
            <w:r>
              <w:rPr>
                <w:rFonts w:ascii="Liberation Serif" w:hAnsi="Liberation Serif"/>
                <w:b w:val="0"/>
                <w:color w:val="000000"/>
                <w:sz w:val="17"/>
              </w:rPr>
              <w:t>Measure residence and escape from the occupied state</w:t>
            </w:r>
          </w:p>
        </w:tc>
        <w:tc>
          <w:tcPr>
            <w:tcW w:type="dxa" w:w="3628"/>
            <w:vAlign w:val="center"/>
          </w:tcPr>
          <w:p>
            <w:pPr>
              <w:keepNext w:val="0"/>
              <w:spacing w:before="20" w:after="40" w:line="240" w:lineRule="auto"/>
              <w:jc w:val="left"/>
            </w:pPr>
            <w:r>
              <w:rPr>
                <w:rFonts w:ascii="Liberation Serif" w:hAnsi="Liberation Serif"/>
                <w:b w:val="0"/>
                <w:color w:val="000000"/>
                <w:sz w:val="17"/>
              </w:rPr>
              <w:t>Residence analysis and sampled free-energy path: a persistent state with a large barrier from its local minimum supports trapping; a low cluster energy alone does not</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⁠[⁠2⁠3⁠,⁠3⁠2⁠]</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Retained surface benefit</w:t>
            </w:r>
          </w:p>
        </w:tc>
        <w:tc>
          <w:tcPr>
            <w:tcW w:type="dxa" w:w="2835"/>
            <w:vAlign w:val="center"/>
          </w:tcPr>
          <w:p>
            <w:pPr>
              <w:keepNext w:val="0"/>
              <w:spacing w:before="20" w:after="40" w:line="240" w:lineRule="auto"/>
              <w:jc w:val="left"/>
            </w:pPr>
            <w:r>
              <w:rPr>
                <w:rFonts w:ascii="Liberation Serif" w:hAnsi="Liberation Serif"/>
                <w:b w:val="0"/>
                <w:color w:val="000000"/>
                <w:sz w:val="17"/>
              </w:rPr>
              <w:t>Change liquid while verifying persistence of the treated surface</w:t>
            </w:r>
          </w:p>
        </w:tc>
        <w:tc>
          <w:tcPr>
            <w:tcW w:type="dxa" w:w="3628"/>
            <w:vAlign w:val="center"/>
          </w:tcPr>
          <w:p>
            <w:pPr>
              <w:keepNext w:val="0"/>
              <w:spacing w:before="20" w:after="40" w:line="240" w:lineRule="auto"/>
              <w:jc w:val="left"/>
            </w:pPr>
            <w:r>
              <w:rPr>
                <w:rFonts w:ascii="Liberation Serif" w:hAnsi="Liberation Serif"/>
                <w:b w:val="0"/>
                <w:color w:val="000000"/>
                <w:sz w:val="17"/>
              </w:rPr>
              <w:t>Paired liquid replacement with surface/impedance checks: a benefit following an intact film favours surface retention; film dissolution makes a lost benefit ambiguous</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⁠[⁠2⁠0⁠,⁠8⁠8⁠]</w:t>
            </w:r>
            <w:r>
              <w:rPr>
                <w:rFonts w:ascii="Liberation Serif" w:hAnsi="Liberation Serif"/>
                <w:b w:val="0"/>
                <w:color w:val="000000"/>
                <w:sz w:val="17"/>
              </w:rPr>
            </w:r>
          </w:p>
        </w:tc>
      </w:tr>
      <w:tr>
        <w:trPr>
          <w:cantSplit/>
        </w:trPr>
        <w:tc>
          <w:tcPr>
            <w:tcW w:type="dxa" w:w="1928"/>
            <w:vAlign w:val="center"/>
            <w:tcBorders>
              <w:bottom w:val="single" w:sz="10" w:color="000000"/>
            </w:tcBorders>
          </w:tcPr>
          <w:p>
            <w:pPr>
              <w:keepNext w:val="0"/>
              <w:spacing w:before="20" w:after="40" w:line="240" w:lineRule="auto"/>
              <w:jc w:val="left"/>
            </w:pPr>
            <w:r>
              <w:rPr>
                <w:rFonts w:ascii="Liberation Serif" w:hAnsi="Liberation Serif"/>
                <w:b w:val="0"/>
                <w:color w:val="000000"/>
                <w:sz w:val="17"/>
              </w:rPr>
              <w:t>Coupled molecular and film effects</w:t>
            </w:r>
          </w:p>
        </w:tc>
        <w:tc>
          <w:tcPr>
            <w:tcW w:type="dxa" w:w="2835"/>
            <w:vAlign w:val="center"/>
            <w:tcBorders>
              <w:bottom w:val="single" w:sz="10" w:color="000000"/>
            </w:tcBorders>
          </w:tcPr>
          <w:p>
            <w:pPr>
              <w:keepNext w:val="0"/>
              <w:spacing w:before="20" w:after="40" w:line="240" w:lineRule="auto"/>
              <w:jc w:val="left"/>
            </w:pPr>
            <w:r>
              <w:rPr>
                <w:rFonts w:ascii="Liberation Serif" w:hAnsi="Liberation Serif"/>
                <w:b w:val="0"/>
                <w:color w:val="000000"/>
                <w:sz w:val="17"/>
              </w:rPr>
              <w:t>Separate the initial liquid response from the retained-surface response</w:t>
            </w:r>
          </w:p>
        </w:tc>
        <w:tc>
          <w:tcPr>
            <w:tcW w:type="dxa" w:w="3628"/>
            <w:vAlign w:val="center"/>
            <w:tcBorders>
              <w:bottom w:val="single" w:sz="10" w:color="000000"/>
            </w:tcBorders>
          </w:tcPr>
          <w:p>
            <w:pPr>
              <w:keepNext w:val="0"/>
              <w:spacing w:before="20" w:after="40" w:line="240" w:lineRule="auto"/>
              <w:jc w:val="left"/>
            </w:pPr>
            <w:r>
              <w:rPr>
                <w:rFonts w:ascii="Liberation Serif" w:hAnsi="Liberation Serif"/>
                <w:b w:val="0"/>
                <w:color w:val="000000"/>
                <w:sz w:val="17"/>
              </w:rPr>
              <w:t>Initial response, product balance and retained-surface test: separate changes requiring both liquid and film favour coupling; CE alone cannot apportion them</w:t>
            </w:r>
          </w:p>
        </w:tc>
        <w:tc>
          <w:tcPr>
            <w:tcW w:type="dxa" w:w="1474"/>
            <w:vAlign w:val="center"/>
            <w:tcBorders>
              <w:bottom w:val="single" w:sz="10" w:color="000000"/>
            </w:tcBorders>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⁠[⁠8⁠8⁠,⁠9⁠0⁠]</w:t>
            </w:r>
            <w:r>
              <w:rPr>
                <w:rFonts w:ascii="Liberation Serif" w:hAnsi="Liberation Serif"/>
                <w:b w:val="0"/>
                <w:color w:val="000000"/>
                <w:sz w:val="17"/>
              </w:rPr>
            </w:r>
          </w:p>
        </w:tc>
      </w:tr>
    </w:tbl>
    <w:p>
      <w:pPr>
        <w:pStyle w:val="Caption"/>
        <w:keepLines/>
        <w:spacing w:before="80"/>
      </w:pPr>
      <w:r>
        <w:rPr>
          <w:b w:val="0"/>
          <w:sz w:val="16"/>
        </w:rPr>
        <w:t>Rows describe overlapping contributions and proposed tests. The cited studies motivate the discrimination; they do not demonstrate every listed measurement or establish anion regeneration. A resolved exchange signal requires a suitable NMR time scale; complementary methods constrain ambiguous assignments. The outer-shell example uses a neutral additive. One electrolyte can contribute through several routes.</w:t>
      </w:r>
    </w:p>
    <w:p>
      <w:pPr>
        <w:sectPr>
          <w:headerReference w:type="default" r:id="rId46"/>
          <w:footerReference w:type="default" r:id="rId47"/>
          <w:type w:val="continuous"/>
          <w:pgSz w:w="11906" w:h="16838"/>
          <w:pgMar w:top="1077" w:right="1020" w:bottom="1020" w:left="1020" w:header="567" w:footer="510" w:gutter="0"/>
          <w:cols w:space="360" w:num="1"/>
          <w:docGrid w:linePitch="360"/>
        </w:sectPr>
      </w:pPr>
    </w:p>
    <w:p>
      <w:pPr>
        <w:pStyle w:val="Heading1"/>
      </w:pPr>
      <w:r>
        <w:t>4. Design Rules for Coupled Magnesium Anion and Solvent Chemistry</w:t>
      </w:r>
    </w:p>
    <w:p>
      <w:pPr>
        <w:pStyle w:val="Heading2"/>
      </w:pPr>
      <w:r>
        <w:t>4.1. Open an accessible transfer route</w:t>
      </w:r>
    </w:p>
    <w:p>
      <w:pPr>
        <w:jc w:val="both"/>
      </w:pPr>
      <w:r>
        <w:t>The first design priority is to remove the limitation on useful Mg transfer at the intended current. Solvent redesign, amine assistance and phosphate-containing environments illustrate changes in release and interfacial chemistry.</w:t>
      </w:r>
      <w:r>
        <w:rPr>
          <w:sz w:val="16"/>
          <w:vertAlign w:val="superscript"/>
        </w:rPr>
        <w:t>⁠[⁠7⁠6⁠,⁠7⁠9⁠,⁠8⁠7⁠,⁠1⁠0⁠3⁠]</w:t>
      </w:r>
      <w:r>
        <w:t xml:space="preserve"> Pairing and reduced pairing can each address a limitation.</w:t>
      </w:r>
      <w:r>
        <w:rPr>
          <w:sz w:val="16"/>
          <w:vertAlign w:val="superscript"/>
        </w:rPr>
        <w:t>⁠[⁠2⁠4⁠,⁠8⁠0⁠]</w:t>
      </w:r>
      <w:r>
        <w:t xml:space="preserve"> Dissolution and transport require sufficient stabilisation; deposition requires a subsequent rearrangement or release. An appropriate anion connects those requirements without retaining Mg in an inaccessible state or opening a dominant decomposition branch. This reaction sequence is the design target, rather than a prescribed shell composition.</w:t>
      </w:r>
    </w:p>
    <w:p>
      <w:pPr>
        <w:jc w:val="both"/>
      </w:pPr>
      <w:r>
        <w:t>Denticity and steric structure determine how that sequence can unfold. A strongly bound chelate may open one contact at a time, and mixed donors can provide more than one departure route. Steric and competitive ether coordination therefore offer alternatives to simply lowering donor affinity.</w:t>
      </w:r>
      <w:r>
        <w:rPr>
          <w:sz w:val="16"/>
          <w:vertAlign w:val="superscript"/>
        </w:rPr>
        <w:t>⁠[⁠5⁠2⁠]</w:t>
      </w:r>
      <w:r>
        <w:t xml:space="preserve"> Fluoride boronic esters and coupled solvation–interface strategies explore further modifications.</w:t>
      </w:r>
      <w:r>
        <w:rPr>
          <w:sz w:val="16"/>
          <w:vertAlign w:val="superscript"/>
        </w:rPr>
        <w:t>⁠[⁠1⁠0⁠4⁠–⁠1⁠0⁠6⁠]</w:t>
      </w:r>
      <w:r>
        <w:t xml:space="preserve"> The transferable information is the changed step and its response to another perturbation. Similar cycling improvements across these formulations do not identify a common elementary reaction or an optimum coordination number.</w:t>
      </w:r>
    </w:p>
    <w:p>
      <w:pPr>
        <w:jc w:val="both"/>
      </w:pPr>
      <w:r>
        <w:t>The surrounding liquid supplies additional design variables. A cosolvent can change anion availability without becoming a dominant Mg ligand. Coordination and trace ionisation in amine-containing electrolytes generate active species,</w:t>
      </w:r>
      <w:r>
        <w:rPr>
          <w:sz w:val="16"/>
          <w:vertAlign w:val="superscript"/>
        </w:rPr>
        <w:t>⁠[⁠8⁠4⁠]</w:t>
      </w:r>
      <w:r>
        <w:t xml:space="preserve"> while later activation studies connect species evolution to hydride-containing interfaces.</w:t>
      </w:r>
      <w:r>
        <w:rPr>
          <w:sz w:val="16"/>
          <w:vertAlign w:val="superscript"/>
        </w:rPr>
        <w:t>⁠[⁠9⁠1⁠]</w:t>
      </w:r>
      <w:r>
        <w:t xml:space="preserve"> Selecting one favourable cluster overlooks these reactions and the activities that drive them. Outer-shell interactions belong in a solvation argument when they predict a measurable change in the transfer sequence. Their chemical location and products then distinguish them from direct first-shell binding.</w:t>
      </w:r>
    </w:p>
    <w:p>
      <w:pPr>
        <w:jc w:val="both"/>
      </w:pPr>
      <w:r>
        <w:t>A productive comparison begins with a proposed active arrangement and a chemically plausible control, rather than a search for the largest contact fraction. Measure association and transport, then compare exchange and initial Mg response on matched surfaces. A potential or donor perturbation is especially useful when it predicts a reversal in rate ordering. An intermediate composition with the best CE identifies competing processes; it does not by itself define a universal balance. The value of the mechanism is the reason it gives for that optimum and the condition it predicts beyond it.</w:t>
      </w:r>
    </w:p>
    <w:p>
      <w:pPr>
        <w:jc w:val="both"/>
      </w:pPr>
      <w:r>
        <w:t>Salt mixtures offer a practical perturbation. Magnesium triflate formulations and tetrabutylammonium triflate additives activate otherwise poorly reversible liquids.</w:t>
      </w:r>
      <w:r>
        <w:rPr>
          <w:sz w:val="16"/>
          <w:vertAlign w:val="superscript"/>
        </w:rPr>
        <w:t>⁠[⁠1⁠0⁠7⁠–⁠1⁠0⁠8⁠]</w:t>
      </w:r>
      <w:r>
        <w:t xml:space="preserve"> An added non-Mg salt can vary anion supply at fixed total Mg, but its counter-cation and ionic-strength changes are additional variables. The carrier assignment therefore includes every added ion. This is particularly important with Li-containing mixtures, because another cation can participate at the cathode. A useful comparison varies anion supply while measuring the consequent speciation and testing whether the counter-cation contributes to the observed response.</w:t>
      </w:r>
    </w:p>
    <w:p>
      <w:pPr>
        <w:pStyle w:val="Heading2"/>
      </w:pPr>
      <w:r>
        <w:t>4.2. Preserve a magnesium interface that continues to transfer</w:t>
      </w:r>
    </w:p>
    <w:p>
      <w:pPr>
        <w:jc w:val="both"/>
      </w:pPr>
      <w:r>
        <w:t>Preserving an active Mg surface is a distinct objective. Adsorption, suppressed solvent reduction, removal of blocking compounds and persistent films all provide routes to sustained transfer.</w:t>
      </w:r>
      <w:r>
        <w:rPr>
          <w:sz w:val="16"/>
          <w:vertAlign w:val="superscript"/>
        </w:rPr>
        <w:t>⁠[⁠2⁠0⁠,⁠1⁠0⁠9⁠–⁠1⁠1⁠1⁠]</w:t>
      </w:r>
      <w:r>
        <w:t xml:space="preserve"> Artificial interfaces and component modifiers extend this chemistry.</w:t>
      </w:r>
      <w:r>
        <w:rPr>
          <w:sz w:val="16"/>
          <w:vertAlign w:val="superscript"/>
        </w:rPr>
        <w:t>⁠[⁠1⁠1⁠2⁠–⁠1⁠1⁠3⁠]</w:t>
      </w:r>
      <w:r>
        <w:t xml:space="preserve"> Anion–solvent coordination has also been used to promote a beneficial interphase through a perfluorinated pinacolatoaluminate salt.</w:t>
      </w:r>
      <w:r>
        <w:rPr>
          <w:sz w:val="16"/>
          <w:vertAlign w:val="superscript"/>
        </w:rPr>
        <w:t>⁠[⁠1⁠1⁠4⁠]</w:t>
      </w:r>
      <w:r>
        <w:t xml:space="preserve"> This concerns coordination involving the anion and solvent, rather than proof that the anion accelerates Mg ligand release. Together, these cases motivate controlling the retained surface when testing a proposed liquid-phase contribution.</w:t>
      </w:r>
    </w:p>
    <w:p>
      <w:pPr>
        <w:jc w:val="both"/>
      </w:pPr>
      <w:r>
        <w:t>Conditioning can otherwise be mistaken for a solvation benefit. Controlled H₂O/Cl⁻ experiments establish a surface-passivation contribution to Mg reversibility.</w:t>
      </w:r>
      <w:r>
        <w:rPr>
          <w:sz w:val="16"/>
          <w:vertAlign w:val="superscript"/>
        </w:rPr>
        <w:t>⁠[⁠1⁠1⁠5⁠]</w:t>
      </w:r>
      <w:r>
        <w:t xml:space="preserve"> Separately, operando EQCM-D reveals contaminant-associated layers forming and degrading during conditioning in the studied borate liquids, and chloride accelerating dissolution of passivation layers without applied current in the studied TFSI systems.</w:t>
      </w:r>
      <w:r>
        <w:rPr>
          <w:sz w:val="16"/>
          <w:vertAlign w:val="superscript"/>
        </w:rPr>
        <w:t>⁠[⁠1⁠0⁠2⁠]</w:t>
      </w:r>
      <w:r>
        <w:t xml:space="preserve"> The mass-sensitive method belongs to the latter report. Conditioning-free additives and triphenolate–borohydride salts offer additional activation routes.</w:t>
      </w:r>
      <w:r>
        <w:rPr>
          <w:sz w:val="16"/>
          <w:vertAlign w:val="superscript"/>
        </w:rPr>
        <w:t>⁠[⁠1⁠1⁠6⁠–⁠1⁠1⁠7⁠]</w:t>
      </w:r>
      <w:r>
        <w:t xml:space="preserve"> Sampling the liquid and quantifying activation products connects the mechanism to the composition actually operating after treatment.</w:t>
      </w:r>
    </w:p>
    <w:p>
      <w:pPr>
        <w:jc w:val="both"/>
      </w:pPr>
      <w:r>
        <w:t>A film's composition does not identify its conducting path. Borohydride-derived, gradient and hybrid interphases demonstrate distinct approaches to preserving transfer.</w:t>
      </w:r>
      <w:r>
        <w:rPr>
          <w:sz w:val="16"/>
          <w:vertAlign w:val="superscript"/>
        </w:rPr>
        <w:t>⁠[⁠2⁠0⁠,⁠1⁠1⁠8⁠–⁠1⁠1⁠9⁠]</w:t>
      </w:r>
      <w:r>
        <w:t xml:space="preserve"> A multifunctional diamine also couples an in situ cross-linked gel with an Mg–N-containing interphase for elevated-temperature operation.</w:t>
      </w:r>
      <w:r>
        <w:rPr>
          <w:sz w:val="16"/>
          <w:vertAlign w:val="superscript"/>
        </w:rPr>
        <w:t>⁠[⁠1⁠2⁠0⁠]</w:t>
      </w:r>
      <w:r>
        <w:t xml:space="preserve"> In such mixed films, transport may involve defects, boundaries, other phases or exposed metal. Phase identification, resistance evolution and Mg recovery provide complementary constraints. The distinction is especially important when a hydride or nitride is detected: assigning a bulk conductivity to that phase cannot explain the film without applicable transport evidence.</w:t>
      </w:r>
    </w:p>
    <w:p>
      <w:pPr>
        <w:jc w:val="both"/>
      </w:pPr>
      <w:r>
        <w:t>Deposit morphology introduces another independent contribution. Kinetic surface control, scaffolds, exposed facets, horizontal platelets and orientation-selective additives change nucleation and current distribution.</w:t>
      </w:r>
      <w:r>
        <w:rPr>
          <w:sz w:val="16"/>
          <w:vertAlign w:val="superscript"/>
        </w:rPr>
        <w:t>⁠[⁠1⁠2⁠1⁠–⁠1⁠2⁠5⁠]</w:t>
      </w:r>
      <w:r>
        <w:t xml:space="preserve"> Studies of diffusion-dependent growth and dendrites in glyme electrolytes establish that magnesium metal is not intrinsically immune to rough deposition.</w:t>
      </w:r>
      <w:r>
        <w:rPr>
          <w:sz w:val="16"/>
          <w:vertAlign w:val="superscript"/>
        </w:rPr>
        <w:t>⁠[⁠1⁠2⁠6⁠–⁠1⁠2⁠7⁠]</w:t>
      </w:r>
      <w:r>
        <w:t xml:space="preserve"> Matched capacity, transport and substrate preparation separate these effects from molecular release. A solvation interpretation gains force when it predicts a morphology response after those variables are constrained, rather than attributing a smoother deposit to coordination alone.</w:t>
      </w:r>
    </w:p>
    <w:p>
      <w:pPr>
        <w:jc w:val="both"/>
      </w:pPr>
      <w:r>
        <w:t>Water content, oxygen exposure and salt-batch impurities belong in the mechanism. A water-resistant AlCl₃/MgCl₂/Mg(TFSI)₂ formulation demonstrates tolerance in a particular liquid,</w:t>
      </w:r>
      <w:r>
        <w:rPr>
          <w:sz w:val="16"/>
          <w:vertAlign w:val="superscript"/>
        </w:rPr>
        <w:t>⁠[⁠1⁠2⁠8⁠]</w:t>
      </w:r>
      <w:r>
        <w:t xml:space="preserve"> not a transferable impurity threshold. Donor substitution can change impurity uptake or activation chemistry as well as binding. Measured water with a stated ppm basis, documented handling and halide controls make those alternatives testable. Comparing dry and deliberately dosed liquids on fresh and conditioned Mg then connects changes in spectra, gas and current to the intended perturbation or to impurity-driven surface chemistry.</w:t>
      </w:r>
    </w:p>
    <w:p>
      <w:pPr>
        <w:jc w:val="both"/>
      </w:pPr>
      <w:r>
        <w:t>We recommend beginning with the smallest factorial control: original and modified liquids on fresh and preconditioned Mg, at matched substrate preparation, current, capacity and temperature. This separates a surface-history interaction from a reproducible initial liquid response. Liquid replacement is a further test only if the retained film is shown to persist; a swap that dissolves the film cannot distinguish its contribution from continued molecular assistance. Section 5 expands this same control into a composition series. It is a proposed experimental design, with decision thresholds set by replicate uncertainty rather than an assumed universal rate gain.</w:t>
      </w:r>
    </w:p>
    <w:p>
      <w:pPr>
        <w:pStyle w:val="Heading2"/>
      </w:pPr>
      <w:r>
        <w:t>4.3. Judge anion benefits and costs at the positive electrode</w:t>
      </w:r>
    </w:p>
    <w:p>
      <w:pPr>
        <w:jc w:val="both"/>
      </w:pPr>
      <w:r>
        <w:t>An anion selected for the Mg surface also reaches the positive electrode. Coordination can assist carrier release there, while the same formulation can oxidize, corrode a collector or dissolve active material. Boron-based, non-nucleophilic and fluorinated dialkoxide electrolytes address parts of this compatibility problem.</w:t>
      </w:r>
      <w:r>
        <w:rPr>
          <w:sz w:val="16"/>
          <w:vertAlign w:val="superscript"/>
        </w:rPr>
        <w:t>⁠[⁠1⁠2⁠9⁠–⁠1⁠3⁠3⁠]</w:t>
      </w:r>
      <w:r>
        <w:t xml:space="preserve"> High-voltage phenolic electrolyte design provides another chemically distinct approach.</w:t>
      </w:r>
      <w:r>
        <w:rPr>
          <w:sz w:val="16"/>
          <w:vertAlign w:val="superscript"/>
        </w:rPr>
        <w:t>⁠[⁠1⁠3⁠4⁠]</w:t>
      </w:r>
      <w:r>
        <w:t xml:space="preserve"> The relevant sequence depends on the cathode: interfacial release may precede electron transfer, followed by host diffusion or phase conversion. Consequently, a metal-side improvement is incomplete until its benefit and chemical cost are tested at the intended cathode.</w:t>
      </w:r>
    </w:p>
    <w:p>
      <w:pPr>
        <w:jc w:val="both"/>
      </w:pPr>
      <w:r>
        <w:t>CuSe provides a direct connection between anion contact and cathode response.</w:t>
      </w:r>
      <w:r>
        <w:rPr>
          <w:sz w:val="16"/>
          <w:vertAlign w:val="superscript"/>
        </w:rPr>
        <w:t>⁠[⁠1⁠3⁠5⁠]</w:t>
      </w:r>
      <w:r>
        <w:t xml:space="preserve"> Adding OTf⁻ changes the assigned Mg environment from [Mg(DME)₃]²⁺ to an anion-containing average motif, [Mg(DME)₂.₅OTf]⁺. The authors link easier desolvation to faster cathode charge transfer and report 228 to 357 mAh g⁻¹ at 0.1 A g⁻¹. These capacities are a within-study comparison, not a metal-deposition metric. “Anion-incorporated” describes the Mg solvation environment rather than insertion of OTf⁻ into CuSe. Fractional ligand counts describe an average assignment, not a literal discrete complex. Phase evolution remains necessary to separate the interfacial gain from conversion within the solid.</w:t>
      </w:r>
    </w:p>
    <w:p>
      <w:pPr>
        <w:jc w:val="both"/>
      </w:pPr>
      <w:r>
        <w:t>Organic storage shows why carrier identity also matters after arrival. In a Mg-FPB/quinone battery, ATR-IR supports carbonyl reduction and coordination with Mg²⁺, while incompletely dissociated MgFPB⁺ pairs are also detected.</w:t>
      </w:r>
      <w:r>
        <w:rPr>
          <w:sz w:val="16"/>
          <w:vertAlign w:val="superscript"/>
        </w:rPr>
        <w:t>⁠[⁠1⁠3⁠6⁠]</w:t>
      </w:r>
      <w:r>
        <w:t xml:space="preserve"> Anion association thus changes the species available to a storage site, not only the energy required to release a bare cation. Polymer-storage and enolization studies further demonstrate chemically distinct storage routes.</w:t>
      </w:r>
      <w:r>
        <w:rPr>
          <w:sz w:val="16"/>
          <w:vertAlign w:val="superscript"/>
        </w:rPr>
        <w:t>⁠[⁠1⁠3⁠7⁠–⁠1⁠3⁠8⁠]</w:t>
      </w:r>
      <w:r>
        <w:t xml:space="preserve"> State-of-charge-matched measurements can identify the stored species and locate the remaining host limitation. Capacity alone leaves improved interfacial access, solid-state reaction and participation of another ion unresolved.</w:t>
      </w:r>
    </w:p>
    <w:p>
      <w:pPr>
        <w:jc w:val="both"/>
      </w:pPr>
      <w:r>
        <w:t>Sulfur exposes the cost of stabilising reactive species in solution. Electrolyte–sulfur compatibility was already central to an early Mg–S demonstration.</w:t>
      </w:r>
      <w:r>
        <w:rPr>
          <w:sz w:val="16"/>
          <w:vertAlign w:val="superscript"/>
        </w:rPr>
        <w:t>⁠[⁠1⁠3⁠9⁠]</w:t>
      </w:r>
      <w:r>
        <w:t xml:space="preserve"> More recently, an MOEA-containing Mg(OTf)₂–MgCl₂/DME liquid was tested with Mo₆S₈, CuS and S–CNT cathodes, connecting donor modification to several sulfur-containing storage chemistries.</w:t>
      </w:r>
      <w:r>
        <w:rPr>
          <w:sz w:val="16"/>
          <w:vertAlign w:val="superscript"/>
        </w:rPr>
        <w:t>⁠[⁠8⁠9⁠]</w:t>
      </w:r>
      <w:r>
        <w:t xml:space="preserve"> A liquid that makes soluble intermediates accessible can also enable active-material loss or shuttle to Mg. The design objective is therefore selective conversion with tolerable dissolution, not simply low solubility or a high initial capacity. Dissolved cathode species and electrolyte products require separate balances.</w:t>
      </w:r>
    </w:p>
    <w:p>
      <w:pPr>
        <w:jc w:val="both"/>
      </w:pPr>
      <w:r>
        <w:t>A matched cell comparison links these molecular choices to their consequences. At fixed cathode loading, capacity and state of charge, measure interfacial response together with phase evolution, dissolved active material and electrolyte products. An improved rate at unchanged solid conversion supports an interfacial contribution. Increased dissolution or charge storage by an added cation gives capacity a different origin. In mixed-metal electrolytes, elemental and charge balances identify which ion is recovered from the electrode. Cathode exposure can then be followed by a Mg-transfer test in the same liquid, revealing whether a local benefit survives chemical cross-talk.</w:t>
      </w:r>
    </w:p>
    <w:p>
      <w:pPr>
        <w:jc w:val="both"/>
      </w:pPr>
      <w:r>
        <w:t>Oxidation onset is only an initial screen. Electrode area, scan rate and the current criterion affect the reported value; voltage holds reveal sustained loss and resistance growth at the intended porous cathode.</w:t>
      </w:r>
      <w:r>
        <w:rPr>
          <w:sz w:val="16"/>
          <w:vertAlign w:val="superscript"/>
        </w:rPr>
        <w:t>⁠[⁠1⁠4⁠0⁠–⁠1⁠4⁠1⁠]</w:t>
      </w:r>
      <w:r>
        <w:t xml:space="preserve"> The full-cell comparison also retains metal excess, electrolyte volume, loading and capacity limits. Cathode-specific capacity and long symmetric cycling do not determine whole-cell energy or inventory consumption.</w:t>
      </w:r>
      <w:r>
        <w:rPr>
          <w:sz w:val="16"/>
          <w:vertAlign w:val="superscript"/>
        </w:rPr>
        <w:t>⁠[⁠6⁠,⁠2⁠5⁠]</w:t>
      </w:r>
      <w:r>
        <w:t xml:space="preserve"> We favour electrolyte designs whose molecular advantage remains useful at both electrodes after conditioning and cathode exposure, with the material cost visible in the same experiment.</w:t>
      </w:r>
    </w:p>
    <w:p>
      <w:pPr>
        <w:sectPr>
          <w:headerReference w:type="default" r:id="rId48"/>
          <w:footerReference w:type="default" r:id="rId49"/>
          <w:type w:val="continuous"/>
          <w:pgSz w:w="11906" w:h="16838"/>
          <w:pgMar w:top="1077" w:right="1020" w:bottom="1020" w:left="1020" w:header="567" w:footer="510" w:gutter="0"/>
          <w:cols w:space="360" w:num="2"/>
          <w:docGrid w:linePitch="360"/>
        </w:sectPr>
      </w:pPr>
    </w:p>
    <w:p>
      <w:pPr>
        <w:pStyle w:val="Heading1"/>
      </w:pPr>
      <w:r>
        <w:t>5. A Research Route from Mechanism to Prediction</w:t>
      </w:r>
    </w:p>
    <w:p>
      <w:pPr>
        <w:keepNext/>
        <w:spacing w:after="60"/>
        <w:jc w:val="center"/>
      </w:pPr>
      <w:r>
        <w:drawing>
          <wp:inline xmlns:a="http://schemas.openxmlformats.org/drawingml/2006/main" xmlns:pic="http://schemas.openxmlformats.org/drawingml/2006/picture">
            <wp:extent cx="5328000" cy="2664000"/>
            <wp:docPr id="4" name="Picture 4" descr="Figure 4. Original conceptual schematic for magnesium electrolyte design."/>
            <wp:cNvGraphicFramePr>
              <a:graphicFrameLocks noChangeAspect="1"/>
            </wp:cNvGraphicFramePr>
            <a:graphic>
              <a:graphicData uri="http://schemas.openxmlformats.org/drawingml/2006/picture">
                <pic:pic>
                  <pic:nvPicPr>
                    <pic:cNvPr id="0" name="Figure_4.png"/>
                    <pic:cNvPicPr/>
                  </pic:nvPicPr>
                  <pic:blipFill>
                    <a:blip r:embed="rId25"/>
                    <a:stretch>
                      <a:fillRect/>
                    </a:stretch>
                  </pic:blipFill>
                  <pic:spPr>
                    <a:xfrm>
                      <a:off x="0" y="0"/>
                      <a:ext cx="5328000" cy="2664000"/>
                    </a:xfrm>
                    <a:prstGeom prst="rect"/>
                  </pic:spPr>
                </pic:pic>
              </a:graphicData>
            </a:graphic>
          </wp:inline>
        </w:drawing>
      </w:r>
    </w:p>
    <w:p>
      <w:pPr>
        <w:pStyle w:val="Caption"/>
      </w:pPr>
      <w:r>
        <w:rPr>
          <w:b w:val="0"/>
        </w:rPr>
        <w:t>Figure 4. A proposed route from coupled chemistry to a testable mechanism. a) Mg–solvent–anion interactions affect accessible transfer, the Mg interface and cathode compatibility; the icons are schematic. b) Carrier assignment precedes separation of liquid and surface effects, followed by a prediction in another chemical family and testing of one liquid at both electrodes. The feedback loop revises the pathway after a failed prediction. Limited metal and electrolyte inventories reveal the cost of maintaining transfer.</w:t>
      </w:r>
    </w:p>
    <w:p>
      <w:pPr>
        <w:sectPr>
          <w:headerReference w:type="default" r:id="rId50"/>
          <w:footerReference w:type="default" r:id="rId51"/>
          <w:type w:val="continuous"/>
          <w:pgSz w:w="11906" w:h="16838"/>
          <w:pgMar w:top="1077" w:right="1020" w:bottom="1020" w:left="1020" w:header="567" w:footer="510" w:gutter="0"/>
          <w:cols w:space="360" w:num="1"/>
          <w:docGrid w:linePitch="360"/>
        </w:sectPr>
      </w:pPr>
    </w:p>
    <w:p>
      <w:pPr>
        <w:pStyle w:val="Heading2"/>
      </w:pPr>
      <w:r>
        <w:t>5.1. Train models on a defined chemical question</w:t>
      </w:r>
    </w:p>
    <w:p>
      <w:pPr>
        <w:jc w:val="both"/>
      </w:pPr>
      <w:r>
        <w:t>A magnesium-specific model begins with a defined chemical response. Contact fractions, residence times, donor denticity, carrier charge and the barrier from an occupied state can constrain that response. Here carrier charge means formal integer complex charge, distinct from a computed Mg partial charge. Dynamic-solvation and competing-interaction studies motivate screening with molecular descriptors.</w:t>
      </w:r>
      <w:r>
        <w:rPr>
          <w:sz w:val="16"/>
          <w:vertAlign w:val="superscript"/>
        </w:rPr>
        <w:t>⁠[⁠2⁠5⁠,⁠3⁠8⁠]</w:t>
      </w:r>
      <w:r>
        <w:t xml:space="preserve"> A useful first target is the ordering of Mg-specific rates in a matched series, with CE and side-product yield treated separately. This avoids asking a release descriptor to explain gains that originate primarily in conductivity or conditioning.</w:t>
      </w:r>
    </w:p>
    <w:p>
      <w:pPr>
        <w:jc w:val="both"/>
      </w:pPr>
      <w:r>
        <w:t>Each record preserves composition, temperature, measured water, handling, substrate, conditioning and reagent batch. Spectra retain assignment uncertainty; exchange times retain their definition; electrochemical records retain current, deposited capacity, stripping limit, CE statistic and sampling window. Fresh and conditioned measurements remain distinct. Table 1 is an evidence comparison, not a protocol-normalised training set. Missing fields stay missing. In particular, an unspecified CE statistic cannot become an average or an end-cycle value, and full-cell efficiency cannot replace metal plating/stripping efficiency simply because both are percentages.</w:t>
      </w:r>
    </w:p>
    <w:p>
      <w:pPr>
        <w:jc w:val="both"/>
      </w:pPr>
      <w:r>
        <w:t>Chemical similarity creates an especially misleading form of model success. Randomly separating points from one concentration series, salt family or conditioned electrode tests interpolation within shared chemistry. Family and batch holdouts test whether the learned response survives a genuine change. Preprocessing is fitted only to training data, and composition-only and conductivity baselines reveal how much the molecular descriptor adds. Uncertainty increases outside the training range. Selective publication of successful liquids and missing negative results remain biases even when every retained DOI and numerical value is correct.</w:t>
      </w:r>
    </w:p>
    <w:p>
      <w:pPr>
        <w:jc w:val="both"/>
      </w:pPr>
      <w:r>
        <w:t>A feasible pilot extends the surface control in Section 4.2 to three donor ratios and three anion-supply levels within a verified single-phase region. A chemically compatible non-Mg salt, such as a tetrabutylammonium salt where applicable,</w:t>
      </w:r>
      <w:r>
        <w:rPr>
          <w:sz w:val="16"/>
          <w:vertAlign w:val="superscript"/>
        </w:rPr>
        <w:t>⁠[⁠1⁠0⁠8⁠]</w:t>
      </w:r>
      <w:r>
        <w:t xml:space="preserve"> varies anion supply while holding total Mg fixed. Counter-cation controls and measured ionic strength are essential; substituting Mg salts is an alternative only if composition and charge balance are explicitly preserved. Nine liquids, each on fresh and preconditioned surfaces, separate coordination from surface-history effects. Replicates define the resolvable rate difference, while conductivity and viscosity remain measured covariates. This is a proposed design, not a reported dataset.</w:t>
      </w:r>
    </w:p>
    <w:p>
      <w:pPr>
        <w:pStyle w:val="Heading2"/>
      </w:pPr>
      <w:r>
        <w:t>5.2. Keep the reaction states explicit across scales</w:t>
      </w:r>
    </w:p>
    <w:p>
      <w:pPr>
        <w:jc w:val="both"/>
      </w:pPr>
      <w:r>
        <w:t>Magnesium imposes three chemical requirements on multiscale modelling. First, bulk sampling needs an adequate treatment of divalent polarisation and association, checked against measured coordination and transport. Machine-learning potentials extend the accessible sampling,</w:t>
      </w:r>
      <w:r>
        <w:rPr>
          <w:sz w:val="16"/>
          <w:vertAlign w:val="superscript"/>
        </w:rPr>
        <w:t>⁠[⁠1⁠4⁠2⁠]</w:t>
      </w:r>
      <w:r>
        <w:t xml:space="preserve"> including Mg chloride–amine systems,</w:t>
      </w:r>
      <w:r>
        <w:rPr>
          <w:sz w:val="16"/>
          <w:vertAlign w:val="superscript"/>
        </w:rPr>
        <w:t>⁠[⁠1⁠4⁠3⁠]</w:t>
      </w:r>
      <w:r>
        <w:t xml:space="preserve"> but their fitted domain sets the limit. Second, reactive models need configurations that cover ligand rearrangement, bond cleavage and relevant decomposition. Third, electrode reactions need an electronic treatment appropriate to changing charge and potential. Accurate bulk dynamics alone cannot supply any of these missing reaction states.</w:t>
      </w:r>
    </w:p>
    <w:p>
      <w:pPr>
        <w:jc w:val="both"/>
      </w:pPr>
      <w:r>
        <w:t>A reaction network links solvated carriers, adsorbed precursors, rearranged intermediates, metal and products.</w:t>
      </w:r>
      <w:r>
        <w:rPr>
          <w:sz w:val="16"/>
          <w:vertAlign w:val="superscript"/>
        </w:rPr>
        <w:t>⁠[⁠3⁠1⁠,⁠9⁠5⁠]</w:t>
      </w:r>
      <w:r>
        <w:t xml:space="preserve"> Charge and chemical inventory are conserved at each transition. A positively charged complex can transport a bound anion towards a negative electrode, so the electrostatics of a free anion do not exclude that route. The model then specifies whether the anion leaves, remains during rearrangement or reacts. Fast exchange gives the limit in Section 2.3; slow exchange or evolving coverage requires time-dependent populations. Predicted products and potential dependence provide independent tests beyond a fitted cycling efficiency.</w:t>
      </w:r>
    </w:p>
    <w:p>
      <w:pPr>
        <w:jc w:val="both"/>
      </w:pPr>
      <w:r>
        <w:t>The next learning experiment is chosen where alternative mechanisms predict different outcomes. For example, ligand-release assistance and retained surface activation may give distinct responses to donor substitution after conditioning. The model predicts exchange and Mg-rate ordering, then a potential or temperature that changes the ordering. Closed-loop battery optimisation demonstrates the value of selecting informative experiments,</w:t>
      </w:r>
      <w:r>
        <w:rPr>
          <w:sz w:val="16"/>
          <w:vertAlign w:val="superscript"/>
        </w:rPr>
        <w:t>⁠[⁠1⁠4⁠4⁠]</w:t>
      </w:r>
      <w:r>
        <w:t xml:space="preserve"> although it does not validate such a Mg mechanism. For this task, selecting only the highest predicted CE would hide the distinction. Failed predictions and negative formulations remain part of the evidence used to revise the pathway.</w:t>
      </w:r>
    </w:p>
    <w:p>
      <w:pPr>
        <w:pStyle w:val="Heading2"/>
      </w:pPr>
      <w:r>
        <w:t>5.3. A research sequence for testing transferable pathways</w:t>
      </w:r>
    </w:p>
    <w:p>
      <w:pPr>
        <w:jc w:val="both"/>
      </w:pPr>
      <w:r>
        <w:t>The immediate priority is a small series that separates reactive-carrier supply, ligand departure and suppressed losses. Connected population, exchange, Mg-recovery and product measurements establish that separation, with surface and impurity controls chosen for the alternatives under consideration. The useful result identifies a chemical variable whose next perturbation has a predictable consequence. This gives a manageable entry point for mechanistic studies: compatible measurements of the decisive quantities, rather than every available technique applied to a single successful liquid. A larger library becomes valuable after the response being learned is chemically defined.</w:t>
      </w:r>
    </w:p>
    <w:p>
      <w:pPr>
        <w:jc w:val="both"/>
      </w:pPr>
      <w:r>
        <w:t>The next stage tests that prediction outside the discovery family before optimising the new composition. The molecular variable and rate retain the same definition, and uncertainty includes unmeasured surface states. Success extends the design rule; failure identifies a new limiting process. Finally, one liquid is tested at both electrodes with known inventories, after conditioning and cathode exposure. These stages connect a local explanation to an operating range and a measurable material cost. They also make a negative result informative: it marks the boundary of a pathway rather than simply another electrolyte that failed to cycle.</w:t>
      </w:r>
    </w:p>
    <w:p>
      <w:pPr>
        <w:jc w:val="both"/>
      </w:pPr>
      <w:r>
        <w:t>This reasoning connects Mg electrolyte design to solution electron transfer, where reorganization influences reactivity beyond reactant stability.</w:t>
      </w:r>
      <w:r>
        <w:rPr>
          <w:sz w:val="16"/>
          <w:vertAlign w:val="superscript"/>
        </w:rPr>
        <w:t>⁠[⁠1⁠0⁠0⁠]</w:t>
      </w:r>
      <w:r>
        <w:t xml:space="preserve"> Calcium presents a related metal-transfer problem but requires its own interphase and exchange tests.</w:t>
      </w:r>
      <w:r>
        <w:rPr>
          <w:sz w:val="16"/>
          <w:vertAlign w:val="superscript"/>
        </w:rPr>
        <w:t>⁠[⁠6⁠,⁠1⁠4⁠5⁠]</w:t>
      </w:r>
      <w:r>
        <w:t xml:space="preserve"> Aluminium batteries can employ chloroaluminate carriers instead of ether-solvated Al³⁺, changing the relevant charge and reaction stoichiometry.</w:t>
      </w:r>
      <w:r>
        <w:rPr>
          <w:sz w:val="16"/>
          <w:vertAlign w:val="superscript"/>
        </w:rPr>
        <w:t>⁠[⁠1⁠4⁠6⁠]</w:t>
      </w:r>
      <w:r>
        <w:t xml:space="preserve"> The shared design question is how a populated carrier reaches a useful product and what chemistry accompanies that transfer. Binding-energy thresholds and optimum shell compositions are not expected to carry unchanged between these systems.</w:t>
      </w:r>
    </w:p>
    <w:p>
      <w:pPr>
        <w:pStyle w:val="Heading1"/>
      </w:pPr>
      <w:r>
        <w:t>6. Conclusions and Outlook</w:t>
      </w:r>
    </w:p>
    <w:p>
      <w:pPr>
        <w:pStyle w:val="Heading2"/>
      </w:pPr>
      <w:r>
        <w:t>6.1. Choose an anion for the transfer reaction it enables</w:t>
      </w:r>
    </w:p>
    <w:p>
      <w:pPr>
        <w:jc w:val="both"/>
      </w:pPr>
      <w:r>
        <w:t>An anion gains value through the reaction it enables. Its contact with Mg can alter donor attachment, permit a rearrangement or suppress unwanted reduction; persistent contact can instead obstruct transfer. Weak pairing and useful anion-containing shells are therefore compatible design strategies when they remove different limitations.</w:t>
      </w:r>
      <w:r>
        <w:rPr>
          <w:sz w:val="16"/>
          <w:vertAlign w:val="superscript"/>
        </w:rPr>
        <w:t>⁠[⁠2⁠4⁠–⁠2⁠5⁠,⁠8⁠0⁠]</w:t>
      </w:r>
      <w:r>
        <w:t xml:space="preserve"> The mechanistic advance lies in connecting a coordination change to selective transfer from the occupied carrier. Establishing whether the anion returns, reacts or accumulates then gives that benefit a duration and an inventory cost.</w:t>
      </w:r>
    </w:p>
    <w:p>
      <w:pPr>
        <w:pStyle w:val="Heading2"/>
      </w:pPr>
      <w:r>
        <w:t>6.2. Make the next experiment distinguish the mechanism</w:t>
      </w:r>
    </w:p>
    <w:p>
      <w:pPr>
        <w:jc w:val="both"/>
      </w:pPr>
      <w:r>
        <w:t>The most useful next experiment distinguishes molecular release from carrier redistribution and retained surface activation. Connected measurements of exchange, Mg transfer and products make that distinction, with conditioning and impurities treated as chemical variables. The proposed pathway earns predictive status by anticipating a donor, anion or potential perturbation before it is measured. A failed prediction identifies its boundary. Data-driven screening serves this purpose when it tests chemical-family transfer and selects measurements that resolve an alternative mechanism, rather than only reproducing the largest published efficiency.</w:t>
      </w:r>
    </w:p>
    <w:p>
      <w:pPr>
        <w:pStyle w:val="Heading2"/>
      </w:pPr>
      <w:r>
        <w:t>6.3. Engineer pathways that remain useful in a cell</w:t>
      </w:r>
    </w:p>
    <w:p>
      <w:pPr>
        <w:jc w:val="both"/>
      </w:pPr>
      <w:r>
        <w:t>The decisive test keeps the same electrolyte useful at both electrodes with limited metal and liquid inventories.</w:t>
      </w:r>
      <w:r>
        <w:rPr>
          <w:sz w:val="16"/>
          <w:vertAlign w:val="superscript"/>
        </w:rPr>
        <w:t>⁠[⁠6⁠,⁠1⁠4⁠7⁠]</w:t>
      </w:r>
      <w:r>
        <w:t xml:space="preserve"> A molecular advantage has to survive cathode exposure, surface evolution and repeated transfer without excessive material loss. Connecting the populated carrier to its productive reaction and chemical fate gives solvation a predictive role in choosing that chemistry. Future magnesium electrolyte discovery should move from searching for a favourable solvation structure towards engineering transferable reaction pathways.</w:t>
      </w:r>
    </w:p>
    <w:p>
      <w:pPr>
        <w:pStyle w:val="Heading1"/>
      </w:pPr>
      <w:r>
        <w:t>References</w:t>
      </w:r>
    </w:p>
    <w:p>
      <w:pPr>
        <w:keepLines/>
        <w:spacing w:after="60" w:line="240" w:lineRule="auto"/>
        <w:ind w:left="283" w:hanging="283"/>
      </w:pPr>
      <w:r>
        <w:rPr>
          <w:rFonts w:ascii="Liberation Serif" w:hAnsi="Liberation Serif"/>
          <w:sz w:val="17"/>
        </w:rPr>
        <w:t>[1] D. Aurbach, Z. Lu, A. Schechter, Y. Gofer, H. Gizbar, R. Turgeman, Y. Cohen, M. Moshkovich, E. Levi, Nature 2000, 407, 724–727. https://doi.org/10.1038/35037553</w:t>
      </w:r>
    </w:p>
    <w:p>
      <w:pPr>
        <w:keepLines/>
        <w:spacing w:after="60" w:line="240" w:lineRule="auto"/>
        <w:ind w:left="283" w:hanging="283"/>
      </w:pPr>
      <w:r>
        <w:rPr>
          <w:rFonts w:ascii="Liberation Serif" w:hAnsi="Liberation Serif"/>
          <w:sz w:val="17"/>
        </w:rPr>
        <w:t>[2] D. Aurbach, H. Gizbar, A. Schechter, O. Chusid, H. E. Gottlieb, Y. Gofer, I. Goldberg, J. Electrochem. Soc. 2002, 149, A115–A121. https://doi.org/10.1149/1.1429925</w:t>
      </w:r>
    </w:p>
    <w:p>
      <w:pPr>
        <w:keepLines/>
        <w:spacing w:after="60" w:line="240" w:lineRule="auto"/>
        <w:ind w:left="283" w:hanging="283"/>
      </w:pPr>
      <w:r>
        <w:rPr>
          <w:rFonts w:ascii="Liberation Serif" w:hAnsi="Liberation Serif"/>
          <w:sz w:val="17"/>
        </w:rPr>
        <w:t>[3] T. D. Gregory, R. J. Hoffman, R. C. Winterton, J. Electrochem. Soc. 1990, 137, 775–780. https://doi.org/10.1149/1.2086553</w:t>
      </w:r>
    </w:p>
    <w:p>
      <w:pPr>
        <w:keepLines/>
        <w:spacing w:after="60" w:line="240" w:lineRule="auto"/>
        <w:ind w:left="283" w:hanging="283"/>
      </w:pPr>
      <w:r>
        <w:rPr>
          <w:rFonts w:ascii="Liberation Serif" w:hAnsi="Liberation Serif"/>
          <w:sz w:val="17"/>
        </w:rPr>
        <w:t>[4] N. Amir, Y. Vestfrid, O. Chusid, Y. Gofer, D. Aurbach, J. Power Sources 2007, 174, 1234–1240. https://doi.org/10.1016/j.jpowsour.2007.06.206</w:t>
      </w:r>
    </w:p>
    <w:p>
      <w:pPr>
        <w:keepLines/>
        <w:spacing w:after="60" w:line="240" w:lineRule="auto"/>
        <w:ind w:left="283" w:hanging="283"/>
      </w:pPr>
      <w:r>
        <w:rPr>
          <w:rFonts w:ascii="Liberation Serif" w:hAnsi="Liberation Serif"/>
          <w:sz w:val="17"/>
        </w:rPr>
        <w:t>[5] Z. Lu, A. Schechter, M. Moshkovich, D. Aurbach, J. Electroanal. Chem. 1999, 466, 203–217. https://doi.org/10.1016/s0022-0728(99)00146-1</w:t>
      </w:r>
    </w:p>
    <w:p>
      <w:pPr>
        <w:keepLines/>
        <w:spacing w:after="60" w:line="240" w:lineRule="auto"/>
        <w:ind w:left="283" w:hanging="283"/>
      </w:pPr>
      <w:r>
        <w:rPr>
          <w:rFonts w:ascii="Liberation Serif" w:hAnsi="Liberation Serif"/>
          <w:sz w:val="17"/>
        </w:rPr>
        <w:t>[6] Y. Liang, H. Dong, D. Aurbach, Y. Yao, Nat. Energy 2020, 5, 646–656. https://doi.org/10.1038/s41560-020-0655-0</w:t>
      </w:r>
    </w:p>
    <w:p>
      <w:pPr>
        <w:keepLines/>
        <w:spacing w:after="60" w:line="240" w:lineRule="auto"/>
        <w:ind w:left="283" w:hanging="283"/>
      </w:pPr>
      <w:r>
        <w:rPr>
          <w:rFonts w:ascii="Liberation Serif" w:hAnsi="Liberation Serif"/>
          <w:sz w:val="17"/>
        </w:rPr>
        <w:t>[7] G. Wang, Z. Wang, H. Shi, A. Du, M. Sun, G. Cui, Sci. China Chem. 2024, 67, 214–246. https://doi.org/10.1007/s11426-022-1454-0</w:t>
      </w:r>
    </w:p>
    <w:p>
      <w:pPr>
        <w:keepLines/>
        <w:spacing w:after="60" w:line="240" w:lineRule="auto"/>
        <w:ind w:left="283" w:hanging="283"/>
      </w:pPr>
      <w:r>
        <w:rPr>
          <w:rFonts w:ascii="Liberation Serif" w:hAnsi="Liberation Serif"/>
          <w:sz w:val="17"/>
        </w:rPr>
        <w:t>[8] Y. Man, P. Jaumaux, Y. Xu, Y. Fei, X. Mo, G. Wang, X. Zhou, Sci. Bull. 2023, 68, 1819–1842. https://doi.org/10.1016/j.scib.2023.07.027</w:t>
      </w:r>
    </w:p>
    <w:p>
      <w:pPr>
        <w:keepLines/>
        <w:spacing w:after="60" w:line="240" w:lineRule="auto"/>
        <w:ind w:left="283" w:hanging="283"/>
      </w:pPr>
      <w:r>
        <w:rPr>
          <w:rFonts w:ascii="Liberation Serif" w:hAnsi="Liberation Serif"/>
          <w:sz w:val="17"/>
        </w:rPr>
        <w:t>[9] J. Zhang, Z. Chang, Z. Zhang, A. Du, S. Dong, Z. Li, G. Li, G. Cui, ACS Nano 2021, 15, 15594–15624. https://doi.org/10.1021/acsnano.1c06530</w:t>
      </w:r>
    </w:p>
    <w:p>
      <w:pPr>
        <w:keepLines/>
        <w:spacing w:after="60" w:line="240" w:lineRule="auto"/>
        <w:ind w:left="283" w:hanging="283"/>
      </w:pPr>
      <w:r>
        <w:rPr>
          <w:rFonts w:ascii="Liberation Serif" w:hAnsi="Liberation Serif"/>
          <w:sz w:val="17"/>
        </w:rPr>
        <w:t>[10] K. Xu, Chem. Rev. 2004, 104, 4303–4418. https://doi.org/10.1021/cr030203g</w:t>
      </w:r>
    </w:p>
    <w:p>
      <w:pPr>
        <w:keepLines/>
        <w:spacing w:after="60" w:line="240" w:lineRule="auto"/>
        <w:ind w:left="283" w:hanging="283"/>
      </w:pPr>
      <w:r>
        <w:rPr>
          <w:rFonts w:ascii="Liberation Serif" w:hAnsi="Liberation Serif"/>
          <w:sz w:val="17"/>
        </w:rPr>
        <w:t>[11] K. Xu, Chem. Rev. 2014, 114, 11503–11618. https://doi.org/10.1021/cr500003w</w:t>
      </w:r>
    </w:p>
    <w:p>
      <w:pPr>
        <w:keepLines/>
        <w:spacing w:after="60" w:line="240" w:lineRule="auto"/>
        <w:ind w:left="283" w:hanging="283"/>
      </w:pPr>
      <w:r>
        <w:rPr>
          <w:rFonts w:ascii="Liberation Serif" w:hAnsi="Liberation Serif"/>
          <w:sz w:val="17"/>
        </w:rPr>
        <w:t>[12] K. Xu, Y. Lam, S. S. Zhang, T. R. Jow, T. B. Curtis, J. Phys. Chem. C 2007, 111, 7411–7421. https://doi.org/10.1021/jp068691u</w:t>
      </w:r>
    </w:p>
    <w:p>
      <w:pPr>
        <w:keepLines/>
        <w:spacing w:after="60" w:line="240" w:lineRule="auto"/>
        <w:ind w:left="283" w:hanging="283"/>
      </w:pPr>
      <w:r>
        <w:rPr>
          <w:rFonts w:ascii="Liberation Serif" w:hAnsi="Liberation Serif"/>
          <w:sz w:val="17"/>
        </w:rPr>
        <w:t>[13] L. Suo, Y.-S. Hu, H. Li, M. Armand, L. Chen, Nat. Commun. 2013, 4, 1481. https://doi.org/10.1038/ncomms2513</w:t>
      </w:r>
    </w:p>
    <w:p>
      <w:pPr>
        <w:keepLines/>
        <w:spacing w:after="60" w:line="240" w:lineRule="auto"/>
        <w:ind w:left="283" w:hanging="283"/>
      </w:pPr>
      <w:r>
        <w:rPr>
          <w:rFonts w:ascii="Liberation Serif" w:hAnsi="Liberation Serif"/>
          <w:sz w:val="17"/>
        </w:rPr>
        <w:t>[14] Y. Yamada, K. Furukawa, K. Sodeyama, K. Kikuchi, M. Yaegashi, Y. Tateyama, A. Yamada, J. Am. Chem. Soc. 2014, 136, 5039–5046. https://doi.org/10.1021/ja412807w</w:t>
      </w:r>
    </w:p>
    <w:p>
      <w:pPr>
        <w:keepLines/>
        <w:spacing w:after="60" w:line="240" w:lineRule="auto"/>
        <w:ind w:left="283" w:hanging="283"/>
      </w:pPr>
      <w:r>
        <w:rPr>
          <w:rFonts w:ascii="Liberation Serif" w:hAnsi="Liberation Serif"/>
          <w:sz w:val="17"/>
        </w:rPr>
        <w:t>[15] Y. Yamada, J. Wang, S. Ko, E. Watanabe, A. Yamada, Nat. Energy 2019, 4, 269–280. https://doi.org/10.1038/s41560-019-0336-z</w:t>
      </w:r>
    </w:p>
    <w:p>
      <w:pPr>
        <w:keepLines/>
        <w:spacing w:after="60" w:line="240" w:lineRule="auto"/>
        <w:ind w:left="283" w:hanging="283"/>
      </w:pPr>
      <w:r>
        <w:rPr>
          <w:rFonts w:ascii="Liberation Serif" w:hAnsi="Liberation Serif"/>
          <w:sz w:val="17"/>
        </w:rPr>
        <w:t>[16] E. Peled, J. Electrochem. Soc. 1979, 126, 2047–2051. https://doi.org/10.1149/1.2128859</w:t>
      </w:r>
    </w:p>
    <w:p>
      <w:pPr>
        <w:keepLines/>
        <w:spacing w:after="60" w:line="240" w:lineRule="auto"/>
        <w:ind w:left="283" w:hanging="283"/>
      </w:pPr>
      <w:r>
        <w:rPr>
          <w:rFonts w:ascii="Liberation Serif" w:hAnsi="Liberation Serif"/>
          <w:sz w:val="17"/>
        </w:rPr>
        <w:t>[17] E. Peled, S. Menkin, J. Electrochem. Soc. 2017, 164, A1703–A1719. https://doi.org/10.1149/2.1441707jes</w:t>
      </w:r>
    </w:p>
    <w:p>
      <w:pPr>
        <w:keepLines/>
        <w:spacing w:after="60" w:line="240" w:lineRule="auto"/>
        <w:ind w:left="283" w:hanging="283"/>
      </w:pPr>
      <w:r>
        <w:rPr>
          <w:rFonts w:ascii="Liberation Serif" w:hAnsi="Liberation Serif"/>
          <w:sz w:val="17"/>
        </w:rPr>
        <w:t>[18] R. Mohtadi, O. Tutusaus, T. S. Arthur, Z. Zhao-Karger, M. Fichtner, Joule 2021, 5, 581–617. https://doi.org/10.1016/j.joule.2020.12.021</w:t>
      </w:r>
    </w:p>
    <w:p>
      <w:pPr>
        <w:keepLines/>
        <w:spacing w:after="60" w:line="240" w:lineRule="auto"/>
        <w:ind w:left="283" w:hanging="283"/>
      </w:pPr>
      <w:r>
        <w:rPr>
          <w:rFonts w:ascii="Liberation Serif" w:hAnsi="Liberation Serif"/>
          <w:sz w:val="17"/>
        </w:rPr>
        <w:t>[19] J. Zhang, J. Liu, M. Wang, Z. Zhang, Z. Zhou, X. Chen, A. Du, S. Dong, Z. Li, G. Li, G. Cui, Energy Environ. Sci. 2023, 16, 1111–1124. https://doi.org/10.1039/d2ee03270h</w:t>
      </w:r>
    </w:p>
    <w:p>
      <w:pPr>
        <w:keepLines/>
        <w:spacing w:after="60" w:line="240" w:lineRule="auto"/>
        <w:ind w:left="283" w:hanging="283"/>
      </w:pPr>
      <w:r>
        <w:rPr>
          <w:rFonts w:ascii="Liberation Serif" w:hAnsi="Liberation Serif"/>
          <w:sz w:val="17"/>
        </w:rPr>
        <w:t>[20] J. Xiao, X. Zhang, H. Fan, Y. Zhao, Y. Su, H. Liu, X. Li, Y. Su, H. Yuan, T. Pan, Q. Lin, L. Pan, Y. Zhang, Adv. Mater. 2022, 34, 2203783. https://doi.org/10.1002/adma.202203783</w:t>
      </w:r>
    </w:p>
    <w:p>
      <w:pPr>
        <w:keepLines/>
        <w:spacing w:after="60" w:line="240" w:lineRule="auto"/>
        <w:ind w:left="283" w:hanging="283"/>
      </w:pPr>
      <w:r>
        <w:rPr>
          <w:rFonts w:ascii="Liberation Serif" w:hAnsi="Liberation Serif"/>
          <w:sz w:val="17"/>
        </w:rPr>
        <w:t>[21] Z. Wang, R. Deng, Y. Wang, F. Pan, Molecules 2024, 29, 4761. https://doi.org/10.3390/molecules29194761</w:t>
      </w:r>
    </w:p>
    <w:p>
      <w:pPr>
        <w:keepLines/>
        <w:spacing w:after="60" w:line="240" w:lineRule="auto"/>
        <w:ind w:left="283" w:hanging="283"/>
      </w:pPr>
      <w:r>
        <w:rPr>
          <w:rFonts w:ascii="Liberation Serif" w:hAnsi="Liberation Serif"/>
          <w:sz w:val="17"/>
        </w:rPr>
        <w:t>[22] H. Zhang, L. Qiao, M. Armand, Angew. Chem., Int. Ed. 2022, 61, e202214054. https://doi.org/10.1002/anie.202214054</w:t>
      </w:r>
    </w:p>
    <w:p>
      <w:pPr>
        <w:keepLines/>
        <w:spacing w:after="60" w:line="240" w:lineRule="auto"/>
        <w:ind w:left="283" w:hanging="283"/>
      </w:pPr>
      <w:r>
        <w:rPr>
          <w:rFonts w:ascii="Liberation Serif" w:hAnsi="Liberation Serif"/>
          <w:sz w:val="17"/>
        </w:rPr>
        <w:t>[23] N. N. Rajput, X. Qu, N. Sa, A. K. Burrell, K. A. Persson, J. Am. Chem. Soc. 2015, 137, 3411–3420. https://doi.org/10.1021/jacs.5b01004</w:t>
      </w:r>
    </w:p>
    <w:p>
      <w:pPr>
        <w:keepLines/>
        <w:spacing w:after="60" w:line="240" w:lineRule="auto"/>
        <w:ind w:left="283" w:hanging="283"/>
      </w:pPr>
      <w:r>
        <w:rPr>
          <w:rFonts w:ascii="Liberation Serif" w:hAnsi="Liberation Serif"/>
          <w:sz w:val="17"/>
        </w:rPr>
        <w:t>[24] C. Li, R. D. Guha, A. Shyamsunder, K. A. Persson, L. F. Nazar, Energy Environ. Sci. 2024, 17, 190–201. https://doi.org/10.1039/d3ee02861e</w:t>
      </w:r>
    </w:p>
    <w:p>
      <w:pPr>
        <w:keepLines/>
        <w:spacing w:after="60" w:line="240" w:lineRule="auto"/>
        <w:ind w:left="283" w:hanging="283"/>
      </w:pPr>
      <w:r>
        <w:rPr>
          <w:rFonts w:ascii="Liberation Serif" w:hAnsi="Liberation Serif"/>
          <w:sz w:val="17"/>
        </w:rPr>
        <w:t>[25] M. Zhang, R. Li, W. Zhao, R. Li, Z. Fan, X. Yang, Angew. Chem., Int. Ed. 2026, 65, e2598559. https://doi.org/10.1002/anie.2598559</w:t>
      </w:r>
    </w:p>
    <w:p>
      <w:pPr>
        <w:keepLines/>
        <w:spacing w:after="60" w:line="240" w:lineRule="auto"/>
        <w:ind w:left="283" w:hanging="283"/>
      </w:pPr>
      <w:r>
        <w:rPr>
          <w:rFonts w:ascii="Liberation Serif" w:hAnsi="Liberation Serif"/>
          <w:sz w:val="17"/>
        </w:rPr>
        <w:t>[26] P. Saha, M. K. Datta, O. I. Velikokhatnyi, A. Manivannan, D. Alman, P. N. Kumta, Prog. Mater. Sci. 2014, 66, 1–86. https://doi.org/10.1016/j.pmatsci.2014.04.001</w:t>
      </w:r>
    </w:p>
    <w:p>
      <w:pPr>
        <w:keepLines/>
        <w:spacing w:after="60" w:line="240" w:lineRule="auto"/>
        <w:ind w:left="283" w:hanging="283"/>
      </w:pPr>
      <w:r>
        <w:rPr>
          <w:rFonts w:ascii="Liberation Serif" w:hAnsi="Liberation Serif"/>
          <w:sz w:val="17"/>
        </w:rPr>
        <w:t>[27] H. Shuai, J. Xu, K. Huang, Coord. Chem. Rev. 2020, 422, 213478. https://doi.org/10.1016/j.ccr.2020.213478</w:t>
      </w:r>
    </w:p>
    <w:p>
      <w:pPr>
        <w:keepLines/>
        <w:spacing w:after="60" w:line="240" w:lineRule="auto"/>
        <w:ind w:left="283" w:hanging="283"/>
      </w:pPr>
      <w:r>
        <w:rPr>
          <w:rFonts w:ascii="Liberation Serif" w:hAnsi="Liberation Serif"/>
          <w:sz w:val="17"/>
        </w:rPr>
        <w:t>[28] R. Deivanayagam, B. J. Ingram, R. Shahbazian-Yassar, Energy Storage Mater. 2019, 21, 136–153. https://doi.org/10.1016/j.ensm.2019.05.028</w:t>
      </w:r>
    </w:p>
    <w:p>
      <w:pPr>
        <w:keepLines/>
        <w:spacing w:after="60" w:line="240" w:lineRule="auto"/>
        <w:ind w:left="283" w:hanging="283"/>
      </w:pPr>
      <w:r>
        <w:rPr>
          <w:rFonts w:ascii="Liberation Serif" w:hAnsi="Liberation Serif"/>
          <w:sz w:val="17"/>
        </w:rPr>
        <w:t>[29] Q. Sun, S. Luo, R. Huang, S. Yan, X. Lin, Coord. Chem. Rev. 2024, 515, 215956. https://doi.org/10.1016/j.ccr.2024.215956</w:t>
      </w:r>
    </w:p>
    <w:p>
      <w:pPr>
        <w:keepLines/>
        <w:spacing w:after="60" w:line="240" w:lineRule="auto"/>
        <w:ind w:left="283" w:hanging="283"/>
      </w:pPr>
      <w:r>
        <w:rPr>
          <w:rFonts w:ascii="Liberation Serif" w:hAnsi="Liberation Serif"/>
          <w:sz w:val="17"/>
        </w:rPr>
        <w:t>[30] Y. Yu, A. Baskin, C. Valero-Vidal, N. T. Hahn, Q. Liu, K. R. Zavadil, B. W. Eichhorn, D. Prendergast, E. J. Crumlin, Chem. Mater. 2017, 29, 8504–8512. https://doi.org/10.1021/acs.chemmater.7b03404</w:t>
      </w:r>
    </w:p>
    <w:p>
      <w:pPr>
        <w:keepLines/>
        <w:spacing w:after="60" w:line="240" w:lineRule="auto"/>
        <w:ind w:left="283" w:hanging="283"/>
      </w:pPr>
      <w:r>
        <w:rPr>
          <w:rFonts w:ascii="Liberation Serif" w:hAnsi="Liberation Serif"/>
          <w:sz w:val="17"/>
        </w:rPr>
        <w:t>[31] A. Kopač Lautar, J. Bitenc, T. Rejec, R. Dominko, J.-S. Filhol, M.-L. Doublet, J. Am. Chem. Soc. 2020, 142, 5146–5153. https://doi.org/10.1021/jacs.9b12474</w:t>
      </w:r>
    </w:p>
    <w:p>
      <w:pPr>
        <w:keepLines/>
        <w:spacing w:after="60" w:line="240" w:lineRule="auto"/>
        <w:ind w:left="283" w:hanging="283"/>
      </w:pPr>
      <w:r>
        <w:rPr>
          <w:rFonts w:ascii="Liberation Serif" w:hAnsi="Liberation Serif"/>
          <w:sz w:val="17"/>
        </w:rPr>
        <w:t>[32] P. Jankowski, J. M. G. Lastra, T. Vegge, Batteries Supercaps 2020, 3, 1350–1359. https://doi.org/10.1002/batt.202000168</w:t>
      </w:r>
    </w:p>
    <w:p>
      <w:pPr>
        <w:keepLines/>
        <w:spacing w:after="60" w:line="240" w:lineRule="auto"/>
        <w:ind w:left="283" w:hanging="283"/>
      </w:pPr>
      <w:r>
        <w:rPr>
          <w:rFonts w:ascii="Liberation Serif" w:hAnsi="Liberation Serif"/>
          <w:sz w:val="17"/>
        </w:rPr>
        <w:t>[33] D. Y. Kim, Y. Lim, B. Roy, Y.-G. Ryu, S.-S. Lee, Phys. Chem. Chem. Phys. 2014, 16, 25789–25798. https://doi.org/10.1039/c4cp01259c</w:t>
      </w:r>
    </w:p>
    <w:p>
      <w:pPr>
        <w:keepLines/>
        <w:spacing w:after="60" w:line="240" w:lineRule="auto"/>
        <w:ind w:left="283" w:hanging="283"/>
      </w:pPr>
      <w:r>
        <w:rPr>
          <w:rFonts w:ascii="Liberation Serif" w:hAnsi="Liberation Serif"/>
          <w:sz w:val="17"/>
        </w:rPr>
        <w:t>[34] Y. Guo, F. Zhang, J. Yang, F. Wang, Electrochem. Commun. 2012, 18, 24–27. https://doi.org/10.1016/j.elecom.2012.01.026</w:t>
      </w:r>
    </w:p>
    <w:p>
      <w:pPr>
        <w:keepLines/>
        <w:spacing w:after="60" w:line="240" w:lineRule="auto"/>
        <w:ind w:left="283" w:hanging="283"/>
      </w:pPr>
      <w:r>
        <w:rPr>
          <w:rFonts w:ascii="Liberation Serif" w:hAnsi="Liberation Serif"/>
          <w:sz w:val="17"/>
        </w:rPr>
        <w:t>[35] F.-f. Wang, Y.-s. Guo, J. Yang, Y. Nuli, S.-i. Hirano, Chem. Commun. 2012, 48, 10763. https://doi.org/10.1039/c2cc35857c</w:t>
      </w:r>
    </w:p>
    <w:p>
      <w:pPr>
        <w:keepLines/>
        <w:spacing w:after="60" w:line="240" w:lineRule="auto"/>
        <w:ind w:left="283" w:hanging="283"/>
      </w:pPr>
      <w:r>
        <w:rPr>
          <w:rFonts w:ascii="Liberation Serif" w:hAnsi="Liberation Serif"/>
          <w:sz w:val="17"/>
        </w:rPr>
        <w:t>[36] C. Liao, B. Guo, D.-e. Jiang, R. Custelcean, S. M. Mahurin, X.-G. Sun, S. Dai, J. Mater. Chem. A 2014, 2, 581–584. https://doi.org/10.1039/c3ta13691d</w:t>
      </w:r>
    </w:p>
    <w:p>
      <w:pPr>
        <w:keepLines/>
        <w:spacing w:after="60" w:line="240" w:lineRule="auto"/>
        <w:ind w:left="283" w:hanging="283"/>
      </w:pPr>
      <w:r>
        <w:rPr>
          <w:rFonts w:ascii="Liberation Serif" w:hAnsi="Liberation Serif"/>
          <w:sz w:val="17"/>
        </w:rPr>
        <w:t>[37] Y. Guo, J. Yang, Y. NuLi, J. Wang, Electrochem. Commun. 2010, 12, 1671–1673. https://doi.org/10.1016/j.elecom.2010.08.015</w:t>
      </w:r>
    </w:p>
    <w:p>
      <w:pPr>
        <w:keepLines/>
        <w:spacing w:after="60" w:line="240" w:lineRule="auto"/>
        <w:ind w:left="283" w:hanging="283"/>
      </w:pPr>
      <w:r>
        <w:rPr>
          <w:rFonts w:ascii="Liberation Serif" w:hAnsi="Liberation Serif"/>
          <w:sz w:val="17"/>
        </w:rPr>
        <w:t>[38] R. Li, W. Zhao, Z. Fan, M. Zhang, J. Li, R. Li, Z. Zuo, X. Yang, Energy Environ. Sci. 2025, 18, 6790–6798. https://doi.org/10.1039/d5ee01304f</w:t>
      </w:r>
    </w:p>
    <w:p>
      <w:pPr>
        <w:keepLines/>
        <w:spacing w:after="60" w:line="240" w:lineRule="auto"/>
        <w:ind w:left="283" w:hanging="283"/>
      </w:pPr>
      <w:r>
        <w:rPr>
          <w:rFonts w:ascii="Liberation Serif" w:hAnsi="Liberation Serif"/>
          <w:sz w:val="17"/>
        </w:rPr>
        <w:t>[39] Y. Deng, G. Li, R. Deng, B. Zhang, L. Cao, G. Huang, J. Wang, F. Pan, Angew. Chem., Int. Ed. 2025, 64, e202513213. https://doi.org/10.1002/anie.202513213</w:t>
      </w:r>
    </w:p>
    <w:p>
      <w:pPr>
        <w:keepLines/>
        <w:spacing w:after="60" w:line="240" w:lineRule="auto"/>
        <w:ind w:left="283" w:hanging="283"/>
      </w:pPr>
      <w:r>
        <w:rPr>
          <w:rFonts w:ascii="Liberation Serif" w:hAnsi="Liberation Serif"/>
          <w:sz w:val="17"/>
        </w:rPr>
        <w:t>[40] I. Shterenberg, M. Salama, H. D. Yoo, Y. Gofer, J.-B. Park, Y.-K. Sun, D. Aurbach, J. Electrochem. Soc. 2015, 162, A7118–A7128. https://doi.org/10.1149/2.0161513jes</w:t>
      </w:r>
    </w:p>
    <w:p>
      <w:pPr>
        <w:keepLines/>
        <w:spacing w:after="60" w:line="240" w:lineRule="auto"/>
        <w:ind w:left="283" w:hanging="283"/>
      </w:pPr>
      <w:r>
        <w:rPr>
          <w:rFonts w:ascii="Liberation Serif" w:hAnsi="Liberation Serif"/>
          <w:sz w:val="17"/>
        </w:rPr>
        <w:t>[41] S.-Y. Ha, Y.-W. Lee, S. W. Woo, B. Koo, J.-S. Kim, J. Cho, K. T. Lee, N.-S. Choi, ACS Appl. Mater. Interfaces 2014, 6, 4063–4073. https://doi.org/10.1021/am405619v</w:t>
      </w:r>
    </w:p>
    <w:p>
      <w:pPr>
        <w:keepLines/>
        <w:spacing w:after="60" w:line="240" w:lineRule="auto"/>
        <w:ind w:left="283" w:hanging="283"/>
      </w:pPr>
      <w:r>
        <w:rPr>
          <w:rFonts w:ascii="Liberation Serif" w:hAnsi="Liberation Serif"/>
          <w:sz w:val="17"/>
        </w:rPr>
        <w:t>[42] Z. Ma, M. Kar, C. Xiao, M. Forsyth, D. R. MacFarlane, Electrochem. Commun. 2017, 78, 29–32. https://doi.org/10.1016/j.elecom.2017.03.018</w:t>
      </w:r>
    </w:p>
    <w:p>
      <w:pPr>
        <w:keepLines/>
        <w:spacing w:after="60" w:line="240" w:lineRule="auto"/>
        <w:ind w:left="283" w:hanging="283"/>
      </w:pPr>
      <w:r>
        <w:rPr>
          <w:rFonts w:ascii="Liberation Serif" w:hAnsi="Liberation Serif"/>
          <w:sz w:val="17"/>
        </w:rPr>
        <w:t>[43] T. J. Carter, R. Mohtadi, T. S. Arthur, F. Mizuno, R. Zhang, S. Shirai, J. W. Kampf, Angew. Chem., Int. Ed. 2014, 53, 3173–3177. https://doi.org/10.1002/anie.201310317</w:t>
      </w:r>
    </w:p>
    <w:p>
      <w:pPr>
        <w:keepLines/>
        <w:spacing w:after="60" w:line="240" w:lineRule="auto"/>
        <w:ind w:left="283" w:hanging="283"/>
      </w:pPr>
      <w:r>
        <w:rPr>
          <w:rFonts w:ascii="Liberation Serif" w:hAnsi="Liberation Serif"/>
          <w:sz w:val="17"/>
        </w:rPr>
        <w:t>[44] O. Tutusaus, R. Mohtadi, T. S. Arthur, F. Mizuno, E. G. Nelson, Y. V. Sevryugina, Angew. Chem., Int. Ed. 2015, 54, 7900–7904. https://doi.org/10.1002/anie.201412202</w:t>
      </w:r>
    </w:p>
    <w:p>
      <w:pPr>
        <w:keepLines/>
        <w:spacing w:after="60" w:line="240" w:lineRule="auto"/>
        <w:ind w:left="283" w:hanging="283"/>
      </w:pPr>
      <w:r>
        <w:rPr>
          <w:rFonts w:ascii="Liberation Serif" w:hAnsi="Liberation Serif"/>
          <w:sz w:val="17"/>
        </w:rPr>
        <w:t>[45] S. G. McArthur, R. Jay, L. Geng, J. Guo, V. Lavallo, Chem. Commun. 2017, 53, 4453–4456. https://doi.org/10.1039/c7cc01570d</w:t>
      </w:r>
    </w:p>
    <w:p>
      <w:pPr>
        <w:keepLines/>
        <w:spacing w:after="60" w:line="240" w:lineRule="auto"/>
        <w:ind w:left="283" w:hanging="283"/>
      </w:pPr>
      <w:r>
        <w:rPr>
          <w:rFonts w:ascii="Liberation Serif" w:hAnsi="Liberation Serif"/>
          <w:sz w:val="17"/>
        </w:rPr>
        <w:t>[46] M. Watanabe, J. Kanazawa, T. Hamamura, T. Shimokawa, K. Miyamoto, M. Hibino, K. Nakura, Y. Inatomi, Y. Kitazawa, M. Uchiyama, Mater. Adv. 2021, 2, 937–941. https://doi.org/10.1039/d0ma00925c</w:t>
      </w:r>
    </w:p>
    <w:p>
      <w:pPr>
        <w:keepLines/>
        <w:spacing w:after="60" w:line="240" w:lineRule="auto"/>
        <w:ind w:left="283" w:hanging="283"/>
      </w:pPr>
      <w:r>
        <w:rPr>
          <w:rFonts w:ascii="Liberation Serif" w:hAnsi="Liberation Serif"/>
          <w:sz w:val="17"/>
        </w:rPr>
        <w:t>[47] Z. Zhao-Karger, M. E. Gil Bardaji, O. Fuhr, M. Fichtner, J. Mater. Chem. A 2017, 5, 10815–10820. https://doi.org/10.1039/c7ta02237a</w:t>
      </w:r>
    </w:p>
    <w:p>
      <w:pPr>
        <w:keepLines/>
        <w:spacing w:after="60" w:line="240" w:lineRule="auto"/>
        <w:ind w:left="283" w:hanging="283"/>
      </w:pPr>
      <w:r>
        <w:rPr>
          <w:rFonts w:ascii="Liberation Serif" w:hAnsi="Liberation Serif"/>
          <w:sz w:val="17"/>
        </w:rPr>
        <w:t>[48] J. Luo, Y. Bi, L. Zhang, X. Zhang, T. L. Liu, Angew. Chem., Int. Ed. 2019, 58, 6967–6971. https://doi.org/10.1002/anie.201902009</w:t>
      </w:r>
    </w:p>
    <w:p>
      <w:pPr>
        <w:keepLines/>
        <w:spacing w:after="60" w:line="240" w:lineRule="auto"/>
        <w:ind w:left="283" w:hanging="283"/>
      </w:pPr>
      <w:r>
        <w:rPr>
          <w:rFonts w:ascii="Liberation Serif" w:hAnsi="Liberation Serif"/>
          <w:sz w:val="17"/>
        </w:rPr>
        <w:t>[49] W. Ren, D. Wu, Y. NuLi, D. Zhang, Y. Yang, Y. Wang, J. Yang, J. Wang, ACS Energy Lett. 2021, 6, 3212–3220. https://doi.org/10.1021/acsenergylett.1c01411</w:t>
      </w:r>
    </w:p>
    <w:p>
      <w:pPr>
        <w:keepLines/>
        <w:spacing w:after="60" w:line="240" w:lineRule="auto"/>
        <w:ind w:left="283" w:hanging="283"/>
      </w:pPr>
      <w:r>
        <w:rPr>
          <w:rFonts w:ascii="Liberation Serif" w:hAnsi="Liberation Serif"/>
          <w:sz w:val="17"/>
        </w:rPr>
        <w:t>[50] J. T. Herb, C. A. Nist-Lund, C. B. Arnold, ACS Energy Lett. 2016, 1, 1227–1232. https://doi.org/10.1021/acsenergylett.6b00356</w:t>
      </w:r>
    </w:p>
    <w:p>
      <w:pPr>
        <w:keepLines/>
        <w:spacing w:after="60" w:line="240" w:lineRule="auto"/>
        <w:ind w:left="283" w:hanging="283"/>
      </w:pPr>
      <w:r>
        <w:rPr>
          <w:rFonts w:ascii="Liberation Serif" w:hAnsi="Liberation Serif"/>
          <w:sz w:val="17"/>
        </w:rPr>
        <w:t>[51] T. Mandai, Y. Youn, Y. Tateyama, Mater. Adv. 2021, 2, 6283–6296. https://doi.org/10.1039/d1ma00448d</w:t>
      </w:r>
    </w:p>
    <w:p>
      <w:pPr>
        <w:keepLines/>
        <w:spacing w:after="60" w:line="240" w:lineRule="auto"/>
        <w:ind w:left="283" w:hanging="283"/>
      </w:pPr>
      <w:r>
        <w:rPr>
          <w:rFonts w:ascii="Liberation Serif" w:hAnsi="Liberation Serif"/>
          <w:sz w:val="17"/>
        </w:rPr>
        <w:t>[52] Y. Shen, K. Xu, Z. Zhao‐Karger, X. Zhao, Energy Environ. Mater. 2026, 9, e70124. https://doi.org/10.1002/eem2.70124</w:t>
      </w:r>
    </w:p>
    <w:p>
      <w:pPr>
        <w:keepLines/>
        <w:spacing w:after="60" w:line="240" w:lineRule="auto"/>
        <w:ind w:left="283" w:hanging="283"/>
      </w:pPr>
      <w:r>
        <w:rPr>
          <w:rFonts w:ascii="Liberation Serif" w:hAnsi="Liberation Serif"/>
          <w:sz w:val="17"/>
        </w:rPr>
        <w:t>[53] N. A. Andreeva, V. V. Chaban, Mater. Chem. Phys. 2026, 349, 131741. https://doi.org/10.1016/j.matchemphys.2025.131741</w:t>
      </w:r>
    </w:p>
    <w:p>
      <w:pPr>
        <w:keepLines/>
        <w:spacing w:after="60" w:line="240" w:lineRule="auto"/>
        <w:ind w:left="283" w:hanging="283"/>
      </w:pPr>
      <w:r>
        <w:rPr>
          <w:rFonts w:ascii="Liberation Serif" w:hAnsi="Liberation Serif"/>
          <w:sz w:val="17"/>
        </w:rPr>
        <w:t>[54] R. Jay, A. W. Tomich, J. Zhang, Y. Zhao, A. De Gorostiza, V. Lavallo, J. Guo, ACS Appl. Mater. Interfaces 2019, 11, 11414–11420. https://doi.org/10.1021/acsami.9b00037</w:t>
      </w:r>
    </w:p>
    <w:p>
      <w:pPr>
        <w:keepLines/>
        <w:spacing w:after="60" w:line="240" w:lineRule="auto"/>
        <w:ind w:left="283" w:hanging="283"/>
      </w:pPr>
      <w:r>
        <w:rPr>
          <w:rFonts w:ascii="Liberation Serif" w:hAnsi="Liberation Serif"/>
          <w:sz w:val="17"/>
        </w:rPr>
        <w:t>[55] B. Pan, J. Huang, N. Sa, S. M. Brombosz, J. T. Vaughey, L. Zhang, A. K. Burrell, Z. Zhang, C. Liao, J. Electrochem. Soc. 2016, 163, A1672–A1677. https://doi.org/10.1149/2.0821608jes</w:t>
      </w:r>
    </w:p>
    <w:p>
      <w:pPr>
        <w:keepLines/>
        <w:spacing w:after="60" w:line="240" w:lineRule="auto"/>
        <w:ind w:left="283" w:hanging="283"/>
      </w:pPr>
      <w:r>
        <w:rPr>
          <w:rFonts w:ascii="Liberation Serif" w:hAnsi="Liberation Serif"/>
          <w:sz w:val="17"/>
        </w:rPr>
        <w:t>[56] T. Liu, Y. Shao, G. Li, M. Gu, J. Hu, S. Xu, Z. Nie, X. Chen, C. Wang, J. Liu, J. Mater. Chem. A 2014, 2, 3430. https://doi.org/10.1039/c3ta14825d</w:t>
      </w:r>
    </w:p>
    <w:p>
      <w:pPr>
        <w:keepLines/>
        <w:spacing w:after="60" w:line="240" w:lineRule="auto"/>
        <w:ind w:left="283" w:hanging="283"/>
      </w:pPr>
      <w:r>
        <w:rPr>
          <w:rFonts w:ascii="Liberation Serif" w:hAnsi="Liberation Serif"/>
          <w:sz w:val="17"/>
        </w:rPr>
        <w:t>[57] N. Sa, B. Pan, A. Saha-Shah, A. A. Hubaud, J. T. Vaughey, L. A. Baker, C. Liao, A. K. Burrell, ACS Appl. Mater. Interfaces 2016, 8, 16002–16008. https://doi.org/10.1021/acsami.6b03193</w:t>
      </w:r>
    </w:p>
    <w:p>
      <w:pPr>
        <w:keepLines/>
        <w:spacing w:after="60" w:line="240" w:lineRule="auto"/>
        <w:ind w:left="283" w:hanging="283"/>
      </w:pPr>
      <w:r>
        <w:rPr>
          <w:rFonts w:ascii="Liberation Serif" w:hAnsi="Liberation Serif"/>
          <w:sz w:val="17"/>
        </w:rPr>
        <w:t>[58] M. Salama, I. Shterenberg, L. J.W. Shimon, K. Keinan-Adamsky, M. Afri, Y. Gofer, D. Aurbach, J. Phys. Chem. C 2017, 121, 24909–24918. https://doi.org/10.1021/acs.jpcc.7b05452</w:t>
      </w:r>
    </w:p>
    <w:p>
      <w:pPr>
        <w:keepLines/>
        <w:spacing w:after="60" w:line="240" w:lineRule="auto"/>
        <w:ind w:left="283" w:hanging="283"/>
      </w:pPr>
      <w:r>
        <w:rPr>
          <w:rFonts w:ascii="Liberation Serif" w:hAnsi="Liberation Serif"/>
          <w:sz w:val="17"/>
        </w:rPr>
        <w:t>[59] Y. Cheng, R. M. Stolley, K. S. Han, Y. Shao, B. W. Arey, N. M. Washton, K. T. Mueller, M. L. Helm, V. L. Sprenkle, J. Liu, G. Li, Phys. Chem. Chem. Phys. 2015, 17, 13307–13314. https://doi.org/10.1039/c5cp00859j</w:t>
      </w:r>
    </w:p>
    <w:p>
      <w:pPr>
        <w:keepLines/>
        <w:spacing w:after="60" w:line="240" w:lineRule="auto"/>
        <w:ind w:left="283" w:hanging="283"/>
      </w:pPr>
      <w:r>
        <w:rPr>
          <w:rFonts w:ascii="Liberation Serif" w:hAnsi="Liberation Serif"/>
          <w:sz w:val="17"/>
        </w:rPr>
        <w:t>[60] P. Canepa, S. Jayaraman, L. Cheng, N. N. Rajput, W. D. Richards, G. S. Gautam, L. A. Curtiss, K. A. Persson, G. Ceder, Energy Environ. Sci. 2015, 8, 3718–3730. https://doi.org/10.1039/c5ee02340h</w:t>
      </w:r>
    </w:p>
    <w:p>
      <w:pPr>
        <w:keepLines/>
        <w:spacing w:after="60" w:line="240" w:lineRule="auto"/>
        <w:ind w:left="283" w:hanging="283"/>
      </w:pPr>
      <w:r>
        <w:rPr>
          <w:rFonts w:ascii="Liberation Serif" w:hAnsi="Liberation Serif"/>
          <w:sz w:val="17"/>
        </w:rPr>
        <w:t>[61] O. Mizrahi, N. Amir, E. Pollak, O. Chusid, V. Marks, H. Gottlieb, L. Larush, E. Zinigrad, D. Aurbach, J. Electrochem. Soc. 2008, 155, A103. https://doi.org/10.1149/1.2806175</w:t>
      </w:r>
    </w:p>
    <w:p>
      <w:pPr>
        <w:keepLines/>
        <w:spacing w:after="60" w:line="240" w:lineRule="auto"/>
        <w:ind w:left="283" w:hanging="283"/>
      </w:pPr>
      <w:r>
        <w:rPr>
          <w:rFonts w:ascii="Liberation Serif" w:hAnsi="Liberation Serif"/>
          <w:sz w:val="17"/>
        </w:rPr>
        <w:t>[62] R. E. Doe, R. Han, J. Hwang, A. J. Gmitter, I. Shterenberg, H. D. Yoo, N. Pour, D. Aurbach, Chem. Commun. 2014, 50, 243–245. https://doi.org/10.1039/c3cc47896c</w:t>
      </w:r>
    </w:p>
    <w:p>
      <w:pPr>
        <w:keepLines/>
        <w:spacing w:after="60" w:line="240" w:lineRule="auto"/>
        <w:ind w:left="283" w:hanging="283"/>
      </w:pPr>
      <w:r>
        <w:rPr>
          <w:rFonts w:ascii="Liberation Serif" w:hAnsi="Liberation Serif"/>
          <w:sz w:val="17"/>
        </w:rPr>
        <w:t>[63] K. A. See, K. W. Chapman, L. Zhu, K. M. Wiaderek, O. J. Borkiewicz, C. J. Barile, P. J. Chupas, A. A. Gewirth, J. Am. Chem. Soc. 2016, 138, 328–337. https://doi.org/10.1021/jacs.5b10987</w:t>
      </w:r>
    </w:p>
    <w:p>
      <w:pPr>
        <w:keepLines/>
        <w:spacing w:after="60" w:line="240" w:lineRule="auto"/>
        <w:ind w:left="283" w:hanging="283"/>
      </w:pPr>
      <w:r>
        <w:rPr>
          <w:rFonts w:ascii="Liberation Serif" w:hAnsi="Liberation Serif"/>
          <w:sz w:val="17"/>
        </w:rPr>
        <w:t>[64] J. H. Ha, B. Adams, J.-H. Cho, V. Duffort, J. H. Kim, K. Y. Chung, B. W. Cho, L. F. Nazar, S. H. Oh, J. Mater. Chem. A 2016, 4, 7160–7164. https://doi.org/10.1039/c6ta01684g</w:t>
      </w:r>
    </w:p>
    <w:p>
      <w:pPr>
        <w:keepLines/>
        <w:spacing w:after="60" w:line="240" w:lineRule="auto"/>
        <w:ind w:left="283" w:hanging="283"/>
      </w:pPr>
      <w:r>
        <w:rPr>
          <w:rFonts w:ascii="Liberation Serif" w:hAnsi="Liberation Serif"/>
          <w:sz w:val="17"/>
        </w:rPr>
        <w:t>[65] C. Liebenow, Z. Yang, P. Lobitz, Electrochem. Commun. 2000, 2, 641–645. https://doi.org/10.1016/s1388-2481(00)00094-1</w:t>
      </w:r>
    </w:p>
    <w:p>
      <w:pPr>
        <w:keepLines/>
        <w:spacing w:after="60" w:line="240" w:lineRule="auto"/>
        <w:ind w:left="283" w:hanging="283"/>
      </w:pPr>
      <w:r>
        <w:rPr>
          <w:rFonts w:ascii="Liberation Serif" w:hAnsi="Liberation Serif"/>
          <w:sz w:val="17"/>
        </w:rPr>
        <w:t>[66] Y. Li, S. Guan, H. Huo, Y. Ma, Y. Gao, P. Zuo, G. Yin, Adv. Funct. Mater. 2021, 31, 2100650. https://doi.org/10.1002/adfm.202100650</w:t>
      </w:r>
    </w:p>
    <w:p>
      <w:pPr>
        <w:keepLines/>
        <w:spacing w:after="60" w:line="240" w:lineRule="auto"/>
        <w:ind w:left="283" w:hanging="283"/>
      </w:pPr>
      <w:r>
        <w:rPr>
          <w:rFonts w:ascii="Liberation Serif" w:hAnsi="Liberation Serif"/>
          <w:sz w:val="17"/>
        </w:rPr>
        <w:t>[67] S. He, K. V. Nielson, J. Luo, T. L. Liu, Energy Storage Mater. 2017, 8, 184–188. https://doi.org/10.1016/j.ensm.2016.12.001</w:t>
      </w:r>
    </w:p>
    <w:p>
      <w:pPr>
        <w:keepLines/>
        <w:spacing w:after="60" w:line="240" w:lineRule="auto"/>
        <w:ind w:left="283" w:hanging="283"/>
      </w:pPr>
      <w:r>
        <w:rPr>
          <w:rFonts w:ascii="Liberation Serif" w:hAnsi="Liberation Serif"/>
          <w:sz w:val="17"/>
        </w:rPr>
        <w:t>[68] B. Pan, J. Zhang, J. Huang, J. T. Vaughey, L. Zhang, S.-D. Han, A. K. Burrell, Z. Zhang, C. Liao, Chem. Commun. 2015, 51, 6214–6217. https://doi.org/10.1039/c5cc01225b</w:t>
      </w:r>
    </w:p>
    <w:p>
      <w:pPr>
        <w:keepLines/>
        <w:spacing w:after="60" w:line="240" w:lineRule="auto"/>
        <w:ind w:left="283" w:hanging="283"/>
      </w:pPr>
      <w:r>
        <w:rPr>
          <w:rFonts w:ascii="Liberation Serif" w:hAnsi="Liberation Serif"/>
          <w:sz w:val="17"/>
        </w:rPr>
        <w:t>[69] M. Egashira, K. Hiratsuka, K. Matsubara, Y. Akita, H. Munakata, K. Kanamura, Mater. Today Energy 2018, 9, 279–284. https://doi.org/10.1016/j.mtener.2018.06.002</w:t>
      </w:r>
    </w:p>
    <w:p>
      <w:pPr>
        <w:keepLines/>
        <w:spacing w:after="60" w:line="240" w:lineRule="auto"/>
        <w:ind w:left="283" w:hanging="283"/>
      </w:pPr>
      <w:r>
        <w:rPr>
          <w:rFonts w:ascii="Liberation Serif" w:hAnsi="Liberation Serif"/>
          <w:sz w:val="17"/>
        </w:rPr>
        <w:t>[70] Y. Yang, Y. Qiu, Y. NuLi, W. Wang, J. Yang, J. Wang, J. Mater. Chem. A 2019, 7, 18295–18303. https://doi.org/10.1039/c9ta05769b</w:t>
      </w:r>
    </w:p>
    <w:p>
      <w:pPr>
        <w:keepLines/>
        <w:spacing w:after="60" w:line="240" w:lineRule="auto"/>
        <w:ind w:left="283" w:hanging="283"/>
      </w:pPr>
      <w:r>
        <w:rPr>
          <w:rFonts w:ascii="Liberation Serif" w:hAnsi="Liberation Serif"/>
          <w:sz w:val="17"/>
        </w:rPr>
        <w:t>[71] M. Cheng, Y. Wang, D. Zhang, S. Zhang, Y. Yang, X. Lv, J. Wang, Y. NuLi, J. Energy Chem. 2023, 76, 1–10. https://doi.org/10.1016/j.jechem.2022.08.037</w:t>
      </w:r>
    </w:p>
    <w:p>
      <w:pPr>
        <w:keepLines/>
        <w:spacing w:after="60" w:line="240" w:lineRule="auto"/>
        <w:ind w:left="283" w:hanging="283"/>
      </w:pPr>
      <w:r>
        <w:rPr>
          <w:rFonts w:ascii="Liberation Serif" w:hAnsi="Liberation Serif"/>
          <w:sz w:val="17"/>
        </w:rPr>
        <w:t>[72] C. Liao, N. Sa, B. Key, A. K. Burrell, L. Cheng, L. A. Curtiss, J. T. Vaughey, J.-J. Woo, L. Hu, B. Pan, Z. Zhang, J. Mater. Chem. A 2015, 3, 6082–6087. https://doi.org/10.1039/c5ta00118h</w:t>
      </w:r>
    </w:p>
    <w:p>
      <w:pPr>
        <w:keepLines/>
        <w:spacing w:after="60" w:line="240" w:lineRule="auto"/>
        <w:ind w:left="283" w:hanging="283"/>
      </w:pPr>
      <w:r>
        <w:rPr>
          <w:rFonts w:ascii="Liberation Serif" w:hAnsi="Liberation Serif"/>
          <w:sz w:val="17"/>
        </w:rPr>
        <w:t>[73] R. Mohtadi, M. Matsui, T. S. Arthur, S.-J. Hwang, Angew. Chem., Int. Ed. 2012, 51, 9780–9783. https://doi.org/10.1002/anie.201204913</w:t>
      </w:r>
    </w:p>
    <w:p>
      <w:pPr>
        <w:keepLines/>
        <w:spacing w:after="60" w:line="240" w:lineRule="auto"/>
        <w:ind w:left="283" w:hanging="283"/>
      </w:pPr>
      <w:r>
        <w:rPr>
          <w:rFonts w:ascii="Liberation Serif" w:hAnsi="Liberation Serif"/>
          <w:sz w:val="17"/>
        </w:rPr>
        <w:t>[74] Y. Shao, T. Liu, G. Li, M. Gu, Z. Nie, M. Engelhard, J. Xiao, D. Lv, C. Wang, J.-G. Zhang, J. Liu, Sci. Rep. 2013, 3, 3130. https://doi.org/10.1038/srep03130</w:t>
      </w:r>
    </w:p>
    <w:p>
      <w:pPr>
        <w:keepLines/>
        <w:spacing w:after="60" w:line="240" w:lineRule="auto"/>
        <w:ind w:left="283" w:hanging="283"/>
      </w:pPr>
      <w:r>
        <w:rPr>
          <w:rFonts w:ascii="Liberation Serif" w:hAnsi="Liberation Serif"/>
          <w:sz w:val="17"/>
        </w:rPr>
        <w:t>[75] F. Tuerxun, Y. Abulizi, Y. NuLi, S. Su, J. Yang, J. Wang, J. Power Sources 2015, 276, 255–261. https://doi.org/10.1016/j.jpowsour.2014.11.113</w:t>
      </w:r>
    </w:p>
    <w:p>
      <w:pPr>
        <w:keepLines/>
        <w:spacing w:after="60" w:line="240" w:lineRule="auto"/>
        <w:ind w:left="283" w:hanging="283"/>
      </w:pPr>
      <w:r>
        <w:rPr>
          <w:rFonts w:ascii="Liberation Serif" w:hAnsi="Liberation Serif"/>
          <w:sz w:val="17"/>
        </w:rPr>
        <w:t>[76] S. Hou, X. Ji, K. Gaskell, P.-f. Wang, L. Wang, J. Xu, R. Sun, O. Borodin, C. Wang, Science 2021, 374, 172–178. https://doi.org/10.1126/science.abg3954</w:t>
      </w:r>
    </w:p>
    <w:p>
      <w:pPr>
        <w:keepLines/>
        <w:spacing w:after="60" w:line="240" w:lineRule="auto"/>
        <w:ind w:left="283" w:hanging="283"/>
      </w:pPr>
      <w:r>
        <w:rPr>
          <w:rFonts w:ascii="Liberation Serif" w:hAnsi="Liberation Serif"/>
          <w:sz w:val="17"/>
        </w:rPr>
        <w:t>[77] S. Fan, G. M. Asselin, B. Pan, H. Wang, Y. Ren, J. T. Vaughey, N. Sa, ACS Appl. Mater. Interfaces 2020, 12, 10252–10260. https://doi.org/10.1021/acsami.9b18833</w:t>
      </w:r>
    </w:p>
    <w:p>
      <w:pPr>
        <w:keepLines/>
        <w:spacing w:after="60" w:line="240" w:lineRule="auto"/>
        <w:ind w:left="283" w:hanging="283"/>
      </w:pPr>
      <w:r>
        <w:rPr>
          <w:rFonts w:ascii="Liberation Serif" w:hAnsi="Liberation Serif"/>
          <w:sz w:val="17"/>
        </w:rPr>
        <w:t>[78] S. Fan, S. Cora, N. Sa, ACS Appl. Mater. Interfaces 2022, 14, 46635–46645. https://doi.org/10.1021/acsami.2c13037</w:t>
      </w:r>
    </w:p>
    <w:p>
      <w:pPr>
        <w:keepLines/>
        <w:spacing w:after="60" w:line="240" w:lineRule="auto"/>
        <w:ind w:left="283" w:hanging="283"/>
      </w:pPr>
      <w:r>
        <w:rPr>
          <w:rFonts w:ascii="Liberation Serif" w:hAnsi="Liberation Serif"/>
          <w:sz w:val="17"/>
        </w:rPr>
        <w:t>[79] F. Wang, H. Hua, D. Wu, J. Li, Y. Xu, X. Nie, Y. Zhuang, J. Zeng, J. Zhao, ACS Energy Lett. 2023, 8, 780–789. https://doi.org/10.1021/acsenergylett.2c02525</w:t>
      </w:r>
    </w:p>
    <w:p>
      <w:pPr>
        <w:keepLines/>
        <w:spacing w:after="60" w:line="240" w:lineRule="auto"/>
        <w:ind w:left="283" w:hanging="283"/>
      </w:pPr>
      <w:r>
        <w:rPr>
          <w:rFonts w:ascii="Liberation Serif" w:hAnsi="Liberation Serif"/>
          <w:sz w:val="17"/>
        </w:rPr>
        <w:t>[80] Z. Li, D.-T. Nguyen, J. D. Bazak, K. S. Han, Y. Chen, V. Prabhakaran, T. T. Le, Z. Cheng, M. Song, V. G. Pol, K. T. Mueller, V. Murugesan, Adv. Energy Mater. 2024, 14, 2301544. https://doi.org/10.1002/aenm.202301544</w:t>
      </w:r>
    </w:p>
    <w:p>
      <w:pPr>
        <w:keepLines/>
        <w:spacing w:after="60" w:line="240" w:lineRule="auto"/>
        <w:ind w:left="283" w:hanging="283"/>
      </w:pPr>
      <w:r>
        <w:rPr>
          <w:rFonts w:ascii="Liberation Serif" w:hAnsi="Liberation Serif"/>
          <w:sz w:val="17"/>
        </w:rPr>
        <w:t>[81] M. Pan, Y. Sun, Y. Zhao, X. Zeng, J. Yang, J. Wang, Y. NuLi, Angew. Chem., Int. Ed. 2026, 65, e6066611. https://doi.org/10.1002/anie.6066611</w:t>
      </w:r>
    </w:p>
    <w:p>
      <w:pPr>
        <w:keepLines/>
        <w:spacing w:after="60" w:line="240" w:lineRule="auto"/>
        <w:ind w:left="283" w:hanging="283"/>
      </w:pPr>
      <w:r>
        <w:rPr>
          <w:rFonts w:ascii="Liberation Serif" w:hAnsi="Liberation Serif"/>
          <w:sz w:val="17"/>
        </w:rPr>
        <w:t>[82] J. Xiao, X. Zhang, H. Fan, Q. Lin, L. Pan, H. Liu, Y. Su, X. Li, Y. Su, S. Ren, Y. Lin, Y. Zhang, Adv. Energy Mater. 2022, 12, 2202602. https://doi.org/10.1002/aenm.202202602</w:t>
      </w:r>
    </w:p>
    <w:p>
      <w:pPr>
        <w:keepLines/>
        <w:spacing w:after="60" w:line="240" w:lineRule="auto"/>
        <w:ind w:left="283" w:hanging="283"/>
      </w:pPr>
      <w:r>
        <w:rPr>
          <w:rFonts w:ascii="Liberation Serif" w:hAnsi="Liberation Serif"/>
          <w:sz w:val="17"/>
        </w:rPr>
        <w:t>[83] S. Wang, K. Wang, Y. Zhang, Y. Jie, X. Li, Y. Pan, X. Gao, Q. Nian, R. Cao, Q. Li, S. Jiao, D. Xu, Angew. Chem., Int. Ed. 2023, 62, e202304411. https://doi.org/10.1002/anie.202304411</w:t>
      </w:r>
    </w:p>
    <w:p>
      <w:pPr>
        <w:keepLines/>
        <w:spacing w:after="60" w:line="240" w:lineRule="auto"/>
        <w:ind w:left="283" w:hanging="283"/>
      </w:pPr>
      <w:r>
        <w:rPr>
          <w:rFonts w:ascii="Liberation Serif" w:hAnsi="Liberation Serif"/>
          <w:sz w:val="17"/>
        </w:rPr>
        <w:t>[84] M. Wang, W. Sun, K. Zhang, Z. Zhang, A. Du, S. Dong, J. Zhang, J. Liu, X. Chen, Z. Zhou, F. Li, Z. Li, G. Li, G. Cui, Energy Environ. Sci. 2024, 17, 630–641. https://doi.org/10.1039/d3ee02450d</w:t>
      </w:r>
    </w:p>
    <w:p>
      <w:pPr>
        <w:keepLines/>
        <w:spacing w:after="60" w:line="240" w:lineRule="auto"/>
        <w:ind w:left="283" w:hanging="283"/>
      </w:pPr>
      <w:r>
        <w:rPr>
          <w:rFonts w:ascii="Liberation Serif" w:hAnsi="Liberation Serif"/>
          <w:sz w:val="17"/>
        </w:rPr>
        <w:t>[85] Y. Wang, Z. Cao, Z. Ma, G. Liu, H. Cheng, Y. Zou, L. Cavallo, Q. Li, J. Ming, ACS Energy Lett. 2023, 8, 1477–1484. https://doi.org/10.1021/acsenergylett.3c00052</w:t>
      </w:r>
    </w:p>
    <w:p>
      <w:pPr>
        <w:keepLines/>
        <w:spacing w:after="60" w:line="240" w:lineRule="auto"/>
        <w:ind w:left="283" w:hanging="283"/>
      </w:pPr>
      <w:r>
        <w:rPr>
          <w:rFonts w:ascii="Liberation Serif" w:hAnsi="Liberation Serif"/>
          <w:sz w:val="17"/>
        </w:rPr>
        <w:t>[86] J. Zhang, Z. Zhang, H. Zhou, J. Liu, A. Du, S. Dong, X. Zhou, Q. Wang, G. Li, G. Cui, Adv. Mater. 2025, 37, 2417652. https://doi.org/10.1002/adma.202417652</w:t>
      </w:r>
    </w:p>
    <w:p>
      <w:pPr>
        <w:keepLines/>
        <w:spacing w:after="60" w:line="240" w:lineRule="auto"/>
        <w:ind w:left="283" w:hanging="283"/>
      </w:pPr>
      <w:r>
        <w:rPr>
          <w:rFonts w:ascii="Liberation Serif" w:hAnsi="Liberation Serif"/>
          <w:sz w:val="17"/>
        </w:rPr>
        <w:t>[87] D. Zhang, Y. Wang, Y. Yang, Y. Zhang, Y. Zhao, M. Pan, Y. Sun, S. Chen, X. Liu, J. Wang, Y. NuLi, Adv. Energy Mater. 2023, 13, 2301795. https://doi.org/10.1002/aenm.202301795</w:t>
      </w:r>
    </w:p>
    <w:p>
      <w:pPr>
        <w:keepLines/>
        <w:spacing w:after="60" w:line="240" w:lineRule="auto"/>
        <w:ind w:left="283" w:hanging="283"/>
      </w:pPr>
      <w:r>
        <w:rPr>
          <w:rFonts w:ascii="Liberation Serif" w:hAnsi="Liberation Serif"/>
          <w:sz w:val="17"/>
        </w:rPr>
        <w:t>[88] Y. Liu, L. Qian, X. Li, Y. Tian, J. Ma, S. Song, Y. Zhang, A. Yuan, H. Tian, ACS Cent. Sci. 2026, 12, 1526–1538. https://doi.org/10.1021/acscentsci.6c01164</w:t>
      </w:r>
    </w:p>
    <w:p>
      <w:pPr>
        <w:keepLines/>
        <w:spacing w:after="60" w:line="240" w:lineRule="auto"/>
        <w:ind w:left="283" w:hanging="283"/>
      </w:pPr>
      <w:r>
        <w:rPr>
          <w:rFonts w:ascii="Liberation Serif" w:hAnsi="Liberation Serif"/>
          <w:sz w:val="17"/>
        </w:rPr>
        <w:t>[89] J. Wen, Q. Qu, J. Yang, X. Zhang, X. Yin, X. Liu, L. Li, X. Zhou, Langmuir 2026, 42, 28905–28918. https://doi.org/10.1021/acs.langmuir.6c03054</w:t>
      </w:r>
    </w:p>
    <w:p>
      <w:pPr>
        <w:keepLines/>
        <w:spacing w:after="60" w:line="240" w:lineRule="auto"/>
        <w:ind w:left="283" w:hanging="283"/>
      </w:pPr>
      <w:r>
        <w:rPr>
          <w:rFonts w:ascii="Liberation Serif" w:hAnsi="Liberation Serif"/>
          <w:sz w:val="17"/>
        </w:rPr>
        <w:t>[90] J. Ji, X. Zhou, L. Zhang, S. Zhong, G. Huang, D. Zhang, C. Xu, Y. Liu, J. Phys. Chem. Lett. 2026, 17, 11295–11303. https://doi.org/10.1021/acs.jpclett.6c02608</w:t>
      </w:r>
    </w:p>
    <w:p>
      <w:pPr>
        <w:keepLines/>
        <w:spacing w:after="60" w:line="240" w:lineRule="auto"/>
        <w:ind w:left="283" w:hanging="283"/>
      </w:pPr>
      <w:r>
        <w:rPr>
          <w:rFonts w:ascii="Liberation Serif" w:hAnsi="Liberation Serif"/>
          <w:sz w:val="17"/>
        </w:rPr>
        <w:t>[91] J. Zhang, N. Yuan, J. Liu, X. Guo, X. Chen, Z. Zhou, Z. Zhang, G. Li, J. Energy Chem. 2024, 98, 615–622. https://doi.org/10.1016/j.jechem.2024.07.015</w:t>
      </w:r>
    </w:p>
    <w:p>
      <w:pPr>
        <w:keepLines/>
        <w:spacing w:after="60" w:line="240" w:lineRule="auto"/>
        <w:ind w:left="283" w:hanging="283"/>
      </w:pPr>
      <w:r>
        <w:rPr>
          <w:rFonts w:ascii="Liberation Serif" w:hAnsi="Liberation Serif"/>
          <w:sz w:val="17"/>
        </w:rPr>
        <w:t>[92] G. Torrie, J. Valleau, J. Comput. Phys. 1977, 23, 187–199. https://doi.org/10.1016/0021-9991(77)90121-8</w:t>
      </w:r>
    </w:p>
    <w:p>
      <w:pPr>
        <w:keepLines/>
        <w:spacing w:after="60" w:line="240" w:lineRule="auto"/>
        <w:ind w:left="283" w:hanging="283"/>
      </w:pPr>
      <w:r>
        <w:rPr>
          <w:rFonts w:ascii="Liberation Serif" w:hAnsi="Liberation Serif"/>
          <w:sz w:val="17"/>
        </w:rPr>
        <w:t>[93] A. Laio, M. Parrinello, Proc. Natl. Acad. Sci. USA 2002, 99, 12562–12566. https://doi.org/10.1073/pnas.202427399</w:t>
      </w:r>
    </w:p>
    <w:p>
      <w:pPr>
        <w:keepLines/>
        <w:spacing w:after="60" w:line="240" w:lineRule="auto"/>
        <w:ind w:left="283" w:hanging="283"/>
      </w:pPr>
      <w:r>
        <w:rPr>
          <w:rFonts w:ascii="Liberation Serif" w:hAnsi="Liberation Serif"/>
          <w:sz w:val="17"/>
        </w:rPr>
        <w:t>[94] M. R. Shirts, J. D. Chodera, J. Chem. Phys. 2008, 129, 124105. https://doi.org/10.1063/1.2978177</w:t>
      </w:r>
    </w:p>
    <w:p>
      <w:pPr>
        <w:keepLines/>
        <w:spacing w:after="60" w:line="240" w:lineRule="auto"/>
        <w:ind w:left="283" w:hanging="283"/>
      </w:pPr>
      <w:r>
        <w:rPr>
          <w:rFonts w:ascii="Liberation Serif" w:hAnsi="Liberation Serif"/>
          <w:sz w:val="17"/>
        </w:rPr>
        <w:t>[95] R. Sundararaman, W. A. Goddard, T. A. Arias, J. Chem. Phys. 2017, 146, 114104. https://doi.org/10.1063/1.4978411</w:t>
      </w:r>
    </w:p>
    <w:p>
      <w:pPr>
        <w:keepLines/>
        <w:spacing w:after="60" w:line="240" w:lineRule="auto"/>
        <w:ind w:left="283" w:hanging="283"/>
      </w:pPr>
      <w:r>
        <w:rPr>
          <w:rFonts w:ascii="Liberation Serif" w:hAnsi="Liberation Serif"/>
          <w:sz w:val="17"/>
        </w:rPr>
        <w:t>[96] J. Z. Hu, N. N. Rajput, C. Wan, Y. Shao, X. Deng, N. R. Jaegers, M. Hu, Y. Chen, Y. Shin, J. Monk, Z. Chen, Z. Qin, K. T. Mueller, J. Liu, K. A. Persson, Nano Energy 2018, 46, 436–446. https://doi.org/10.1016/j.nanoen.2018.01.051</w:t>
      </w:r>
    </w:p>
    <w:p>
      <w:pPr>
        <w:keepLines/>
        <w:spacing w:after="60" w:line="240" w:lineRule="auto"/>
        <w:ind w:left="283" w:hanging="283"/>
      </w:pPr>
      <w:r>
        <w:rPr>
          <w:rFonts w:ascii="Liberation Serif" w:hAnsi="Liberation Serif"/>
          <w:sz w:val="17"/>
        </w:rPr>
        <w:t>[97] Z. Yang, L. Gao, N. J. Leon, C. Liao, B. J. Ingram, L. Trahey, ACS Appl. Energy Mater. 2024, 7, 1666–1675. https://doi.org/10.1021/acsaem.3c03261</w:t>
      </w:r>
    </w:p>
    <w:p>
      <w:pPr>
        <w:keepLines/>
        <w:spacing w:after="60" w:line="240" w:lineRule="auto"/>
        <w:ind w:left="283" w:hanging="283"/>
      </w:pPr>
      <w:r>
        <w:rPr>
          <w:rFonts w:ascii="Liberation Serif" w:hAnsi="Liberation Serif"/>
          <w:sz w:val="17"/>
        </w:rPr>
        <w:t>[98] H. Fan, X. Zhang, Y. Zhao, J. Xiao, H. Yuan, G. Wang, Y. Lin, J. Zhang, L. Pan, T. Pan, Y. Liu, Y. Zhang, Energy Environ. Mater. 2023, 6, e12327. https://doi.org/10.1002/eem2.12327</w:t>
      </w:r>
    </w:p>
    <w:p>
      <w:pPr>
        <w:keepLines/>
        <w:spacing w:after="60" w:line="240" w:lineRule="auto"/>
        <w:ind w:left="283" w:hanging="283"/>
      </w:pPr>
      <w:r>
        <w:rPr>
          <w:rFonts w:ascii="Liberation Serif" w:hAnsi="Liberation Serif"/>
          <w:sz w:val="17"/>
        </w:rPr>
        <w:t>[99] I.-C. Yeh, G. Hummer, J. Phys. Chem. B 2004, 108, 15873–15879. https://doi.org/10.1021/jp0477147</w:t>
      </w:r>
    </w:p>
    <w:p>
      <w:pPr>
        <w:keepLines/>
        <w:spacing w:after="60" w:line="240" w:lineRule="auto"/>
        <w:ind w:left="283" w:hanging="283"/>
      </w:pPr>
      <w:r>
        <w:rPr>
          <w:rFonts w:ascii="Liberation Serif" w:hAnsi="Liberation Serif"/>
          <w:sz w:val="17"/>
        </w:rPr>
        <w:t>[100] R. A. Marcus, J. Chem. Phys. 1956, 24, 966–978. https://doi.org/10.1063/1.1742723</w:t>
      </w:r>
    </w:p>
    <w:p>
      <w:pPr>
        <w:keepLines/>
        <w:spacing w:after="60" w:line="240" w:lineRule="auto"/>
        <w:ind w:left="283" w:hanging="283"/>
      </w:pPr>
      <w:r>
        <w:rPr>
          <w:rFonts w:ascii="Liberation Serif" w:hAnsi="Liberation Serif"/>
          <w:sz w:val="17"/>
        </w:rPr>
        <w:t>[101] L. P. Lossius, F. Emmenegger, Electrochim. Acta 1996, 41, 445–447. https://doi.org/10.1016/0013-4686(95)00326-6</w:t>
      </w:r>
    </w:p>
    <w:p>
      <w:pPr>
        <w:keepLines/>
        <w:spacing w:after="60" w:line="240" w:lineRule="auto"/>
        <w:ind w:left="283" w:hanging="283"/>
      </w:pPr>
      <w:r>
        <w:rPr>
          <w:rFonts w:ascii="Liberation Serif" w:hAnsi="Liberation Serif"/>
          <w:sz w:val="17"/>
        </w:rPr>
        <w:t>[102] B. W. Schick, V. Vanoppen, M. Uhl, M. Kruck, S. Riedel, Z. Zhao‐Karger, E. J. Berg, X. Hou, T. Jacob, Angew. Chem., Int. Ed. 2024, 63, e202413058. https://doi.org/10.1002/anie.202413058</w:t>
      </w:r>
    </w:p>
    <w:p>
      <w:pPr>
        <w:keepLines/>
        <w:spacing w:after="60" w:line="240" w:lineRule="auto"/>
        <w:ind w:left="283" w:hanging="283"/>
      </w:pPr>
      <w:r>
        <w:rPr>
          <w:rFonts w:ascii="Liberation Serif" w:hAnsi="Liberation Serif"/>
          <w:sz w:val="17"/>
        </w:rPr>
        <w:t>[103] W. Zhao, Z. Pan, Y. Zhang, Y. Liu, H. Dou, Y. Shi, Z. Zuo, B. Zhang, J. Chen, X. Zhao, X. Yang, Angew. Chem., Int. Ed. 2022, 61, e202205187. https://doi.org/10.1002/anie.202205187</w:t>
      </w:r>
    </w:p>
    <w:p>
      <w:pPr>
        <w:keepLines/>
        <w:spacing w:after="60" w:line="240" w:lineRule="auto"/>
        <w:ind w:left="283" w:hanging="283"/>
      </w:pPr>
      <w:r>
        <w:rPr>
          <w:rFonts w:ascii="Liberation Serif" w:hAnsi="Liberation Serif"/>
          <w:sz w:val="17"/>
        </w:rPr>
        <w:t>[104] C. Chen, J. Chen, S. Tan, X. Huang, Y. Du, B. Shang, B. Qu, G. Huang, X. Zhou, J. Wang, L. Li, F. Pan, Energy Storage Mater. 2023, 59, 102792. https://doi.org/10.1016/j.ensm.2023.102792</w:t>
      </w:r>
    </w:p>
    <w:p>
      <w:pPr>
        <w:keepLines/>
        <w:spacing w:after="60" w:line="240" w:lineRule="auto"/>
        <w:ind w:left="283" w:hanging="283"/>
      </w:pPr>
      <w:r>
        <w:rPr>
          <w:rFonts w:ascii="Liberation Serif" w:hAnsi="Liberation Serif"/>
          <w:sz w:val="17"/>
        </w:rPr>
        <w:t>[105] W. Wang, S. Ju, H. Zhang, X. Zhou, X. Yu, Energy Storage Mater. 2024, 70, 103493. https://doi.org/10.1016/j.ensm.2024.103493</w:t>
      </w:r>
    </w:p>
    <w:p>
      <w:pPr>
        <w:keepLines/>
        <w:spacing w:after="60" w:line="240" w:lineRule="auto"/>
        <w:ind w:left="283" w:hanging="283"/>
      </w:pPr>
      <w:r>
        <w:rPr>
          <w:rFonts w:ascii="Liberation Serif" w:hAnsi="Liberation Serif"/>
          <w:sz w:val="17"/>
        </w:rPr>
        <w:t>[106] Y. Mao, Y. Wang, J. Wang, H. Lin, X. Yang, W. Li, M. Liu, Chem. Eng. J. 2026, 529, 172981. https://doi.org/10.1016/j.cej.2026.172981</w:t>
      </w:r>
    </w:p>
    <w:p>
      <w:pPr>
        <w:keepLines/>
        <w:spacing w:after="60" w:line="240" w:lineRule="auto"/>
        <w:ind w:left="283" w:hanging="283"/>
      </w:pPr>
      <w:r>
        <w:rPr>
          <w:rFonts w:ascii="Liberation Serif" w:hAnsi="Liberation Serif"/>
          <w:sz w:val="17"/>
        </w:rPr>
        <w:t>[107] D.-T. Nguyen, A. Y. S. Eng, M.-F. Ng, V. Kumar, Z. Sofer, A. D. Handoko, G. S. Subramanian, Z. W. Seh, Cell Rep. Phys. Sci. 2020, 1, 100265. https://doi.org/10.1016/j.xcrp.2020.100265</w:t>
      </w:r>
    </w:p>
    <w:p>
      <w:pPr>
        <w:keepLines/>
        <w:spacing w:after="60" w:line="240" w:lineRule="auto"/>
        <w:ind w:left="283" w:hanging="283"/>
      </w:pPr>
      <w:r>
        <w:rPr>
          <w:rFonts w:ascii="Liberation Serif" w:hAnsi="Liberation Serif"/>
          <w:sz w:val="17"/>
        </w:rPr>
        <w:t>[108] D. Chinnadurai, Y. Li, C. Zhang, G. Yang, W. Y. Lieu, S. Kumar, Z. Xing, W. Liu, Z. W. Seh, Nano Lett. 2023, 23, 11233–11242. https://doi.org/10.1021/acs.nanolett.3c03740</w:t>
      </w:r>
    </w:p>
    <w:p>
      <w:pPr>
        <w:keepLines/>
        <w:spacing w:after="60" w:line="240" w:lineRule="auto"/>
        <w:ind w:left="283" w:hanging="283"/>
      </w:pPr>
      <w:r>
        <w:rPr>
          <w:rFonts w:ascii="Liberation Serif" w:hAnsi="Liberation Serif"/>
          <w:sz w:val="17"/>
        </w:rPr>
        <w:t>[109] H. Wang, X. Feng, Y. Chen, Y.-S. Liu, K. S. Han, M. Zhou, M. H. Engelhard, V. Murugesan, R. S. Assary, T. L. Liu, W. Henderson, Z. Nie, M. Gu, J. Xiao, C. Wang, K. Persson, D. Mei, J.-G. Zhang, K. T. Mueller, J. Guo, K. Zavadil, Y. Shao, J. Liu, ACS Energy Lett. 2020, 5, 200–206. https://doi.org/10.1021/acsenergylett.9b02211</w:t>
      </w:r>
    </w:p>
    <w:p>
      <w:pPr>
        <w:keepLines/>
        <w:spacing w:after="60" w:line="240" w:lineRule="auto"/>
        <w:ind w:left="283" w:hanging="283"/>
      </w:pPr>
      <w:r>
        <w:rPr>
          <w:rFonts w:ascii="Liberation Serif" w:hAnsi="Liberation Serif"/>
          <w:sz w:val="17"/>
        </w:rPr>
        <w:t>[110] Y. Liu, W. Zhao, Z. Pan, Z. Fan, M. Zhang, X. Zhao, J. Chen, X. Yang, Angew. Chem., Int. Ed. 2023, 62, e202302617. https://doi.org/10.1002/anie.202302617</w:t>
      </w:r>
    </w:p>
    <w:p>
      <w:pPr>
        <w:keepLines/>
        <w:spacing w:after="60" w:line="240" w:lineRule="auto"/>
        <w:ind w:left="283" w:hanging="283"/>
      </w:pPr>
      <w:r>
        <w:rPr>
          <w:rFonts w:ascii="Liberation Serif" w:hAnsi="Liberation Serif"/>
          <w:sz w:val="17"/>
        </w:rPr>
        <w:t>[111] H. Fan, Z. Zheng, L. Zhao, W. Li, J. Wang, M. Dai, Y. Zhao, J. Xiao, G. Wang, X. Ding, H. Xiao, J. Li, Y. Wu, Y. Zhang, Adv. Funct. Mater. 2020, 30, 1909370. https://doi.org/10.1002/adfm.201909370</w:t>
      </w:r>
    </w:p>
    <w:p>
      <w:pPr>
        <w:keepLines/>
        <w:spacing w:after="60" w:line="240" w:lineRule="auto"/>
        <w:ind w:left="283" w:hanging="283"/>
      </w:pPr>
      <w:r>
        <w:rPr>
          <w:rFonts w:ascii="Liberation Serif" w:hAnsi="Liberation Serif"/>
          <w:sz w:val="17"/>
        </w:rPr>
        <w:t>[112] L. Luo, X. Yang, Z. Gao, X. Li, J. Xu, Y. Zhang, R. Deng, G. Huang, J. Wang, F. Pan, Electrochim. Acta 2024, 478, 143815. https://doi.org/10.1016/j.electacta.2024.143815</w:t>
      </w:r>
    </w:p>
    <w:p>
      <w:pPr>
        <w:keepLines/>
        <w:spacing w:after="60" w:line="240" w:lineRule="auto"/>
        <w:ind w:left="283" w:hanging="283"/>
      </w:pPr>
      <w:r>
        <w:rPr>
          <w:rFonts w:ascii="Liberation Serif" w:hAnsi="Liberation Serif"/>
          <w:sz w:val="17"/>
        </w:rPr>
        <w:t>[113] H. Zhou, W. Sun, X. Su, M. Liu, Z. Zhou, A. Du, S. Dong, Q. Wang, Z. Zhang, G. Li, G. Cui, Angew. Chem., Int. Ed. 2025, 64, e202415540. https://doi.org/10.1002/anie.202415540</w:t>
      </w:r>
    </w:p>
    <w:p>
      <w:pPr>
        <w:keepLines/>
        <w:spacing w:after="60" w:line="240" w:lineRule="auto"/>
        <w:ind w:left="283" w:hanging="283"/>
      </w:pPr>
      <w:r>
        <w:rPr>
          <w:rFonts w:ascii="Liberation Serif" w:hAnsi="Liberation Serif"/>
          <w:sz w:val="17"/>
        </w:rPr>
        <w:t>[114] K. Tang, A. Du, X. Du, S. Dong, C. Lu, Z. Cui, L. Li, G. Ding, F. Chen, X. Zhou, G. Cui, Small 2020, 16, 2005424. https://doi.org/10.1002/smll.202005424</w:t>
      </w:r>
    </w:p>
    <w:p>
      <w:pPr>
        <w:keepLines/>
        <w:spacing w:after="60" w:line="240" w:lineRule="auto"/>
        <w:ind w:left="283" w:hanging="283"/>
      </w:pPr>
      <w:r>
        <w:rPr>
          <w:rFonts w:ascii="Liberation Serif" w:hAnsi="Liberation Serif"/>
          <w:sz w:val="17"/>
        </w:rPr>
        <w:t>[115] J. G. Connell, B. Genorio, P. P. Lopes, D. Strmcnik, V. R. Stamenkovic, N. M. Markovic, Chem. Mater. 2016, 28, 8268–8277. https://doi.org/10.1021/acs.chemmater.6b03227</w:t>
      </w:r>
    </w:p>
    <w:p>
      <w:pPr>
        <w:keepLines/>
        <w:spacing w:after="60" w:line="240" w:lineRule="auto"/>
        <w:ind w:left="283" w:hanging="283"/>
      </w:pPr>
      <w:r>
        <w:rPr>
          <w:rFonts w:ascii="Liberation Serif" w:hAnsi="Liberation Serif"/>
          <w:sz w:val="17"/>
        </w:rPr>
        <w:t>[116] S.-J. Kang, H. Kim, S. Hwang, M. Jo, M. Jang, C. Park, S.-T. Hong, H. Lee, ACS Appl. Mater. Interfaces 2019, 11, 517–524. https://doi.org/10.1021/acsami.8b13588</w:t>
      </w:r>
    </w:p>
    <w:p>
      <w:pPr>
        <w:keepLines/>
        <w:spacing w:after="60" w:line="240" w:lineRule="auto"/>
        <w:ind w:left="283" w:hanging="283"/>
      </w:pPr>
      <w:r>
        <w:rPr>
          <w:rFonts w:ascii="Liberation Serif" w:hAnsi="Liberation Serif"/>
          <w:sz w:val="17"/>
        </w:rPr>
        <w:t>[117] S. Hebié, H. P. K. Ngo, J.-C. Leprêtre, C. Iojoiu, L. Cointeaux, R. Berthelot, F. Alloin, ACS Appl. Mater. Interfaces 2017, 9, 28377–28385. https://doi.org/10.1021/acsami.7b06022</w:t>
      </w:r>
    </w:p>
    <w:p>
      <w:pPr>
        <w:keepLines/>
        <w:spacing w:after="60" w:line="240" w:lineRule="auto"/>
        <w:ind w:left="283" w:hanging="283"/>
      </w:pPr>
      <w:r>
        <w:rPr>
          <w:rFonts w:ascii="Liberation Serif" w:hAnsi="Liberation Serif"/>
          <w:sz w:val="17"/>
        </w:rPr>
        <w:t>[118] D. Zhang, Y. Sun, X. Liu, Y. Zhang, R. Wang, Y. Zhao, M. Pan, Y. Wang, S. Chen, M. Zhou, Y. Chen, J. Yang, J. Wang, Y. NuLi, ACS Energy Lett. 2024, 9, 2685–2695. https://doi.org/10.1021/acsenergylett.4c00757</w:t>
      </w:r>
    </w:p>
    <w:p>
      <w:pPr>
        <w:keepLines/>
        <w:spacing w:after="60" w:line="240" w:lineRule="auto"/>
        <w:ind w:left="283" w:hanging="283"/>
      </w:pPr>
      <w:r>
        <w:rPr>
          <w:rFonts w:ascii="Liberation Serif" w:hAnsi="Liberation Serif"/>
          <w:sz w:val="17"/>
        </w:rPr>
        <w:t>[119] Y. Du, Y. Chen, S. Tan, J. Chen, X. Huang, L. Cui, J. Long, Z. Wang, X. Yao, B. Shang, G. Huang, X. Zhou, L. Li, J. Wang, F. Pan, Energy Storage Mater. 2023, 62, 102939. https://doi.org/10.1016/j.ensm.2023.102939</w:t>
      </w:r>
    </w:p>
    <w:p>
      <w:pPr>
        <w:keepLines/>
        <w:spacing w:after="60" w:line="240" w:lineRule="auto"/>
        <w:ind w:left="283" w:hanging="283"/>
      </w:pPr>
      <w:r>
        <w:rPr>
          <w:rFonts w:ascii="Liberation Serif" w:hAnsi="Liberation Serif"/>
          <w:sz w:val="17"/>
        </w:rPr>
        <w:t>[120] M. Chen, S. Zhang, X. Ge, Z. Yang, G. Sun, A. Du, J. Zhao, S. Li, J. Xiao, H. Li, G. Cui, Adv. Mater. 2025, 37, 2418761. https://doi.org/10.1002/adma.202418761</w:t>
      </w:r>
    </w:p>
    <w:p>
      <w:pPr>
        <w:keepLines/>
        <w:spacing w:after="60" w:line="240" w:lineRule="auto"/>
        <w:ind w:left="283" w:hanging="283"/>
      </w:pPr>
      <w:r>
        <w:rPr>
          <w:rFonts w:ascii="Liberation Serif" w:hAnsi="Liberation Serif"/>
          <w:sz w:val="17"/>
        </w:rPr>
        <w:t>[121] B. Li, R. Masse, C. Liu, Y. Hu, W. Li, G. Zhang, G. Cao, Energy Storage Mater. 2019, 22, 96–104. https://doi.org/10.1016/j.ensm.2019.06.035</w:t>
      </w:r>
    </w:p>
    <w:p>
      <w:pPr>
        <w:keepLines/>
        <w:spacing w:after="60" w:line="240" w:lineRule="auto"/>
        <w:ind w:left="283" w:hanging="283"/>
      </w:pPr>
      <w:r>
        <w:rPr>
          <w:rFonts w:ascii="Liberation Serif" w:hAnsi="Liberation Serif"/>
          <w:sz w:val="17"/>
        </w:rPr>
        <w:t>[122] J. Bi, Y. Liu, Z. Du, K. Wang, W. Guan, H. Wu, W. Ai, W. Huang, Adv. Mater. 2024, 36, 2309339. https://doi.org/10.1002/adma.202309339</w:t>
      </w:r>
    </w:p>
    <w:p>
      <w:pPr>
        <w:keepLines/>
        <w:spacing w:after="60" w:line="240" w:lineRule="auto"/>
        <w:ind w:left="283" w:hanging="283"/>
      </w:pPr>
      <w:r>
        <w:rPr>
          <w:rFonts w:ascii="Liberation Serif" w:hAnsi="Liberation Serif"/>
          <w:sz w:val="17"/>
        </w:rPr>
        <w:t>[123] J. Bi, Z. Zhou, J. Li, B. Li, X. Sun, Y. Liu, K. Wang, G. Gao, Z. Du, W. Ai, W. Huang, Angew. Chem., Int. Ed. 2024, 63, e202407770. https://doi.org/10.1002/anie.202407770</w:t>
      </w:r>
    </w:p>
    <w:p>
      <w:pPr>
        <w:keepLines/>
        <w:spacing w:after="60" w:line="240" w:lineRule="auto"/>
        <w:ind w:left="283" w:hanging="283"/>
      </w:pPr>
      <w:r>
        <w:rPr>
          <w:rFonts w:ascii="Liberation Serif" w:hAnsi="Liberation Serif"/>
          <w:sz w:val="17"/>
        </w:rPr>
        <w:t>[124] G. Yang, Y. Li, J. Wang, Y. Lum, C. Y. J. Lim, M.-F. Ng, C. Zhang, Z. Chang, Z. Zhang, A. D. Handoko, T. Ghosh, S. Li, Z. Sofer, W. Liu, Y. Yao, Z. W. Seh, Energy Environ. Sci. 2024, 17, 1141–1152. https://doi.org/10.1039/d3ee02317f</w:t>
      </w:r>
    </w:p>
    <w:p>
      <w:pPr>
        <w:keepLines/>
        <w:spacing w:after="60" w:line="240" w:lineRule="auto"/>
        <w:ind w:left="283" w:hanging="283"/>
      </w:pPr>
      <w:r>
        <w:rPr>
          <w:rFonts w:ascii="Liberation Serif" w:hAnsi="Liberation Serif"/>
          <w:sz w:val="17"/>
        </w:rPr>
        <w:t>[125] G. Li, L. Cao, M. Lei, K. Chen, C. Li, Energy Environ. Sci. 2025, 18, 7254–7266. https://doi.org/10.1039/d5ee01011j</w:t>
      </w:r>
    </w:p>
    <w:p>
      <w:pPr>
        <w:keepLines/>
        <w:spacing w:after="60" w:line="240" w:lineRule="auto"/>
        <w:ind w:left="283" w:hanging="283"/>
      </w:pPr>
      <w:r>
        <w:rPr>
          <w:rFonts w:ascii="Liberation Serif" w:hAnsi="Liberation Serif"/>
          <w:sz w:val="17"/>
        </w:rPr>
        <w:t>[126] J. Eaves-Rathert, K. Moyer, M. Zohair, C. L. Pint, Joule 2020, 4, 1324–1336. https://doi.org/10.1016/j.joule.2020.05.007</w:t>
      </w:r>
    </w:p>
    <w:p>
      <w:pPr>
        <w:keepLines/>
        <w:spacing w:after="60" w:line="240" w:lineRule="auto"/>
        <w:ind w:left="283" w:hanging="283"/>
      </w:pPr>
      <w:r>
        <w:rPr>
          <w:rFonts w:ascii="Liberation Serif" w:hAnsi="Liberation Serif"/>
          <w:sz w:val="17"/>
        </w:rPr>
        <w:t>[127] M. S. Ding, T. Diemant, R. J. Behm, S. Passerini, G. A. Giffin, J. Electrochem. Soc. 2018, 165, A1983–A1990. https://doi.org/10.1149/2.1471809jes</w:t>
      </w:r>
    </w:p>
    <w:p>
      <w:pPr>
        <w:keepLines/>
        <w:spacing w:after="60" w:line="240" w:lineRule="auto"/>
        <w:ind w:left="283" w:hanging="283"/>
      </w:pPr>
      <w:r>
        <w:rPr>
          <w:rFonts w:ascii="Liberation Serif" w:hAnsi="Liberation Serif"/>
          <w:sz w:val="17"/>
        </w:rPr>
        <w:t>[128] Y. He, Q. Li, L. Yang, C. Yang, D. Xu, Angew. Chem., Int. Ed. 2019, 58, 7615–7619. https://doi.org/10.1002/anie.201812824</w:t>
      </w:r>
    </w:p>
    <w:p>
      <w:pPr>
        <w:keepLines/>
        <w:spacing w:after="60" w:line="240" w:lineRule="auto"/>
        <w:ind w:left="283" w:hanging="283"/>
      </w:pPr>
      <w:r>
        <w:rPr>
          <w:rFonts w:ascii="Liberation Serif" w:hAnsi="Liberation Serif"/>
          <w:sz w:val="17"/>
        </w:rPr>
        <w:t>[129] Z. Zhang, Z. Cui, L. Qiao, J. Guan, H. Xu, X. Wang, P. Hu, H. Du, S. Li, X. Zhou, S. Dong, Z. Liu, G. Cui, L. Chen, Adv. Energy Mater. 2017, 7, 1602055. https://doi.org/10.1002/aenm.201602055</w:t>
      </w:r>
    </w:p>
    <w:p>
      <w:pPr>
        <w:keepLines/>
        <w:spacing w:after="60" w:line="240" w:lineRule="auto"/>
        <w:ind w:left="283" w:hanging="283"/>
      </w:pPr>
      <w:r>
        <w:rPr>
          <w:rFonts w:ascii="Liberation Serif" w:hAnsi="Liberation Serif"/>
          <w:sz w:val="17"/>
        </w:rPr>
        <w:t>[130] W. Ren, M. Cheng, Y. Wang, D. Zhang, Y. Yang, J. Yang, J. Wang, Y. NuLi, Batteries Supercaps 2022, 5, e202200263. https://doi.org/10.1002/batt.202200263</w:t>
      </w:r>
    </w:p>
    <w:p>
      <w:pPr>
        <w:keepLines/>
        <w:spacing w:after="60" w:line="240" w:lineRule="auto"/>
        <w:ind w:left="283" w:hanging="283"/>
      </w:pPr>
      <w:r>
        <w:rPr>
          <w:rFonts w:ascii="Liberation Serif" w:hAnsi="Liberation Serif"/>
          <w:sz w:val="17"/>
        </w:rPr>
        <w:t>[131] A. Du, Z. Zhang, H. Qu, Z. Cui, L. Qiao, L. Wang, J. Chai, T. Lu, S. Dong, T. Dong, H. Xu, X. Zhou, G. Cui, Energy Environ. Sci. 2017, 10, 2616–2625. https://doi.org/10.1039/c7ee02304a</w:t>
      </w:r>
    </w:p>
    <w:p>
      <w:pPr>
        <w:keepLines/>
        <w:spacing w:after="60" w:line="240" w:lineRule="auto"/>
        <w:ind w:left="283" w:hanging="283"/>
      </w:pPr>
      <w:r>
        <w:rPr>
          <w:rFonts w:ascii="Liberation Serif" w:hAnsi="Liberation Serif"/>
          <w:sz w:val="17"/>
        </w:rPr>
        <w:t>[132] J. T. Herb, C. A. Nist-Lund, C. B. Arnold, J. Mater. Chem. A 2017, 5, 7801–7805. https://doi.org/10.1039/c7ta01578j</w:t>
      </w:r>
    </w:p>
    <w:p>
      <w:pPr>
        <w:keepLines/>
        <w:spacing w:after="60" w:line="240" w:lineRule="auto"/>
        <w:ind w:left="283" w:hanging="283"/>
      </w:pPr>
      <w:r>
        <w:rPr>
          <w:rFonts w:ascii="Liberation Serif" w:hAnsi="Liberation Serif"/>
          <w:sz w:val="17"/>
        </w:rPr>
        <w:t>[133] Y. Sun, Y. Wang, L. Jiang, D. Dong, W. Wang, J. Fan, Y.-C. Lu, Energy Environ. Sci. 2023, 16, 265–274. https://doi.org/10.1039/d2ee03235j</w:t>
      </w:r>
    </w:p>
    <w:p>
      <w:pPr>
        <w:keepLines/>
        <w:spacing w:after="60" w:line="240" w:lineRule="auto"/>
        <w:ind w:left="283" w:hanging="283"/>
      </w:pPr>
      <w:r>
        <w:rPr>
          <w:rFonts w:ascii="Liberation Serif" w:hAnsi="Liberation Serif"/>
          <w:sz w:val="17"/>
        </w:rPr>
        <w:t>[134] P. Liu, J. Long, R. Wang, Y. Zhou, B. Qu, L. Zhang, X. Zhou, Q. An, Energy Storage Mater. 2024, 71, 103679. https://doi.org/10.1016/j.ensm.2024.103679</w:t>
      </w:r>
    </w:p>
    <w:p>
      <w:pPr>
        <w:keepLines/>
        <w:spacing w:after="60" w:line="240" w:lineRule="auto"/>
        <w:ind w:left="283" w:hanging="283"/>
      </w:pPr>
      <w:r>
        <w:rPr>
          <w:rFonts w:ascii="Liberation Serif" w:hAnsi="Liberation Serif"/>
          <w:sz w:val="17"/>
        </w:rPr>
        <w:t>[135] Y. Shen, Y. Wang, Y. Miao, Q. Li, X. Zhao, X. Shen, Adv. Mater. 2023, 35, 2208289. https://doi.org/10.1002/adma.202208289</w:t>
      </w:r>
    </w:p>
    <w:p>
      <w:pPr>
        <w:keepLines/>
        <w:spacing w:after="60" w:line="240" w:lineRule="auto"/>
        <w:ind w:left="283" w:hanging="283"/>
      </w:pPr>
      <w:r>
        <w:rPr>
          <w:rFonts w:ascii="Liberation Serif" w:hAnsi="Liberation Serif"/>
          <w:sz w:val="17"/>
        </w:rPr>
        <w:t>[136] T. Pavčnik, J. Bitenc, K. Pirnat, R. Dominko, Batteries Supercaps 2021, 4, 815–822. https://doi.org/10.1002/batt.202000293</w:t>
      </w:r>
    </w:p>
    <w:p>
      <w:pPr>
        <w:keepLines/>
        <w:spacing w:after="60" w:line="240" w:lineRule="auto"/>
        <w:ind w:left="283" w:hanging="283"/>
      </w:pPr>
      <w:r>
        <w:rPr>
          <w:rFonts w:ascii="Liberation Serif" w:hAnsi="Liberation Serif"/>
          <w:sz w:val="17"/>
        </w:rPr>
        <w:t>[137] H. Dong, Y. Liang, O. Tutusaus, R. Mohtadi, Y. Zhang, F. Hao, Y. Yao, Joule 2019, 3, 782–793. https://doi.org/10.1016/j.joule.2018.11.022</w:t>
      </w:r>
    </w:p>
    <w:p>
      <w:pPr>
        <w:keepLines/>
        <w:spacing w:after="60" w:line="240" w:lineRule="auto"/>
        <w:ind w:left="283" w:hanging="283"/>
      </w:pPr>
      <w:r>
        <w:rPr>
          <w:rFonts w:ascii="Liberation Serif" w:hAnsi="Liberation Serif"/>
          <w:sz w:val="17"/>
        </w:rPr>
        <w:t>[138] H. Dong, O. Tutusaus, Y. Liang, Y. Zhang, Z. Lebens-Higgins, W. Yang, R. Mohtadi, Y. Yao, Nat. Energy 2020, 5, 1043–1050. https://doi.org/10.1038/s41560-020-00734-0</w:t>
      </w:r>
    </w:p>
    <w:p>
      <w:pPr>
        <w:keepLines/>
        <w:spacing w:after="60" w:line="240" w:lineRule="auto"/>
        <w:ind w:left="283" w:hanging="283"/>
      </w:pPr>
      <w:r>
        <w:rPr>
          <w:rFonts w:ascii="Liberation Serif" w:hAnsi="Liberation Serif"/>
          <w:sz w:val="17"/>
        </w:rPr>
        <w:t>[139] H. S. Kim, T. S. Arthur, G. D. Allred, J. Zajicek, J. G. Newman, A. E. Rodnyansky, A. G. Oliver, W. C. Boggess, J. Muldoon, Nat. Commun. 2011, 2, 427. https://doi.org/10.1038/ncomms1435</w:t>
      </w:r>
    </w:p>
    <w:p>
      <w:pPr>
        <w:keepLines/>
        <w:spacing w:after="60" w:line="240" w:lineRule="auto"/>
        <w:ind w:left="283" w:hanging="283"/>
      </w:pPr>
      <w:r>
        <w:rPr>
          <w:rFonts w:ascii="Liberation Serif" w:hAnsi="Liberation Serif"/>
          <w:sz w:val="17"/>
        </w:rPr>
        <w:t>[140] P. Hegemann, M. Hegemann, L. Zan, H. Baltruschat, J. Electrochem. Soc. 2019, 166, A245–A250. https://doi.org/10.1149/2.0871902jes</w:t>
      </w:r>
    </w:p>
    <w:p>
      <w:pPr>
        <w:keepLines/>
        <w:spacing w:after="60" w:line="240" w:lineRule="auto"/>
        <w:ind w:left="283" w:hanging="283"/>
      </w:pPr>
      <w:r>
        <w:rPr>
          <w:rFonts w:ascii="Liberation Serif" w:hAnsi="Liberation Serif"/>
          <w:sz w:val="17"/>
        </w:rPr>
        <w:t>[141] R. Iimura, H. Kobayashi, I. Honma, Electrochemistry 2022, 90, 067002. https://doi.org/10.5796/electrochemistry.22-00045</w:t>
      </w:r>
    </w:p>
    <w:p>
      <w:pPr>
        <w:keepLines/>
        <w:spacing w:after="60" w:line="240" w:lineRule="auto"/>
        <w:ind w:left="283" w:hanging="283"/>
      </w:pPr>
      <w:r>
        <w:rPr>
          <w:rFonts w:ascii="Liberation Serif" w:hAnsi="Liberation Serif"/>
          <w:sz w:val="17"/>
        </w:rPr>
        <w:t>[142] J. Behler, M. Parrinello, Phys. Rev. Lett. 2007, 98, 146401. https://doi.org/10.1103/physrevlett.98.146401</w:t>
      </w:r>
    </w:p>
    <w:p>
      <w:pPr>
        <w:keepLines/>
        <w:spacing w:after="60" w:line="240" w:lineRule="auto"/>
        <w:ind w:left="283" w:hanging="283"/>
      </w:pPr>
      <w:r>
        <w:rPr>
          <w:rFonts w:ascii="Liberation Serif" w:hAnsi="Liberation Serif"/>
          <w:sz w:val="17"/>
        </w:rPr>
        <w:t>[143] H. Hua, F. Wang, F. Wang, J. Wu, Y. Xu, Y. Zhuang, J. Zeng, J. Zhao, Energy Storage Mater. 2024, 70, 103470. https://doi.org/10.1016/j.ensm.2024.103470</w:t>
      </w:r>
    </w:p>
    <w:p>
      <w:pPr>
        <w:keepLines/>
        <w:spacing w:after="60" w:line="240" w:lineRule="auto"/>
        <w:ind w:left="283" w:hanging="283"/>
      </w:pPr>
      <w:r>
        <w:rPr>
          <w:rFonts w:ascii="Liberation Serif" w:hAnsi="Liberation Serif"/>
          <w:sz w:val="17"/>
        </w:rPr>
        <w:t>[144] P. M. Attia, A. Grover, N. Jin, K. A. Severson, T. M. Markov, Y.-H. Liao, M. H. Chen, B. Cheong, N. Perkins, Z. Yang, P. K. Herring, M. Aykol, S. J. Harris, R. D. Braatz, S. Ermon, W. C. Chueh, Nature 2020, 578, 397–402. https://doi.org/10.1038/s41586-020-1994-5</w:t>
      </w:r>
    </w:p>
    <w:p>
      <w:pPr>
        <w:keepLines/>
        <w:spacing w:after="60" w:line="240" w:lineRule="auto"/>
        <w:ind w:left="283" w:hanging="283"/>
      </w:pPr>
      <w:r>
        <w:rPr>
          <w:rFonts w:ascii="Liberation Serif" w:hAnsi="Liberation Serif"/>
          <w:sz w:val="17"/>
        </w:rPr>
        <w:t>[145] A. Ponrouch, C. Frontera, F. Bardé, M. R. Palacín, Nat. Mater. 2016, 15, 169–172. https://doi.org/10.1038/nmat4462</w:t>
      </w:r>
    </w:p>
    <w:p>
      <w:pPr>
        <w:keepLines/>
        <w:spacing w:after="60" w:line="240" w:lineRule="auto"/>
        <w:ind w:left="283" w:hanging="283"/>
      </w:pPr>
      <w:r>
        <w:rPr>
          <w:rFonts w:ascii="Liberation Serif" w:hAnsi="Liberation Serif"/>
          <w:sz w:val="17"/>
        </w:rPr>
        <w:t>[146] M.-C. Lin, M. Gong, B. Lu, Y. Wu, D.-Y. Wang, M. Guan, M. Angell, C. Chen, J. Yang, B.-J. Hwang, H. Dai, Nature 2015, 520, 324–328. https://doi.org/10.1038/nature14340</w:t>
      </w:r>
    </w:p>
    <w:p>
      <w:pPr>
        <w:keepLines/>
        <w:spacing w:after="60" w:line="240" w:lineRule="auto"/>
        <w:ind w:left="283" w:hanging="283"/>
      </w:pPr>
      <w:r>
        <w:rPr>
          <w:rFonts w:ascii="Liberation Serif" w:hAnsi="Liberation Serif"/>
          <w:sz w:val="17"/>
        </w:rPr>
        <w:t>[147] W. Zhao, Y. Liu, X. Zhao, Z. Pan, J. Chen, S. Zheng, L. Qu, X. Yang, Chem. Eur. J. 2023, 29, e202203334. https://doi.org/10.1002/chem.202203334</w:t>
      </w:r>
    </w:p>
    <w:sectPr w:rsidR="00FC693F" w:rsidRPr="0006063C" w:rsidSect="00034616">
      <w:headerReference w:type="default" r:id="rId52"/>
      <w:footerReference w:type="default" r:id="rId53"/>
      <w:type w:val="continuous"/>
      <w:pgSz w:w="11906" w:h="16838"/>
      <w:pgMar w:top="1077" w:right="1020" w:bottom="1020" w:left="1020" w:header="567" w:footer="51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5478" w:val="right"/>
      </w:tabs>
      <w:spacing w:after="40"/>
      <w:pBdr>
        <w:bottom w:val="single" w:sz="4" w:color="777777" w:space="4"/>
      </w:pBdr>
    </w:pPr>
    <w:r>
      <w:rPr>
        <w:rFonts w:ascii="Liberation Sans" w:hAnsi="Liberation Sans"/>
        <w:b/>
        <w:sz w:val="18"/>
      </w:rPr>
      <w:t>PERSPECTIVE</w:t>
      <w:tab/>
      <w:t>MAGNESIUM ELECTROLYTES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Liberation Serif" w:hAnsi="Liberation Serif"/>
      <w:color w:val="000000"/>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Liberation Sans" w:hAnsi="Liberation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ans" w:hAnsi="Liberation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50" w:lineRule="auto" w:after="160"/>
    </w:pPr>
    <w:rPr>
      <w:rFonts w:ascii="Liberation Sans" w:hAnsi="Liberation Sans"/>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002/anie.201412202" TargetMode="External"/><Relationship Id="rId13" Type="http://schemas.openxmlformats.org/officeDocument/2006/relationships/hyperlink" Target="https://doi.org/10.1002/adma.202417652" TargetMode="External"/><Relationship Id="rId14" Type="http://schemas.openxmlformats.org/officeDocument/2006/relationships/hyperlink" Target="https://doi.org/10.1002/anie.201902009" TargetMode="External"/><Relationship Id="rId15" Type="http://schemas.openxmlformats.org/officeDocument/2006/relationships/hyperlink" Target="https://doi.org/10.1039/d3ee02861e" TargetMode="External"/><Relationship Id="rId16" Type="http://schemas.openxmlformats.org/officeDocument/2006/relationships/hyperlink" Target="https://doi.org/10.1002/aenm.202301544" TargetMode="External"/><Relationship Id="rId17" Type="http://schemas.openxmlformats.org/officeDocument/2006/relationships/hyperlink" Target="https://doi.org/10.1126/science.abg3954" TargetMode="External"/><Relationship Id="rId18" Type="http://schemas.openxmlformats.org/officeDocument/2006/relationships/hyperlink" Target="https://doi.org/10.1002/anie.202304411" TargetMode="External"/><Relationship Id="rId19" Type="http://schemas.openxmlformats.org/officeDocument/2006/relationships/hyperlink" Target="https://doi.org/10.1002/aenm.202301795" TargetMode="External"/><Relationship Id="rId20" Type="http://schemas.openxmlformats.org/officeDocument/2006/relationships/hyperlink" Target="https://doi.org/10.1002/adma.202203783" TargetMode="External"/><Relationship Id="rId21" Type="http://schemas.openxmlformats.org/officeDocument/2006/relationships/hyperlink" Target="https://doi.org/10.1021/acscentsci.6c01164" TargetMode="External"/><Relationship Id="rId22" Type="http://schemas.openxmlformats.org/officeDocument/2006/relationships/hyperlink" Target="https://doi.org/10.1021/acs.langmuir.6c03054" TargetMode="Externa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 Id="rId30" Type="http://schemas.openxmlformats.org/officeDocument/2006/relationships/header" Target="header4.xml"/><Relationship Id="rId31" Type="http://schemas.openxmlformats.org/officeDocument/2006/relationships/footer" Target="footer4.xml"/><Relationship Id="rId32" Type="http://schemas.openxmlformats.org/officeDocument/2006/relationships/header" Target="header5.xml"/><Relationship Id="rId33" Type="http://schemas.openxmlformats.org/officeDocument/2006/relationships/footer" Target="footer5.xml"/><Relationship Id="rId34" Type="http://schemas.openxmlformats.org/officeDocument/2006/relationships/header" Target="header6.xml"/><Relationship Id="rId35" Type="http://schemas.openxmlformats.org/officeDocument/2006/relationships/footer" Target="footer6.xml"/><Relationship Id="rId36" Type="http://schemas.openxmlformats.org/officeDocument/2006/relationships/header" Target="header7.xml"/><Relationship Id="rId37" Type="http://schemas.openxmlformats.org/officeDocument/2006/relationships/footer" Target="footer7.xml"/><Relationship Id="rId38" Type="http://schemas.openxmlformats.org/officeDocument/2006/relationships/header" Target="header8.xml"/><Relationship Id="rId39" Type="http://schemas.openxmlformats.org/officeDocument/2006/relationships/footer" Target="footer8.xml"/><Relationship Id="rId40" Type="http://schemas.openxmlformats.org/officeDocument/2006/relationships/header" Target="header9.xml"/><Relationship Id="rId41" Type="http://schemas.openxmlformats.org/officeDocument/2006/relationships/footer" Target="footer9.xml"/><Relationship Id="rId42" Type="http://schemas.openxmlformats.org/officeDocument/2006/relationships/header" Target="header10.xml"/><Relationship Id="rId43" Type="http://schemas.openxmlformats.org/officeDocument/2006/relationships/footer" Target="footer10.xml"/><Relationship Id="rId44" Type="http://schemas.openxmlformats.org/officeDocument/2006/relationships/header" Target="header11.xml"/><Relationship Id="rId45" Type="http://schemas.openxmlformats.org/officeDocument/2006/relationships/footer" Target="footer11.xml"/><Relationship Id="rId46" Type="http://schemas.openxmlformats.org/officeDocument/2006/relationships/header" Target="header12.xml"/><Relationship Id="rId47" Type="http://schemas.openxmlformats.org/officeDocument/2006/relationships/footer" Target="footer12.xml"/><Relationship Id="rId48" Type="http://schemas.openxmlformats.org/officeDocument/2006/relationships/header" Target="header13.xml"/><Relationship Id="rId49" Type="http://schemas.openxmlformats.org/officeDocument/2006/relationships/footer" Target="footer13.xml"/><Relationship Id="rId50" Type="http://schemas.openxmlformats.org/officeDocument/2006/relationships/header" Target="header14.xml"/><Relationship Id="rId51" Type="http://schemas.openxmlformats.org/officeDocument/2006/relationships/footer" Target="footer14.xml"/><Relationship Id="rId52" Type="http://schemas.openxmlformats.org/officeDocument/2006/relationships/header" Target="header15.xml"/><Relationship Id="rId53"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Anion Coordination and Magnesium Transfer Pathways</dc:title>
  <dc:subject>Perspective on magnesium electrolyte solvation structures</dc:subject>
  <dc:creator/>
  <cp:keywords>magnesium electrolyte solvation Perspective</cp:keywords>
  <dc:description>AM-style editable manuscript draft; author information has not been supplied.</dc:description>
  <cp:lastModifiedBy/>
  <cp:revision>1</cp:revision>
  <dcterms:created xsi:type="dcterms:W3CDTF">2013-12-23T23:15:00Z</dcterms:created>
  <dcterms:modified xsi:type="dcterms:W3CDTF">2013-12-23T23:15:00Z</dcterms:modified>
  <cp:category/>
</cp:coreProperties>
</file>