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40" w:line="240" w:lineRule="auto" w:before="0"/>
      </w:pPr>
      <w:r>
        <w:rPr>
          <w:b/>
          <w:sz w:val="22"/>
        </w:rPr>
        <w:t xml:space="preserve">Table 1. </w:t>
      </w:r>
      <w:r>
        <w:rPr>
          <w:b w:val="0"/>
          <w:sz w:val="22"/>
        </w:rPr>
        <w:t>Representative electrolyte strategies reveal multiple kinetic pathways for magnesium transfer.</w:t>
      </w:r>
    </w:p>
    <w:tbl>
      <w:tblPr>
        <w:tblW w:type="dxa" w:w="15477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28" w:type="dxa"/>
          <w:bottom w:w="28" w:type="dxa"/>
          <w:left w:w="60" w:type="dxa"/>
          <w:right w:w="60" w:type="dxa"/>
        </w:tblCellMar>
      </w:tblPr>
      <w:tblGrid>
        <w:gridCol w:w="1701"/>
        <w:gridCol w:w="2835"/>
        <w:gridCol w:w="1020"/>
        <w:gridCol w:w="3402"/>
        <w:gridCol w:w="5499"/>
        <w:gridCol w:w="1020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Design strategy</w:t>
            </w:r>
          </w:p>
        </w:tc>
        <w:tc>
          <w:tcPr>
            <w:tcW w:type="dxa" w:w="2835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Representative chemistry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Reported Mg CE (%)</w:t>
            </w:r>
          </w:p>
        </w:tc>
        <w:tc>
          <w:tcPr>
            <w:tcW w:type="dxa" w:w="3402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Reported readout context</w:t>
            </w:r>
          </w:p>
        </w:tc>
        <w:tc>
          <w:tcPr>
            <w:tcW w:type="dxa" w:w="5499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Mechanistic question to test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Source refs.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Mg(CB₁₁H₁₂)₂/G4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&gt;94.4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reversibility; value compiled by Zhang et al.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solvent rearrangement remain accessible as persistent anion association is reduced?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9">
              <w:r>
                <w:rPr>
                  <w:rFonts w:ascii="Liberation Serif" w:hAnsi="Liberation Serif"/>
                  <w:color w:val="000000"/>
                  <w:sz w:val="19"/>
                </w:rPr>
                <w:t>[44]</w:t>
              </w:r>
            </w:hyperlink>
            <w:r>
              <w:rPr>
                <w:sz w:val="17"/>
              </w:rPr>
              <w:br/>
              <w:t xml:space="preserve">via </w:t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perfluorinated pinacolatoborate (Mg-FPB)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Original report of reversible Mg deposition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weak anion association leave solvent rearrangement as the main limitation?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1">
              <w:r>
                <w:rPr>
                  <w:rFonts w:ascii="Liberation Serif" w:hAnsi="Liberation Serif"/>
                  <w:color w:val="000000"/>
                  <w:sz w:val="19"/>
                </w:rPr>
                <w:t>[48]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Promote pair dissociation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Mg(TFSI)₂/DME–G2–BTFE–TEP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95.2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plating/stripping; value compiled by Zhang et al.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dissociation increase reactive precursor availability independently of surface and growth changes?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2">
              <w:r>
                <w:rPr>
                  <w:rFonts w:ascii="Liberation Serif" w:hAnsi="Liberation Serif"/>
                  <w:color w:val="000000"/>
                  <w:sz w:val="19"/>
                </w:rPr>
                <w:t>[24]</w:t>
              </w:r>
            </w:hyperlink>
            <w:r>
              <w:rPr>
                <w:sz w:val="17"/>
              </w:rPr>
              <w:br/>
              <w:t xml:space="preserve">via </w:t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Introduce primary-shell pairing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solvated amine + strongly coordinating Mg salt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99.6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CE reported for 800 cycles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Pairing suppresses amine reduction and H₂ evolution; does ligand exchange also change?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3">
              <w:r>
                <w:rPr>
                  <w:rFonts w:ascii="Liberation Serif" w:hAnsi="Liberation Serif"/>
                  <w:color w:val="000000"/>
                  <w:sz w:val="19"/>
                </w:rPr>
                <w:t>[80]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Reshape solvent coordination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Mg(TFSI)₂/DME–MOPA-1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99.5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plating/stripping; value compiled by Zhang et al.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modified solvent coordination speed rearrangement, charge transfer or both?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4">
              <w:r>
                <w:rPr>
                  <w:rFonts w:ascii="Liberation Serif" w:hAnsi="Liberation Serif"/>
                  <w:color w:val="000000"/>
                  <w:sz w:val="19"/>
                </w:rPr>
                <w:t>[76]</w:t>
              </w:r>
            </w:hyperlink>
            <w:r>
              <w:rPr>
                <w:sz w:val="17"/>
              </w:rPr>
              <w:br/>
              <w:t xml:space="preserve">via </w:t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Mixed-ion coordination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 + LiOTf/DME–TMP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Original report of Mg-metal reversibility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much comes from altered Mg–DME interaction versus the phosphate-rich interface?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5">
              <w:r>
                <w:rPr>
                  <w:rFonts w:ascii="Liberation Serif" w:hAnsi="Liberation Serif"/>
                  <w:color w:val="000000"/>
                  <w:sz w:val="19"/>
                </w:rPr>
                <w:t>[83]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Coordinate salt and solvent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Mg(OTf)₂/G2–MOEA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98.3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Asymmetric-cell average CE after 8200 cycles; symmetric lifetime reported separately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do coordination and distinct electrode interphases share the contribution to reversibility?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6">
              <w:r>
                <w:rPr>
                  <w:rFonts w:ascii="Liberation Serif" w:hAnsi="Liberation Serif"/>
                  <w:color w:val="000000"/>
                  <w:sz w:val="19"/>
                </w:rPr>
                <w:t>[87]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Chloride complexes + interphase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Mg(pftb)₂ + MgCl₂/THF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99.7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CE reported over 3000 cycles; symmetric lifetime is separate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a retained hybrid interphase sustain transfer when solution coordination is changed?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7">
              <w:r>
                <w:rPr>
                  <w:rFonts w:ascii="Liberation Serif" w:hAnsi="Liberation Serif"/>
                  <w:color w:val="000000"/>
                  <w:sz w:val="19"/>
                </w:rPr>
                <w:t>[20]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Dissociation + interphase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99.4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Mg||Mo: 0.5 mA cm⁻², 0.25 mAh cm⁻²; CE reported after 3000 h</w:t>
            </w:r>
          </w:p>
        </w:tc>
        <w:tc>
          <w:tcPr>
            <w:tcW w:type="dxa" w:w="549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Can a molecular transfer gain be separated from suppressed losses at the interphase?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8">
              <w:r>
                <w:rPr>
                  <w:rFonts w:ascii="Liberation Serif" w:hAnsi="Liberation Serif"/>
                  <w:color w:val="000000"/>
                  <w:sz w:val="19"/>
                </w:rPr>
                <w:t>[88]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 donors + chloride carrier</w:t>
            </w:r>
          </w:p>
        </w:tc>
        <w:tc>
          <w:tcPr>
            <w:tcW w:type="dxa" w:w="2835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MgCl₂/DME–MOEA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&gt;92.3</w:t>
            </w:r>
          </w:p>
        </w:tc>
        <w:tc>
          <w:tcPr>
            <w:tcW w:type="dxa" w:w="3402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Reported Mg CE; donor ratio MOEA:DME = 1:6 (v/v)</w:t>
            </w:r>
          </w:p>
        </w:tc>
        <w:tc>
          <w:tcPr>
            <w:tcW w:type="dxa" w:w="5499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the gain follow the modified carrier, the surface layer or both when cathode chemistry changes?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9">
              <w:r>
                <w:rPr>
                  <w:rFonts w:ascii="Liberation Serif" w:hAnsi="Liberation Serif"/>
                  <w:color w:val="000000"/>
                  <w:sz w:val="19"/>
                </w:rPr>
                <w:t>[89]</w:t>
              </w:r>
            </w:hyperlink>
          </w:p>
        </w:tc>
      </w:tr>
    </w:tbl>
    <w:p>
      <w:pPr>
        <w:keepLines/>
        <w:spacing w:before="100" w:after="0" w:line="240" w:lineRule="auto"/>
      </w:pPr>
      <w:r>
        <w:rPr>
          <w:rFonts w:ascii="Liberation Serif" w:hAnsi="Liberation Serif"/>
          <w:sz w:val="17"/>
        </w:rPr>
        <w:t>CE is the shared reported endpoint, not a rate or barrier measurement. Independent protocols and unspecified averaging windows prevent a performance ranking. The readout retains each source's reported context; symmetric lifetime and full-cell efficiency are excluded. Cross-system kinetics require matched current, capacity, substrate, temperature and conditioning.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The chemistry identifies the design, not a complete recipe. Mechanistic questions are proposed tests. For the carborane, solvent-designed TFSI and MOPA-1 rows, “via” identifies Zhang et al. [86] as the accessed numerical source; the original study identifies the chemistry. The other values were checked in original abstracts. Protocol and source-access limits are recorded separately. Reference numbers link to DOI records.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THF: tetrahydrofuran; DME: 1,2-dimethoxyethane; G2/G4: diglyme/tetraglyme; BTFE: bis(2,2,2-trifluoroethyl) ether; TMP/TEP: trimethyl/triethyl phosphate; MOPA-1: 1-methoxy-2-propylamine; MOEA: 2-methoxyethylamine; pftb: perfluorinated tert-butoxide; OTf: triflate; TFSI: bis(trifluoromethanesulfonyl)imide. TMP denotes the phosphate here, not the piperidide ligand used in some Hauser bases.</w:t>
      </w:r>
    </w:p>
    <w:sectPr w:rsidR="00FC693F" w:rsidRPr="0006063C" w:rsidSect="00034616">
      <w:pgSz w:w="16838" w:h="11906" w:orient="landscape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Liberation Serif" w:hAnsi="Liberation Serif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anie.201412202" TargetMode="External"/><Relationship Id="rId10" Type="http://schemas.openxmlformats.org/officeDocument/2006/relationships/hyperlink" Target="https://doi.org/10.1002/adma.202417652" TargetMode="External"/><Relationship Id="rId11" Type="http://schemas.openxmlformats.org/officeDocument/2006/relationships/hyperlink" Target="https://doi.org/10.1002/anie.201902009" TargetMode="External"/><Relationship Id="rId12" Type="http://schemas.openxmlformats.org/officeDocument/2006/relationships/hyperlink" Target="https://doi.org/10.1039/d3ee02861e" TargetMode="External"/><Relationship Id="rId13" Type="http://schemas.openxmlformats.org/officeDocument/2006/relationships/hyperlink" Target="https://doi.org/10.1002/aenm.202301544" TargetMode="External"/><Relationship Id="rId14" Type="http://schemas.openxmlformats.org/officeDocument/2006/relationships/hyperlink" Target="https://doi.org/10.1126/science.abg3954" TargetMode="External"/><Relationship Id="rId15" Type="http://schemas.openxmlformats.org/officeDocument/2006/relationships/hyperlink" Target="https://doi.org/10.1002/anie.202304411" TargetMode="External"/><Relationship Id="rId16" Type="http://schemas.openxmlformats.org/officeDocument/2006/relationships/hyperlink" Target="https://doi.org/10.1002/aenm.202301795" TargetMode="External"/><Relationship Id="rId17" Type="http://schemas.openxmlformats.org/officeDocument/2006/relationships/hyperlink" Target="https://doi.org/10.1002/adma.202203783" TargetMode="External"/><Relationship Id="rId18" Type="http://schemas.openxmlformats.org/officeDocument/2006/relationships/hyperlink" Target="https://doi.org/10.1021/acscentsci.6c01164" TargetMode="External"/><Relationship Id="rId19" Type="http://schemas.openxmlformats.org/officeDocument/2006/relationships/hyperlink" Target="https://doi.org/10.1021/acs.langmuir.6c030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Magnesium Transfer Pathways</dc:title>
  <dc:subject>Shared Mg Coulombic efficiency endpoint and mechanistic questions for Perspective V7</dc:subject>
  <dc:creator/>
  <cp:keywords>magnesium, electrolyte, plating, stripping, solvation, Table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