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</w:pPr>
      <w:r>
        <w:rPr>
          <w:b/>
          <w:sz w:val="24"/>
        </w:rPr>
        <w:t xml:space="preserve">Table 2. </w:t>
      </w:r>
      <w:r>
        <w:rPr>
          <w:sz w:val="24"/>
        </w:rPr>
        <w:t>Perturbations and outcomes that distinguish contributions to magnesium transfer</w:t>
      </w:r>
    </w:p>
    <w:tbl>
      <w:tblPr>
        <w:tblW w:type="dxa" w:w="10205"/>
        <w:jc w:val="center"/>
        <w:tblLayout w:type="fixed"/>
        <w:tblLook w:firstColumn="1" w:firstRow="1" w:lastColumn="0" w:lastRow="0" w:noHBand="0" w:noVBand="1" w:val="04A0"/>
        <w:tblBorders>
          <w:top w:val="nil"/>
          <w:bottom w:val="nil"/>
          <w:left w:val="nil"/>
          <w:right w:val="nil"/>
          <w:insideH w:val="nil"/>
          <w:insideV w:val="nil"/>
        </w:tblBorders>
        <w:tblCellMar>
          <w:top w:type="dxa" w:w="110"/>
          <w:bottom w:type="dxa" w:w="110"/>
          <w:left w:type="dxa" w:w="70"/>
          <w:right w:type="dxa" w:w="70"/>
        </w:tblCellMar>
      </w:tblPr>
      <w:tblGrid>
        <w:gridCol w:w="1871"/>
        <w:gridCol w:w="2438"/>
        <w:gridCol w:w="4479"/>
        <w:gridCol w:w="1417"/>
      </w:tblGrid>
      <w:tr>
        <w:trPr>
          <w:tblHeader w:val="true"/>
        </w:trPr>
        <w:tc>
          <w:tcPr>
            <w:tcW w:type="dxa" w:w="1871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keepLines/>
              <w:spacing w:line="252" w:lineRule="auto"/>
              <w:jc w:val="center"/>
            </w:pPr>
            <w:r>
              <w:rPr>
                <w:rFonts w:ascii="Liberation Serif" w:hAnsi="Liberation Serif"/>
                <w:b/>
                <w:sz w:val="22"/>
              </w:rPr>
              <w:t>Possible contribution</w:t>
            </w:r>
          </w:p>
        </w:tc>
        <w:tc>
          <w:tcPr>
            <w:tcW w:type="dxa" w:w="2438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keepLines/>
              <w:spacing w:line="252" w:lineRule="auto"/>
              <w:jc w:val="center"/>
            </w:pPr>
            <w:r>
              <w:rPr>
                <w:rFonts w:ascii="Liberation Serif" w:hAnsi="Liberation Serif"/>
                <w:b/>
                <w:sz w:val="22"/>
              </w:rPr>
              <w:t>Matched perturbation</w:t>
            </w:r>
          </w:p>
        </w:tc>
        <w:tc>
          <w:tcPr>
            <w:tcW w:type="dxa" w:w="4479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keepLines/>
              <w:spacing w:line="252" w:lineRule="auto"/>
              <w:jc w:val="center"/>
            </w:pPr>
            <w:r>
              <w:rPr>
                <w:rFonts w:ascii="Liberation Serif" w:hAnsi="Liberation Serif"/>
                <w:b/>
                <w:sz w:val="22"/>
              </w:rPr>
              <w:t>Observation favouring or limiting the explanation</w:t>
            </w:r>
          </w:p>
        </w:tc>
        <w:tc>
          <w:tcPr>
            <w:tcW w:type="dxa" w:w="1417"/>
            <w:vAlign w:val="center"/>
            <w:tcBorders>
              <w:top w:val="single" w:sz="12" w:color="000000"/>
              <w:bottom w:val="single" w:sz="6" w:color="000000"/>
            </w:tcBorders>
          </w:tcPr>
          <w:p>
            <w:pPr>
              <w:keepLines/>
              <w:spacing w:line="252" w:lineRule="auto"/>
              <w:jc w:val="center"/>
            </w:pPr>
            <w:r>
              <w:rPr>
                <w:rFonts w:ascii="Liberation Serif" w:hAnsi="Liberation Serif"/>
                <w:b/>
                <w:sz w:val="22"/>
              </w:rPr>
              <w:t>Studies motivating the test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Precursor availability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Vary association at matched transport and surface conditions.</w:t>
            </w:r>
          </w:p>
        </w:tc>
        <w:tc>
          <w:tcPr>
            <w:tcW w:type="dxa" w:w="4479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Raman/NMR: carrier population tracks Mg current at unchanged exchange; transport or film changes confound attribution.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line="252" w:lineRule="auto"/>
              <w:jc w:val="center"/>
            </w:pPr>
            <w:r>
              <w:t>[</w:t>
            </w:r>
            <w:hyperlink r:id="rId9">
              <w:r>
                <w:rPr>
                  <w:rFonts w:ascii="Liberation Serif" w:hAnsi="Liberation Serif" w:cs="Liberation Serif" w:eastAsia="Liberation Serif"/>
                  <w:sz w:val="22"/>
                  <w:color w:val="000000"/>
                </w:rPr>
                <w:t>24</w:t>
              </w:r>
            </w:hyperlink>
            <w:r>
              <w:t>,</w:t>
            </w:r>
            <w:hyperlink r:id="rId10">
              <w:r>
                <w:rPr>
                  <w:rFonts w:ascii="Liberation Serif" w:hAnsi="Liberation Serif" w:cs="Liberation Serif" w:eastAsia="Liberation Serif"/>
                  <w:sz w:val="22"/>
                  <w:color w:val="000000"/>
                </w:rPr>
                <w:t>82</w:t>
              </w:r>
            </w:hyperlink>
            <w:r>
              <w:t>]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Ligand departure or rearrangement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Vary donor/anion identity on equally conditioned surfaces.</w:t>
            </w:r>
          </w:p>
        </w:tc>
        <w:tc>
          <w:tcPr>
            <w:tcW w:type="dxa" w:w="4479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Exchange NMR or validated MD: exchange tracks Mg current; faster exchange without a current gain suggests a later bottleneck.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line="252" w:lineRule="auto"/>
              <w:jc w:val="center"/>
            </w:pPr>
            <w:r>
              <w:t>[</w:t>
            </w:r>
            <w:hyperlink r:id="rId11">
              <w:r>
                <w:rPr>
                  <w:rFonts w:ascii="Liberation Serif" w:hAnsi="Liberation Serif" w:cs="Liberation Serif" w:eastAsia="Liberation Serif"/>
                  <w:sz w:val="22"/>
                  <w:color w:val="000000"/>
                </w:rPr>
                <w:t>25</w:t>
              </w:r>
            </w:hyperlink>
            <w:r>
              <w:t>,</w:t>
            </w:r>
            <w:hyperlink r:id="rId12">
              <w:r>
                <w:rPr>
                  <w:rFonts w:ascii="Liberation Serif" w:hAnsi="Liberation Serif" w:cs="Liberation Serif" w:eastAsia="Liberation Serif"/>
                  <w:sz w:val="22"/>
                  <w:color w:val="000000"/>
                </w:rPr>
                <w:t>39</w:t>
              </w:r>
            </w:hyperlink>
            <w:r>
              <w:t>,</w:t>
            </w:r>
            <w:hyperlink r:id="rId13">
              <w:r>
                <w:rPr>
                  <w:rFonts w:ascii="Liberation Serif" w:hAnsi="Liberation Serif" w:cs="Liberation Serif" w:eastAsia="Liberation Serif"/>
                  <w:sz w:val="22"/>
                  <w:color w:val="000000"/>
                </w:rPr>
                <w:t>76</w:t>
              </w:r>
            </w:hyperlink>
            <w:r>
              <w:t>]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Suppression of unwanted reduction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Measure Mg current, gas and soluble/film products.</w:t>
            </w:r>
          </w:p>
        </w:tc>
        <w:tc>
          <w:tcPr>
            <w:tcW w:type="dxa" w:w="4479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Less H₂ or decomposition at matched Mg deposition and exchange supports selectivity; shell structure alone is insufficient.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line="252" w:lineRule="auto"/>
              <w:jc w:val="center"/>
            </w:pPr>
            <w:r>
              <w:t>[</w:t>
            </w:r>
            <w:hyperlink r:id="rId14">
              <w:r>
                <w:rPr>
                  <w:rFonts w:ascii="Liberation Serif" w:hAnsi="Liberation Serif" w:cs="Liberation Serif" w:eastAsia="Liberation Serif"/>
                  <w:sz w:val="22"/>
                  <w:color w:val="000000"/>
                </w:rPr>
                <w:t>31</w:t>
              </w:r>
            </w:hyperlink>
            <w:r>
              <w:t>,</w:t>
            </w:r>
            <w:hyperlink r:id="rId15">
              <w:r>
                <w:rPr>
                  <w:rFonts w:ascii="Liberation Serif" w:hAnsi="Liberation Serif" w:cs="Liberation Serif" w:eastAsia="Liberation Serif"/>
                  <w:sz w:val="22"/>
                  <w:color w:val="000000"/>
                </w:rPr>
                <w:t>80</w:t>
              </w:r>
            </w:hyperlink>
            <w:r>
              <w:t>]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Repeated molecular assistance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Track active anion and products against Mg throughput.</w:t>
            </w:r>
          </w:p>
        </w:tc>
        <w:tc>
          <w:tcPr>
            <w:tcW w:type="dxa" w:w="4479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Active-species recovery plus repeated kinetic benefit supports reuse; survival alone does not establish turnover.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line="252" w:lineRule="auto"/>
              <w:jc w:val="center"/>
            </w:pPr>
            <w:r>
              <w:t>[</w:t>
            </w:r>
            <w:hyperlink r:id="rId16">
              <w:r>
                <w:rPr>
                  <w:rFonts w:ascii="Liberation Serif" w:hAnsi="Liberation Serif" w:cs="Liberation Serif" w:eastAsia="Liberation Serif"/>
                  <w:sz w:val="22"/>
                  <w:color w:val="000000"/>
                </w:rPr>
                <w:t>20</w:t>
              </w:r>
            </w:hyperlink>
            <w:r>
              <w:t>,</w:t>
            </w:r>
            <w:hyperlink r:id="rId17">
              <w:r>
                <w:rPr>
                  <w:rFonts w:ascii="Liberation Serif" w:hAnsi="Liberation Serif" w:cs="Liberation Serif" w:eastAsia="Liberation Serif"/>
                  <w:sz w:val="22"/>
                  <w:color w:val="000000"/>
                </w:rPr>
                <w:t>81</w:t>
              </w:r>
            </w:hyperlink>
            <w:r>
              <w:t>]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Persistent intermediate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Resolve residence time and the escape free-energy barrier.</w:t>
            </w:r>
          </w:p>
        </w:tc>
        <w:tc>
          <w:tcPr>
            <w:tcW w:type="dxa" w:w="4479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Long residence plus a high local escape barrier supports trapping; low cluster energy alone does not.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line="252" w:lineRule="auto"/>
              <w:jc w:val="center"/>
            </w:pPr>
            <w:r>
              <w:t>[</w:t>
            </w:r>
            <w:hyperlink r:id="rId18">
              <w:r>
                <w:rPr>
                  <w:rFonts w:ascii="Liberation Serif" w:hAnsi="Liberation Serif" w:cs="Liberation Serif" w:eastAsia="Liberation Serif"/>
                  <w:sz w:val="22"/>
                  <w:color w:val="000000"/>
                </w:rPr>
                <w:t>23</w:t>
              </w:r>
            </w:hyperlink>
            <w:r>
              <w:t>,</w:t>
            </w:r>
            <w:hyperlink r:id="rId19">
              <w:r>
                <w:rPr>
                  <w:rFonts w:ascii="Liberation Serif" w:hAnsi="Liberation Serif" w:cs="Liberation Serif" w:eastAsia="Liberation Serif"/>
                  <w:sz w:val="22"/>
                  <w:color w:val="000000"/>
                </w:rPr>
                <w:t>32</w:t>
              </w:r>
            </w:hyperlink>
            <w:r>
              <w:t>]</w:t>
            </w:r>
          </w:p>
        </w:tc>
      </w:tr>
      <w:tr>
        <w:trPr>
          <w:cantSplit/>
        </w:trPr>
        <w:tc>
          <w:tcPr>
            <w:tcW w:type="dxa" w:w="1871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Retained surface benefit</w:t>
            </w:r>
          </w:p>
        </w:tc>
        <w:tc>
          <w:tcPr>
            <w:tcW w:type="dxa" w:w="2438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Replace liquid; verify film persistence and impedance.</w:t>
            </w:r>
          </w:p>
        </w:tc>
        <w:tc>
          <w:tcPr>
            <w:tcW w:type="dxa" w:w="4479"/>
            <w:vAlign w:val="center"/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Retained activity with an intact film supports a surface contribution; film dissolution makes activity loss inconclusive.</w:t>
            </w:r>
          </w:p>
        </w:tc>
        <w:tc>
          <w:tcPr>
            <w:tcW w:type="dxa" w:w="1417"/>
            <w:vAlign w:val="center"/>
          </w:tcPr>
          <w:p>
            <w:pPr>
              <w:keepLines/>
              <w:spacing w:line="252" w:lineRule="auto"/>
              <w:jc w:val="center"/>
            </w:pPr>
            <w:r>
              <w:t>[</w:t>
            </w:r>
            <w:hyperlink r:id="rId16">
              <w:r>
                <w:rPr>
                  <w:rFonts w:ascii="Liberation Serif" w:hAnsi="Liberation Serif" w:cs="Liberation Serif" w:eastAsia="Liberation Serif"/>
                  <w:sz w:val="22"/>
                  <w:color w:val="000000"/>
                </w:rPr>
                <w:t>20</w:t>
              </w:r>
            </w:hyperlink>
            <w:r>
              <w:t>,</w:t>
            </w:r>
            <w:hyperlink r:id="rId20">
              <w:r>
                <w:rPr>
                  <w:rFonts w:ascii="Liberation Serif" w:hAnsi="Liberation Serif" w:cs="Liberation Serif" w:eastAsia="Liberation Serif"/>
                  <w:sz w:val="22"/>
                  <w:color w:val="000000"/>
                </w:rPr>
                <w:t>88</w:t>
              </w:r>
            </w:hyperlink>
            <w:r>
              <w:t>]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Borders>
              <w:bottom w:val="single" w:sz="12" w:color="000000"/>
            </w:tcBorders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Coupled molecular and film effects</w:t>
            </w:r>
          </w:p>
        </w:tc>
        <w:tc>
          <w:tcPr>
            <w:tcW w:type="dxa" w:w="2438"/>
            <w:vAlign w:val="center"/>
            <w:tcBorders>
              <w:bottom w:val="single" w:sz="12" w:color="000000"/>
            </w:tcBorders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Separate initial liquid and retained-surface responses; quantify products.</w:t>
            </w:r>
          </w:p>
        </w:tc>
        <w:tc>
          <w:tcPr>
            <w:tcW w:type="dxa" w:w="4479"/>
            <w:vAlign w:val="center"/>
            <w:tcBorders>
              <w:bottom w:val="single" w:sz="12" w:color="000000"/>
            </w:tcBorders>
          </w:tcPr>
          <w:p>
            <w:pPr>
              <w:keepLines/>
              <w:spacing w:line="252" w:lineRule="auto"/>
              <w:jc w:val="left"/>
            </w:pPr>
            <w:r>
              <w:rPr>
                <w:rFonts w:ascii="Liberation Serif" w:hAnsi="Liberation Serif"/>
                <w:b w:val="0"/>
                <w:sz w:val="22"/>
              </w:rPr>
              <w:t>Interacting liquid and film responses support coupling; CE alone cannot apportion their contributions.</w:t>
            </w:r>
          </w:p>
        </w:tc>
        <w:tc>
          <w:tcPr>
            <w:tcW w:type="dxa" w:w="1417"/>
            <w:vAlign w:val="center"/>
            <w:tcBorders>
              <w:bottom w:val="single" w:sz="12" w:color="000000"/>
            </w:tcBorders>
          </w:tcPr>
          <w:p>
            <w:pPr>
              <w:keepLines/>
              <w:spacing w:line="252" w:lineRule="auto"/>
              <w:jc w:val="center"/>
            </w:pPr>
            <w:r>
              <w:t>[</w:t>
            </w:r>
            <w:hyperlink r:id="rId20">
              <w:r>
                <w:rPr>
                  <w:rFonts w:ascii="Liberation Serif" w:hAnsi="Liberation Serif" w:cs="Liberation Serif" w:eastAsia="Liberation Serif"/>
                  <w:sz w:val="22"/>
                  <w:color w:val="000000"/>
                </w:rPr>
                <w:t>88</w:t>
              </w:r>
            </w:hyperlink>
            <w:r>
              <w:t>,</w:t>
            </w:r>
            <w:hyperlink r:id="rId21">
              <w:r>
                <w:rPr>
                  <w:rFonts w:ascii="Liberation Serif" w:hAnsi="Liberation Serif" w:cs="Liberation Serif" w:eastAsia="Liberation Serif"/>
                  <w:sz w:val="22"/>
                  <w:color w:val="000000"/>
                </w:rPr>
                <w:t>90</w:t>
              </w:r>
            </w:hyperlink>
            <w:r>
              <w:t>]</w:t>
            </w:r>
          </w:p>
        </w:tc>
      </w:tr>
    </w:tbl>
    <w:p>
      <w:pPr>
        <w:keepLines/>
        <w:spacing w:before="160"/>
      </w:pPr>
      <w:r>
        <w:rPr>
          <w:i/>
        </w:rPr>
        <w:t>Solvation shapes the starting states; its effect on magnesium transfer depends on the reaction pathways they can access.</w:t>
      </w:r>
    </w:p>
    <w:p>
      <w:pPr>
        <w:keepLines/>
        <w:spacing w:before="100"/>
      </w:pPr>
      <w:r>
        <w:rPr>
          <w:sz w:val="21"/>
        </w:rPr>
        <w:t>Contributions can overlap. References motivate the tests; they do not establish every listed measurement or anion regeneration. Exchange measurements require suitable time resolution. The outer-shell example uses a neutral additive.</w:t>
      </w:r>
    </w:p>
    <w:sectPr w:rsidR="00FC693F" w:rsidRPr="0006063C" w:rsidSect="00034616">
      <w:pgSz w:w="11906" w:h="16838"/>
      <w:pgMar w:top="907" w:right="850" w:bottom="90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2" w:lineRule="auto"/>
    </w:pPr>
    <w:rPr>
      <w:rFonts w:ascii="Liberation Serif" w:hAnsi="Liberation Serif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39/d3ee02861e" TargetMode="External"/><Relationship Id="rId10" Type="http://schemas.openxmlformats.org/officeDocument/2006/relationships/hyperlink" Target="https://doi.org/10.1002/aenm.202202602" TargetMode="External"/><Relationship Id="rId11" Type="http://schemas.openxmlformats.org/officeDocument/2006/relationships/hyperlink" Target="https://doi.org/10.1002/anie.2598559" TargetMode="External"/><Relationship Id="rId12" Type="http://schemas.openxmlformats.org/officeDocument/2006/relationships/hyperlink" Target="https://doi.org/10.1002/anie.202513213" TargetMode="External"/><Relationship Id="rId13" Type="http://schemas.openxmlformats.org/officeDocument/2006/relationships/hyperlink" Target="https://doi.org/10.1126/science.abg3954" TargetMode="External"/><Relationship Id="rId14" Type="http://schemas.openxmlformats.org/officeDocument/2006/relationships/hyperlink" Target="https://doi.org/10.1021/jacs.9b12474" TargetMode="External"/><Relationship Id="rId15" Type="http://schemas.openxmlformats.org/officeDocument/2006/relationships/hyperlink" Target="https://doi.org/10.1002/aenm.202301544" TargetMode="External"/><Relationship Id="rId16" Type="http://schemas.openxmlformats.org/officeDocument/2006/relationships/hyperlink" Target="https://doi.org/10.1002/adma.202203783" TargetMode="External"/><Relationship Id="rId17" Type="http://schemas.openxmlformats.org/officeDocument/2006/relationships/hyperlink" Target="https://doi.org/10.1002/anie.6066611" TargetMode="External"/><Relationship Id="rId18" Type="http://schemas.openxmlformats.org/officeDocument/2006/relationships/hyperlink" Target="https://doi.org/10.1021/jacs.5b01004" TargetMode="External"/><Relationship Id="rId19" Type="http://schemas.openxmlformats.org/officeDocument/2006/relationships/hyperlink" Target="https://doi.org/10.1002/batt.202000168" TargetMode="External"/><Relationship Id="rId20" Type="http://schemas.openxmlformats.org/officeDocument/2006/relationships/hyperlink" Target="https://doi.org/10.1021/acscentsci.6c01164" TargetMode="External"/><Relationship Id="rId21" Type="http://schemas.openxmlformats.org/officeDocument/2006/relationships/hyperlink" Target="https://doi.org/10.1021/acs.jpclett.6c026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2. Perturbations and outcomes that distinguish contributions to magnesium transfer</dc:title>
  <dc:subject>Concise Table 2 with the original row order and reference numbering preserved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