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140" w:line="240" w:lineRule="auto" w:before="0"/>
      </w:pPr>
      <w:r>
        <w:rPr>
          <w:b/>
          <w:sz w:val="22"/>
        </w:rPr>
        <w:t xml:space="preserve">Table 1. </w:t>
      </w:r>
      <w:r>
        <w:rPr>
          <w:b w:val="0"/>
          <w:sz w:val="22"/>
        </w:rPr>
        <w:t>Representative electrolyte strategies reveal multiple kinetic pathways for magnesium transfer.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  <w:tblCellMar>
          <w:top w:w="28" w:type="dxa"/>
          <w:bottom w:w="28" w:type="dxa"/>
          <w:left w:w="60" w:type="dxa"/>
          <w:right w:w="60" w:type="dxa"/>
        </w:tblCellMar>
      </w:tblPr>
      <w:tblGrid>
        <w:gridCol w:w="1474"/>
        <w:gridCol w:w="2438"/>
        <w:gridCol w:w="907"/>
        <w:gridCol w:w="4309"/>
        <w:gridCol w:w="737"/>
      </w:tblGrid>
      <w:tr>
        <w:trPr>
          <w:tblHeader w:val="true"/>
        </w:trPr>
        <w:tc>
          <w:tcPr>
            <w:tcW w:type="dxa" w:w="1474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Design strategy</w:t>
            </w:r>
          </w:p>
        </w:tc>
        <w:tc>
          <w:tcPr>
            <w:tcW w:type="dxa" w:w="2438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Representative chemistry</w:t>
            </w:r>
          </w:p>
        </w:tc>
        <w:tc>
          <w:tcPr>
            <w:tcW w:type="dxa" w:w="907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Mg CE (%)</w:t>
            </w:r>
          </w:p>
        </w:tc>
        <w:tc>
          <w:tcPr>
            <w:tcW w:type="dxa" w:w="4309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Mechanistic question raised by the result</w:t>
            </w:r>
          </w:p>
        </w:tc>
        <w:tc>
          <w:tcPr>
            <w:tcW w:type="dxa" w:w="737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Ref.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Weakly coordinating anion</w:t>
            </w:r>
          </w:p>
        </w:tc>
        <w:tc>
          <w:tcPr>
            <w:tcW w:type="dxa" w:w="243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Mg(CB₁₁H₁₂)₂/G4</w:t>
            </w:r>
          </w:p>
        </w:tc>
        <w:tc>
          <w:tcPr>
            <w:tcW w:type="dxa" w:w="90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&gt;94.4</w:t>
            </w:r>
          </w:p>
        </w:tc>
        <w:tc>
          <w:tcPr>
            <w:tcW w:type="dxa" w:w="430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Does solvent rearrangement remain accessible as persistent anion association is reduced?</w:t>
            </w:r>
          </w:p>
        </w:tc>
        <w:tc>
          <w:tcPr>
            <w:tcW w:type="dxa" w:w="73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9">
              <w:r>
                <w:rPr>
                  <w:rFonts w:ascii="Liberation Serif" w:hAnsi="Liberation Serif"/>
                  <w:color w:val="000000"/>
                  <w:sz w:val="19"/>
                </w:rPr>
                <w:t>[43]</w:t>
              </w:r>
            </w:hyperlink>
            <w:r>
              <w:rPr>
                <w:rFonts w:ascii="Liberation Serif" w:hAnsi="Liberation Serif"/>
                <w:sz w:val="14"/>
              </w:rPr>
              <w:t>⁠S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Weakly coordinating anion</w:t>
            </w:r>
          </w:p>
        </w:tc>
        <w:tc>
          <w:tcPr>
            <w:tcW w:type="dxa" w:w="243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 perfluorinated pinacolatoborate (Mg-FPB)</w:t>
            </w:r>
          </w:p>
        </w:tc>
        <w:tc>
          <w:tcPr>
            <w:tcW w:type="dxa" w:w="90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95</w:t>
            </w:r>
          </w:p>
        </w:tc>
        <w:tc>
          <w:tcPr>
            <w:tcW w:type="dxa" w:w="430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Does weak anion association leave solvent rearrangement as the main limitation?</w:t>
            </w:r>
          </w:p>
        </w:tc>
        <w:tc>
          <w:tcPr>
            <w:tcW w:type="dxa" w:w="73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0">
              <w:r>
                <w:rPr>
                  <w:rFonts w:ascii="Liberation Serif" w:hAnsi="Liberation Serif"/>
                  <w:color w:val="000000"/>
                  <w:sz w:val="19"/>
                </w:rPr>
                <w:t>[47]</w:t>
              </w:r>
            </w:hyperlink>
            <w:r>
              <w:rPr>
                <w:rFonts w:ascii="Liberation Serif" w:hAnsi="Liberation Serif"/>
                <w:sz w:val="14"/>
              </w:rPr>
              <w:t>⁠P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Promote pair dissociation</w:t>
            </w:r>
          </w:p>
        </w:tc>
        <w:tc>
          <w:tcPr>
            <w:tcW w:type="dxa" w:w="243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Mg(TFSI)₂/DME–G2–BTFE–TEP</w:t>
            </w:r>
          </w:p>
        </w:tc>
        <w:tc>
          <w:tcPr>
            <w:tcW w:type="dxa" w:w="90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95.2</w:t>
            </w:r>
          </w:p>
        </w:tc>
        <w:tc>
          <w:tcPr>
            <w:tcW w:type="dxa" w:w="430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Does dissociation increase reactive precursor availability, independently of surface and growth changes?</w:t>
            </w:r>
          </w:p>
        </w:tc>
        <w:tc>
          <w:tcPr>
            <w:tcW w:type="dxa" w:w="73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1">
              <w:r>
                <w:rPr>
                  <w:rFonts w:ascii="Liberation Serif" w:hAnsi="Liberation Serif"/>
                  <w:color w:val="000000"/>
                  <w:sz w:val="19"/>
                </w:rPr>
                <w:t>[23]</w:t>
              </w:r>
            </w:hyperlink>
            <w:r>
              <w:rPr>
                <w:rFonts w:ascii="Liberation Serif" w:hAnsi="Liberation Serif"/>
                <w:sz w:val="14"/>
              </w:rPr>
              <w:t>⁠S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Introduce primary-shell pairing</w:t>
            </w:r>
          </w:p>
        </w:tc>
        <w:tc>
          <w:tcPr>
            <w:tcW w:type="dxa" w:w="243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Weakly solvated amine + strongly coordinating Mg salt</w:t>
            </w:r>
          </w:p>
        </w:tc>
        <w:tc>
          <w:tcPr>
            <w:tcW w:type="dxa" w:w="90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99.6</w:t>
            </w:r>
          </w:p>
        </w:tc>
        <w:tc>
          <w:tcPr>
            <w:tcW w:type="dxa" w:w="430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Pairing suppresses amine reduction and H₂ evolution; does ligand exchange also change?</w:t>
            </w:r>
          </w:p>
        </w:tc>
        <w:tc>
          <w:tcPr>
            <w:tcW w:type="dxa" w:w="73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2">
              <w:r>
                <w:rPr>
                  <w:rFonts w:ascii="Liberation Serif" w:hAnsi="Liberation Serif"/>
                  <w:color w:val="000000"/>
                  <w:sz w:val="19"/>
                </w:rPr>
                <w:t>[79]</w:t>
              </w:r>
            </w:hyperlink>
            <w:r>
              <w:rPr>
                <w:rFonts w:ascii="Liberation Serif" w:hAnsi="Liberation Serif"/>
                <w:sz w:val="14"/>
              </w:rPr>
              <w:t>⁠P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Reshape solvent coordination</w:t>
            </w:r>
          </w:p>
        </w:tc>
        <w:tc>
          <w:tcPr>
            <w:tcW w:type="dxa" w:w="243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Mg(TFSI)₂/DME–MOPA-1</w:t>
            </w:r>
          </w:p>
        </w:tc>
        <w:tc>
          <w:tcPr>
            <w:tcW w:type="dxa" w:w="90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99.5</w:t>
            </w:r>
          </w:p>
        </w:tc>
        <w:tc>
          <w:tcPr>
            <w:tcW w:type="dxa" w:w="430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Does modified solvent coordination speed ligand rearrangement, charge transfer, or both?</w:t>
            </w:r>
          </w:p>
        </w:tc>
        <w:tc>
          <w:tcPr>
            <w:tcW w:type="dxa" w:w="73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3">
              <w:r>
                <w:rPr>
                  <w:rFonts w:ascii="Liberation Serif" w:hAnsi="Liberation Serif"/>
                  <w:color w:val="000000"/>
                  <w:sz w:val="19"/>
                </w:rPr>
                <w:t>[75]</w:t>
              </w:r>
            </w:hyperlink>
            <w:r>
              <w:rPr>
                <w:rFonts w:ascii="Liberation Serif" w:hAnsi="Liberation Serif"/>
                <w:sz w:val="14"/>
              </w:rPr>
              <w:t>⁠S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Mixed-ion coordination</w:t>
            </w:r>
          </w:p>
        </w:tc>
        <w:tc>
          <w:tcPr>
            <w:tcW w:type="dxa" w:w="243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Mg(TFSI)₂ + LiOTf/DME–TMP</w:t>
            </w:r>
          </w:p>
        </w:tc>
        <w:tc>
          <w:tcPr>
            <w:tcW w:type="dxa" w:w="90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98</w:t>
            </w:r>
          </w:p>
        </w:tc>
        <w:tc>
          <w:tcPr>
            <w:tcW w:type="dxa" w:w="430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How much of the benefit comes from altered Mg–DME binding versus the phosphate-rich interface?</w:t>
            </w:r>
          </w:p>
        </w:tc>
        <w:tc>
          <w:tcPr>
            <w:tcW w:type="dxa" w:w="73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4">
              <w:r>
                <w:rPr>
                  <w:rFonts w:ascii="Liberation Serif" w:hAnsi="Liberation Serif"/>
                  <w:color w:val="000000"/>
                  <w:sz w:val="19"/>
                </w:rPr>
                <w:t>[82]</w:t>
              </w:r>
            </w:hyperlink>
            <w:r>
              <w:rPr>
                <w:rFonts w:ascii="Liberation Serif" w:hAnsi="Liberation Serif"/>
                <w:sz w:val="14"/>
              </w:rPr>
              <w:t>⁠P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Coordinate both salt and solvent</w:t>
            </w:r>
          </w:p>
        </w:tc>
        <w:tc>
          <w:tcPr>
            <w:tcW w:type="dxa" w:w="243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Mg(OTf)₂/G2–MOEA</w:t>
            </w:r>
          </w:p>
        </w:tc>
        <w:tc>
          <w:tcPr>
            <w:tcW w:type="dxa" w:w="90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98.3</w:t>
            </w:r>
          </w:p>
        </w:tc>
        <w:tc>
          <w:tcPr>
            <w:tcW w:type="dxa" w:w="430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How do coordination and distinct electrode interphases share the contribution to reversibility?</w:t>
            </w:r>
          </w:p>
        </w:tc>
        <w:tc>
          <w:tcPr>
            <w:tcW w:type="dxa" w:w="73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5">
              <w:r>
                <w:rPr>
                  <w:rFonts w:ascii="Liberation Serif" w:hAnsi="Liberation Serif"/>
                  <w:color w:val="000000"/>
                  <w:sz w:val="19"/>
                </w:rPr>
                <w:t>[85]</w:t>
              </w:r>
            </w:hyperlink>
            <w:r>
              <w:rPr>
                <w:rFonts w:ascii="Liberation Serif" w:hAnsi="Liberation Serif"/>
                <w:sz w:val="14"/>
              </w:rPr>
              <w:t>⁠P/S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Chloride complexes + interphase</w:t>
            </w:r>
          </w:p>
        </w:tc>
        <w:tc>
          <w:tcPr>
            <w:tcW w:type="dxa" w:w="243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Mg(pftb)₂ + MgCl₂/THF</w:t>
            </w:r>
          </w:p>
        </w:tc>
        <w:tc>
          <w:tcPr>
            <w:tcW w:type="dxa" w:w="90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99.7</w:t>
            </w:r>
          </w:p>
        </w:tc>
        <w:tc>
          <w:tcPr>
            <w:tcW w:type="dxa" w:w="430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Does a retained hybrid interphase sustain transfer after the original solution is replaced?</w:t>
            </w:r>
          </w:p>
        </w:tc>
        <w:tc>
          <w:tcPr>
            <w:tcW w:type="dxa" w:w="73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6">
              <w:r>
                <w:rPr>
                  <w:rFonts w:ascii="Liberation Serif" w:hAnsi="Liberation Serif"/>
                  <w:color w:val="000000"/>
                  <w:sz w:val="19"/>
                </w:rPr>
                <w:t>[20]</w:t>
              </w:r>
            </w:hyperlink>
            <w:r>
              <w:rPr>
                <w:rFonts w:ascii="Liberation Serif" w:hAnsi="Liberation Serif"/>
                <w:sz w:val="14"/>
              </w:rPr>
              <w:t>⁠P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Dissociation + interphase</w:t>
            </w:r>
          </w:p>
        </w:tc>
        <w:tc>
          <w:tcPr>
            <w:tcW w:type="dxa" w:w="2438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Mg(OTf)₂ + MgCl₂/DME–TEP</w:t>
            </w:r>
          </w:p>
        </w:tc>
        <w:tc>
          <w:tcPr>
            <w:tcW w:type="dxa" w:w="907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99.4</w:t>
            </w:r>
          </w:p>
        </w:tc>
        <w:tc>
          <w:tcPr>
            <w:tcW w:type="dxa" w:w="4309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Can faster molecular transfer be separated from suppression of losses by the interphase?</w:t>
            </w:r>
          </w:p>
        </w:tc>
        <w:tc>
          <w:tcPr>
            <w:tcW w:type="dxa" w:w="737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7">
              <w:r>
                <w:rPr>
                  <w:rFonts w:ascii="Liberation Serif" w:hAnsi="Liberation Serif"/>
                  <w:color w:val="000000"/>
                  <w:sz w:val="19"/>
                </w:rPr>
                <w:t>[86]</w:t>
              </w:r>
            </w:hyperlink>
            <w:r>
              <w:rPr>
                <w:rFonts w:ascii="Liberation Serif" w:hAnsi="Liberation Serif"/>
                <w:sz w:val="14"/>
              </w:rPr>
              <w:t>⁠P</w:t>
            </w:r>
          </w:p>
        </w:tc>
      </w:tr>
    </w:tbl>
    <w:p>
      <w:pPr>
        <w:keepLines/>
        <w:spacing w:before="100" w:after="0" w:line="240" w:lineRule="auto"/>
      </w:pPr>
      <w:r>
        <w:rPr>
          <w:rFonts w:ascii="Liberation Serif" w:hAnsi="Liberation Serif"/>
          <w:sz w:val="17"/>
        </w:rPr>
        <w:t>Selection: every entry reports Mg plating/stripping Coulombic efficiency (CE), the shared quantitative endpoint. First-cycle-only CE, symmetric-cell lifetimes and full-cell efficiencies are excluded from this column. Values retain the reported precision; 98.3% is a reported average. These are independent protocols, not a common-condition ranking or measurements of a desolvation barrier.</w:t>
      </w:r>
    </w:p>
    <w:p>
      <w:pPr>
        <w:keepLines/>
        <w:spacing w:before="40" w:after="0" w:line="240" w:lineRule="auto"/>
      </w:pPr>
      <w:r>
        <w:rPr>
          <w:rFonts w:ascii="Liberation Serif" w:hAnsi="Liberation Serif"/>
          <w:sz w:val="17"/>
        </w:rPr>
        <w:t>The chemistry column identifies the reported design, not a complete recipe. Mechanistic questions are proposed tests, not established rate-limiting steps. P: original-paper abstract supports the CE; S: supplied AM Perspective [87], pp. 4–5 (DOI 10.1002/adma.202417652); P/S: primary CE and secondary formulation. Current, capacity, substrate, conditioning and averaging windows should be matched in future comparisons; accessed-source limits are recorded in the companion audit. Reference numbers link to DOI records.</w:t>
      </w:r>
    </w:p>
    <w:p>
      <w:pPr>
        <w:keepLines/>
        <w:spacing w:before="40" w:after="0" w:line="240" w:lineRule="auto"/>
      </w:pPr>
      <w:r>
        <w:rPr>
          <w:rFonts w:ascii="Liberation Serif" w:hAnsi="Liberation Serif"/>
          <w:sz w:val="17"/>
        </w:rPr>
        <w:t>THF: tetrahydrofuran; DME: 1,2-dimethoxyethane; G2/G4: diglyme/tetraglyme; BTFE: bis(2,2,2-trifluoroethyl) ether; TMP/TEP: trimethyl/triethyl phosphate; MOPA-1: 1-methoxy-2-propylamine; MOEA: 2-methoxyethylamine; pftb: perfluorinated tert-butoxide; OTf: triflate; TFSI: bis(trifluoromethanesulfonyl)imide.</w:t>
      </w:r>
    </w:p>
    <w:sectPr w:rsidR="00FC693F" w:rsidRPr="0006063C" w:rsidSect="00034616">
      <w:pgSz w:w="11906" w:h="16838"/>
      <w:pgMar w:top="1020" w:right="1020" w:bottom="1020" w:left="102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Liberation Serif" w:hAnsi="Liberation Serif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erif" w:hAnsi="Liberation Serif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erif" w:hAnsi="Liberation Serif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Liberation Serif" w:hAnsi="Liberation Serif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erif" w:hAnsi="Liberation Serif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02/anie.201412202" TargetMode="External"/><Relationship Id="rId10" Type="http://schemas.openxmlformats.org/officeDocument/2006/relationships/hyperlink" Target="https://doi.org/10.1002/anie.201902009" TargetMode="External"/><Relationship Id="rId11" Type="http://schemas.openxmlformats.org/officeDocument/2006/relationships/hyperlink" Target="https://doi.org/10.1039/d3ee02861e" TargetMode="External"/><Relationship Id="rId12" Type="http://schemas.openxmlformats.org/officeDocument/2006/relationships/hyperlink" Target="https://doi.org/10.1002/aenm.202301544" TargetMode="External"/><Relationship Id="rId13" Type="http://schemas.openxmlformats.org/officeDocument/2006/relationships/hyperlink" Target="https://doi.org/10.1126/science.abg3954" TargetMode="External"/><Relationship Id="rId14" Type="http://schemas.openxmlformats.org/officeDocument/2006/relationships/hyperlink" Target="https://doi.org/10.1002/anie.202304411" TargetMode="External"/><Relationship Id="rId15" Type="http://schemas.openxmlformats.org/officeDocument/2006/relationships/hyperlink" Target="https://doi.org/10.1002/aenm.202301795" TargetMode="External"/><Relationship Id="rId16" Type="http://schemas.openxmlformats.org/officeDocument/2006/relationships/hyperlink" Target="https://doi.org/10.1002/adma.202203783" TargetMode="External"/><Relationship Id="rId17" Type="http://schemas.openxmlformats.org/officeDocument/2006/relationships/hyperlink" Target="https://doi.org/10.1021/acscentsci.6c011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1 Magnesium Transfer Pathways</dc:title>
  <dc:subject>Shared Mg Coulombic efficiency endpoint and mechanistic questions for Perspective V5</dc:subject>
  <dc:creator/>
  <cp:keywords>magnesium, electrolyte, plating, stripping, solvation, Table 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