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40" w:line="240" w:lineRule="auto" w:before="0"/>
      </w:pPr>
      <w:r>
        <w:rPr>
          <w:b/>
          <w:sz w:val="22"/>
        </w:rPr>
        <w:t xml:space="preserve">Table 1. </w:t>
      </w:r>
      <w:r>
        <w:rPr>
          <w:b w:val="0"/>
          <w:sz w:val="22"/>
        </w:rPr>
        <w:t>Representative electrolyte strategies reveal multiple kinetic pathways for magnesium transfer.</w:t>
      </w:r>
    </w:p>
    <w:tbl>
      <w:tblPr>
        <w:tblW w:type="dxa" w:w="15477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28" w:type="dxa"/>
          <w:bottom w:w="28" w:type="dxa"/>
          <w:left w:w="60" w:type="dxa"/>
          <w:right w:w="60" w:type="dxa"/>
        </w:tblCellMar>
      </w:tblPr>
      <w:tblGrid>
        <w:gridCol w:w="3515"/>
        <w:gridCol w:w="1020"/>
        <w:gridCol w:w="1191"/>
        <w:gridCol w:w="1134"/>
        <w:gridCol w:w="1134"/>
        <w:gridCol w:w="1020"/>
        <w:gridCol w:w="2154"/>
        <w:gridCol w:w="3628"/>
        <w:gridCol w:w="680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Electrolyte composition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j</w:t>
              <w:br/>
              <w:t>(mA cm⁻²)</w:t>
            </w:r>
          </w:p>
        </w:tc>
        <w:tc>
          <w:tcPr>
            <w:tcW w:type="dxa" w:w="1191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Q</w:t>
              <w:br/>
              <w:t>(mAh cm⁻²)</w:t>
            </w:r>
          </w:p>
        </w:tc>
        <w:tc>
          <w:tcPr>
            <w:tcW w:type="dxa" w:w="113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i/>
                <w:color w:val="000000"/>
                <w:sz w:val="19"/>
              </w:rPr>
              <w:t>E</w:t>
            </w:r>
            <w:r>
              <w:rPr>
                <w:rFonts w:ascii="Liberation Serif" w:hAnsi="Liberation Serif"/>
                <w:b/>
                <w:color w:val="000000"/>
                <w:sz w:val="19"/>
                <w:vertAlign w:val="subscript"/>
              </w:rPr>
              <w:t>plate</w:t>
            </w:r>
            <w:r>
              <w:rPr>
                <w:rFonts w:ascii="Liberation Serif" w:hAnsi="Liberation Serif"/>
                <w:b/>
                <w:color w:val="000000"/>
                <w:sz w:val="19"/>
              </w:rPr>
              <w:br/>
              <w:t>(V)</w:t>
            </w:r>
          </w:p>
        </w:tc>
        <w:tc>
          <w:tcPr>
            <w:tcW w:type="dxa" w:w="113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η</w:t>
              <w:br/>
              <w:t>(V)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CE</w:t>
              <w:br/>
              <w:t>(%)</w:t>
            </w:r>
          </w:p>
        </w:tc>
        <w:tc>
          <w:tcPr>
            <w:tcW w:type="dxa" w:w="215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Cycle lifespan</w:t>
            </w:r>
          </w:p>
        </w:tc>
        <w:tc>
          <w:tcPr>
            <w:tcW w:type="dxa" w:w="3628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Pathway suggested</w:t>
            </w:r>
          </w:p>
        </w:tc>
        <w:tc>
          <w:tcPr>
            <w:tcW w:type="dxa" w:w="68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Ref.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Mg–Al chloride electrolyte/THF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100</w:t>
              <w:br/>
              <w:t>(first cycle)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 Surface activation without prolonged conditioning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9">
              <w:r>
                <w:rPr>
                  <w:rFonts w:ascii="Liberation Serif" w:hAnsi="Liberation Serif"/>
                  <w:color w:val="000000"/>
                  <w:sz w:val="19"/>
                </w:rPr>
                <w:t>[63]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Mg–Li chloride complex + BTFE (MLCC)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1200 h</w:t>
              <w:br/>
              <w:t>(Mg||Mg)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A/D Charged carriers and interphase formation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[81]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Mg(pftb)₂ + MgCl₂/THF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99.7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3000 cycles</w:t>
              <w:br/>
              <w:t>(CE test)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 Transfer sustained by an organic/inorganic interphase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1">
              <w:r>
                <w:rPr>
                  <w:rFonts w:ascii="Liberation Serif" w:hAnsi="Liberation Serif"/>
                  <w:color w:val="000000"/>
                  <w:sz w:val="19"/>
                </w:rPr>
                <w:t>[20]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salt/weakly solvated amineᵃ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99.6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800 cycles</w:t>
              <w:br/>
              <w:t>(CE test)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 Pairing limits amine reduction and H₂ evolution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2">
              <w:r>
                <w:rPr>
                  <w:rFonts w:ascii="Liberation Serif" w:hAnsi="Liberation Serif"/>
                  <w:color w:val="000000"/>
                  <w:sz w:val="19"/>
                </w:rPr>
                <w:t>[79]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0.18 M Mg(TFSI)₂ + 0.1 M LiOTf/DME–TMP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−0.22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450 hᵇ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B/D Modified coordination and phosphate-rich interphase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3">
              <w:r>
                <w:rPr>
                  <w:rFonts w:ascii="Liberation Serif" w:hAnsi="Liberation Serif"/>
                  <w:color w:val="000000"/>
                  <w:sz w:val="19"/>
                </w:rPr>
                <w:t>[82]</w:t>
              </w:r>
            </w:hyperlink>
            <w:r>
              <w:rPr>
                <w:rFonts w:ascii="Liberation Serif" w:hAnsi="Liberation Serif"/>
                <w:sz w:val="14"/>
              </w:rPr>
              <w:t>⁠P/S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Screened amine electrolyteᵃ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0.060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B/D Proposed synchronous release and MgH₂ interphase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4">
              <w:r>
                <w:rPr>
                  <w:rFonts w:ascii="Liberation Serif" w:hAnsi="Liberation Serif"/>
                  <w:color w:val="000000"/>
                  <w:sz w:val="19"/>
                </w:rPr>
                <w:t>[24]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MgEDTF/DME;</w:t>
              <w:br/>
              <w:t>MgEDTF + trace halide/DME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0.24;</w:t>
              <w:br/>
              <w:t>&lt;0.20ᶜ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B/D Chelating-anion pathway and SEI (control η = 2.0 V)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5">
              <w:r>
                <w:rPr>
                  <w:rFonts w:ascii="Liberation Serif" w:hAnsi="Liberation Serif"/>
                  <w:color w:val="000000"/>
                  <w:sz w:val="19"/>
                </w:rPr>
                <w:t>[80]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Mg(CB₁₁H₁₂)₂/G4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&gt;94.4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 Weak coordination through carborane design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6">
              <w:r>
                <w:rPr>
                  <w:rFonts w:ascii="Liberation Serif" w:hAnsi="Liberation Serif"/>
                  <w:color w:val="000000"/>
                  <w:sz w:val="19"/>
                </w:rPr>
                <w:t>[43]</w:t>
              </w:r>
            </w:hyperlink>
            <w:r>
              <w:rPr>
                <w:rFonts w:ascii="Liberation Serif" w:hAnsi="Liberation Serif"/>
                <w:sz w:val="14"/>
              </w:rPr>
              <w:t>⁠S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Mg-FPB electrolyteᵃ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0.197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 Weak coordination through pinacolatoborate design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7">
              <w:r>
                <w:rPr>
                  <w:rFonts w:ascii="Liberation Serif" w:hAnsi="Liberation Serif"/>
                  <w:color w:val="000000"/>
                  <w:sz w:val="19"/>
                </w:rPr>
                <w:t>[47]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0.4 M Mg(TFSI)₂/DME–G2–BTFE–TEP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2ᵇ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−0.15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95.2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7000 hᵇ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 Ion-pair dissociation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8">
              <w:r>
                <w:rPr>
                  <w:rFonts w:ascii="Liberation Serif" w:hAnsi="Liberation Serif"/>
                  <w:color w:val="000000"/>
                  <w:sz w:val="19"/>
                </w:rPr>
                <w:t>[23]</w:t>
              </w:r>
            </w:hyperlink>
            <w:r>
              <w:rPr>
                <w:rFonts w:ascii="Liberation Serif" w:hAnsi="Liberation Serif"/>
                <w:sz w:val="14"/>
              </w:rPr>
              <w:t>⁠P/S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Mg[B(hfip)₄]₂/DME–THF</w:t>
              <w:br/>
              <w:t>(DME:THF = 1:1, v/v)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10ᵇ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0.120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&gt;1200 hᵇ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 Competitive ether release (control: 0.316 V at 8 mA cm⁻²)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9">
              <w:r>
                <w:rPr>
                  <w:rFonts w:ascii="Liberation Serif" w:hAnsi="Liberation Serif"/>
                  <w:color w:val="000000"/>
                  <w:sz w:val="19"/>
                </w:rPr>
                <w:t>[51]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0.5 M Mg(TFSI)₂/DME–MOPA-1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≈−0.10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99.5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≈190 hᵇ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 Solvent-shell rearrangement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0">
              <w:r>
                <w:rPr>
                  <w:rFonts w:ascii="Liberation Serif" w:hAnsi="Liberation Serif"/>
                  <w:color w:val="000000"/>
                  <w:sz w:val="19"/>
                </w:rPr>
                <w:t>[75]</w:t>
              </w:r>
            </w:hyperlink>
            <w:r>
              <w:rPr>
                <w:rFonts w:ascii="Liberation Serif" w:hAnsi="Liberation Serif"/>
                <w:sz w:val="14"/>
              </w:rPr>
              <w:t>⁠S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0.25 M Mg(OTf)₂/G2–MOEA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−0.13 to</w:t>
              <w:br/>
              <w:t>−0.26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98.3</w:t>
              <w:br/>
              <w:t>(average)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8200 cycles (CE);</w:t>
              <w:br/>
              <w:t>&gt;5000 h (Mg||Mg)ᵇ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B/D Mixed coordination and distinct electrode interphases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1">
              <w:r>
                <w:rPr>
                  <w:rFonts w:ascii="Liberation Serif" w:hAnsi="Liberation Serif"/>
                  <w:color w:val="000000"/>
                  <w:sz w:val="19"/>
                </w:rPr>
                <w:t>[85]</w:t>
              </w:r>
            </w:hyperlink>
            <w:r>
              <w:rPr>
                <w:rFonts w:ascii="Liberation Serif" w:hAnsi="Liberation Serif"/>
                <w:sz w:val="14"/>
              </w:rPr>
              <w:t>⁠P/S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0.3 M EtMgCl/MOB</w:t>
              <w:br/>
              <w:t>(1:2 molar ratio)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&gt;1000 cycles</w:t>
              <w:br/>
              <w:t>(Mg||Mo)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B/D Dipole-regulated release and organic/inorganic film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2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 + MgCl₂/DME–TEP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0.25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99.4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3000 h</w:t>
              <w:br/>
              <w:t>(Mg||Mo)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A/D Dissociation and stable interphase</w:t>
            </w:r>
          </w:p>
        </w:tc>
        <w:tc>
          <w:tcPr>
            <w:tcW w:type="dxa" w:w="68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3">
              <w:r>
                <w:rPr>
                  <w:rFonts w:ascii="Liberation Serif" w:hAnsi="Liberation Serif"/>
                  <w:color w:val="000000"/>
                  <w:sz w:val="19"/>
                </w:rPr>
                <w:t>[87]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[Mg(THF)₆][AlCl₄]₂ + LiCl/THF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1191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0.140/0.140ᵈ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628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 Removal of blocking MgCl₂</w:t>
            </w:r>
          </w:p>
        </w:tc>
        <w:tc>
          <w:tcPr>
            <w:tcW w:type="dxa" w:w="68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4">
              <w:r>
                <w:rPr>
                  <w:rFonts w:ascii="Liberation Serif" w:hAnsi="Liberation Serif"/>
                  <w:color w:val="000000"/>
                  <w:sz w:val="19"/>
                </w:rPr>
                <w:t>[88]</w:t>
              </w:r>
            </w:hyperlink>
            <w:r>
              <w:rPr>
                <w:rFonts w:ascii="Liberation Serif" w:hAnsi="Liberation Serif"/>
                <w:sz w:val="14"/>
              </w:rPr>
              <w:t>⁠P</w:t>
            </w:r>
          </w:p>
        </w:tc>
      </w:tr>
    </w:tbl>
    <w:p>
      <w:pPr>
        <w:keepLines/>
        <w:spacing w:before="100" w:after="0" w:line="240" w:lineRule="auto"/>
      </w:pPr>
      <w:r>
        <w:rPr>
          <w:rFonts w:ascii="Liberation Serif" w:hAnsi="Liberation Serif"/>
          <w:sz w:val="17"/>
        </w:rPr>
        <w:t>Pathways: A, avoid persistent association; B, change ligand release or rearrangement; C, suppress side reactions; D, activate the surface or sustain transfer through an interphase. These overlapping assignments are interpretations to test, not proof of the rate-limiting step. P/S labels verify numerical sources, not every pathway assignment.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j, current density; Q, areal capacity; Eplate, reported plating potential; η, reported overpotential; CE, Coulombic efficiency. N.V., value not verified in the accessed source. P, original-paper abstract; S, supplied AM Perspective [89] (DOI 10.1002/adma.202417652); P/S, combined sources.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ᵃ Complete formulation or solvent identity unverified. ᵇ Values may describe separate tests; j and Q are not automatically the CE/lifetime conditions. In [51], j = 10 applies to η = 0.120 V; cycling j is N.V. In [85], CE and Mg||Mg lifetime are separate tests. Reversible cycling at 20 mA cm⁻² is also reported in [81]. ᶜ With trace Cl⁻/Br⁻. ᵈ Plating/stripping, respectively. Eplate reference conventions remain unverified. Each reference number links to its DOI.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Abbreviations: THF, tetrahydrofuran; DME, 1,2-dimethoxyethane; G2/G4, diglyme/tetraglyme; BTFE, bis(2,2,2-trifluoroethyl) ether; TMP/TEP, trimethyl/triethyl phosphate; MOPA-1, 1-methoxy-2-propylamine; MOEA, 2-methoxyethylamine; MOB, 1,4-oxazinane borane; Mg-FPB, magnesium perfluorinated pinacolatoborate; MgEDTF, magnesium salt of EDTF²⁻; pftb, perfluorinated tert-butoxide; hfip, hexafluoroisopropoxide.</w:t>
      </w:r>
    </w:p>
    <w:sectPr w:rsidR="00FC693F" w:rsidRPr="0006063C" w:rsidSect="00034616">
      <w:pgSz w:w="16838" w:h="11906" w:orient="landscape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Liberation Serif" w:hAnsi="Liberation Serif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9/c6ta01684g" TargetMode="External"/><Relationship Id="rId10" Type="http://schemas.openxmlformats.org/officeDocument/2006/relationships/hyperlink" Target="https://doi.org/10.1002/aenm.202202602" TargetMode="External"/><Relationship Id="rId11" Type="http://schemas.openxmlformats.org/officeDocument/2006/relationships/hyperlink" Target="https://doi.org/10.1002/adma.202203783" TargetMode="External"/><Relationship Id="rId12" Type="http://schemas.openxmlformats.org/officeDocument/2006/relationships/hyperlink" Target="https://doi.org/10.1002/aenm.202301544" TargetMode="External"/><Relationship Id="rId13" Type="http://schemas.openxmlformats.org/officeDocument/2006/relationships/hyperlink" Target="https://doi.org/10.1002/anie.202304411" TargetMode="External"/><Relationship Id="rId14" Type="http://schemas.openxmlformats.org/officeDocument/2006/relationships/hyperlink" Target="https://doi.org/10.1002/anie.2598559" TargetMode="External"/><Relationship Id="rId15" Type="http://schemas.openxmlformats.org/officeDocument/2006/relationships/hyperlink" Target="https://doi.org/10.1002/anie.6066611" TargetMode="External"/><Relationship Id="rId16" Type="http://schemas.openxmlformats.org/officeDocument/2006/relationships/hyperlink" Target="https://doi.org/10.1002/anie.201412202" TargetMode="External"/><Relationship Id="rId17" Type="http://schemas.openxmlformats.org/officeDocument/2006/relationships/hyperlink" Target="https://doi.org/10.1002/anie.201902009" TargetMode="External"/><Relationship Id="rId18" Type="http://schemas.openxmlformats.org/officeDocument/2006/relationships/hyperlink" Target="https://doi.org/10.1039/d3ee02861e" TargetMode="External"/><Relationship Id="rId19" Type="http://schemas.openxmlformats.org/officeDocument/2006/relationships/hyperlink" Target="https://doi.org/10.1002/eem2.70124" TargetMode="External"/><Relationship Id="rId20" Type="http://schemas.openxmlformats.org/officeDocument/2006/relationships/hyperlink" Target="https://doi.org/10.1126/science.abg3954" TargetMode="External"/><Relationship Id="rId21" Type="http://schemas.openxmlformats.org/officeDocument/2006/relationships/hyperlink" Target="https://doi.org/10.1002/aenm.202301795" TargetMode="External"/><Relationship Id="rId22" Type="http://schemas.openxmlformats.org/officeDocument/2006/relationships/hyperlink" Target="https://doi.org/10.1021/acs.jpclett.6c02608" TargetMode="External"/><Relationship Id="rId23" Type="http://schemas.openxmlformats.org/officeDocument/2006/relationships/hyperlink" Target="https://doi.org/10.1021/acscentsci.6c01164" TargetMode="External"/><Relationship Id="rId24" Type="http://schemas.openxmlformats.org/officeDocument/2006/relationships/hyperlink" Target="https://doi.org/10.1002/adfm.2019093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Magnesium Electrolyte Performance</dc:title>
  <dc:subject>Uniform performance columns and three-line table for Perspective V4</dc:subject>
  <dc:creator/>
  <cp:keywords>magnesium, electrolyte, plating, stripping, solvation, Table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