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B10E8" w14:textId="77777777" w:rsidR="004E6DE5" w:rsidRDefault="004E6DE5" w:rsidP="004E6DE5">
      <w:pPr>
        <w:spacing w:before="0" w:beforeAutospacing="0" w:after="160" w:afterAutospacing="0" w:line="259" w:lineRule="auto"/>
        <w:jc w:val="center"/>
        <w:rPr>
          <w:sz w:val="32"/>
          <w:szCs w:val="32"/>
        </w:rPr>
      </w:pPr>
      <w:r>
        <w:rPr>
          <w:noProof/>
        </w:rPr>
        <w:drawing>
          <wp:inline distT="0" distB="0" distL="0" distR="0" wp14:anchorId="1FBEA496" wp14:editId="5DF7993C">
            <wp:extent cx="2755900" cy="2222974"/>
            <wp:effectExtent l="0" t="0" r="6350" b="6350"/>
            <wp:docPr id="916803787" name="Picture 1" descr="Bangor University Brand Identity | Bangor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gor University Brand Identity | Bangor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4961" cy="2238349"/>
                    </a:xfrm>
                    <a:prstGeom prst="rect">
                      <a:avLst/>
                    </a:prstGeom>
                    <a:noFill/>
                    <a:ln>
                      <a:noFill/>
                    </a:ln>
                  </pic:spPr>
                </pic:pic>
              </a:graphicData>
            </a:graphic>
          </wp:inline>
        </w:drawing>
      </w:r>
    </w:p>
    <w:p w14:paraId="26B488CC" w14:textId="77777777" w:rsidR="004E6DE5" w:rsidRDefault="004E6DE5" w:rsidP="004E6DE5">
      <w:pPr>
        <w:spacing w:before="0" w:beforeAutospacing="0" w:after="160" w:afterAutospacing="0" w:line="259" w:lineRule="auto"/>
        <w:jc w:val="center"/>
        <w:rPr>
          <w:sz w:val="32"/>
          <w:szCs w:val="32"/>
        </w:rPr>
      </w:pPr>
    </w:p>
    <w:p w14:paraId="6BCA6A55" w14:textId="77777777" w:rsidR="004E6DE5" w:rsidRDefault="004E6DE5" w:rsidP="004E6DE5">
      <w:pPr>
        <w:spacing w:before="0" w:beforeAutospacing="0" w:after="160" w:afterAutospacing="0" w:line="259" w:lineRule="auto"/>
        <w:jc w:val="center"/>
        <w:rPr>
          <w:sz w:val="32"/>
          <w:szCs w:val="32"/>
        </w:rPr>
      </w:pPr>
    </w:p>
    <w:p w14:paraId="694B8C8D" w14:textId="77777777" w:rsidR="004E6DE5" w:rsidRDefault="004E6DE5" w:rsidP="004E6DE5">
      <w:pPr>
        <w:spacing w:before="0" w:beforeAutospacing="0" w:after="160" w:afterAutospacing="0" w:line="259" w:lineRule="auto"/>
        <w:jc w:val="center"/>
        <w:rPr>
          <w:sz w:val="32"/>
          <w:szCs w:val="32"/>
        </w:rPr>
      </w:pPr>
    </w:p>
    <w:p w14:paraId="6D38BA3A" w14:textId="77777777" w:rsidR="004E6DE5" w:rsidRDefault="004E6DE5" w:rsidP="004E6DE5">
      <w:pPr>
        <w:spacing w:before="0" w:beforeAutospacing="0" w:after="160" w:afterAutospacing="0" w:line="259" w:lineRule="auto"/>
        <w:jc w:val="center"/>
        <w:rPr>
          <w:sz w:val="32"/>
          <w:szCs w:val="32"/>
        </w:rPr>
      </w:pPr>
    </w:p>
    <w:p w14:paraId="460C67EE" w14:textId="77777777" w:rsidR="004E6DE5" w:rsidRPr="004E6DE5" w:rsidRDefault="004E6DE5" w:rsidP="004E6DE5">
      <w:pPr>
        <w:spacing w:before="0" w:beforeAutospacing="0" w:after="160" w:afterAutospacing="0" w:line="259" w:lineRule="auto"/>
        <w:jc w:val="center"/>
        <w:rPr>
          <w:sz w:val="40"/>
          <w:szCs w:val="40"/>
        </w:rPr>
      </w:pPr>
      <w:r w:rsidRPr="004E6DE5">
        <w:rPr>
          <w:sz w:val="40"/>
          <w:szCs w:val="40"/>
        </w:rPr>
        <w:t>Gelareh Kabiri</w:t>
      </w:r>
    </w:p>
    <w:p w14:paraId="0ED9371F" w14:textId="64FBEC60" w:rsidR="004E6DE5" w:rsidRPr="004E6DE5" w:rsidRDefault="004E6DE5" w:rsidP="004E6DE5">
      <w:pPr>
        <w:spacing w:before="0" w:beforeAutospacing="0" w:after="160" w:afterAutospacing="0" w:line="259" w:lineRule="auto"/>
        <w:jc w:val="center"/>
        <w:rPr>
          <w:sz w:val="40"/>
          <w:szCs w:val="40"/>
        </w:rPr>
      </w:pPr>
      <w:r w:rsidRPr="004E6DE5">
        <w:rPr>
          <w:sz w:val="40"/>
          <w:szCs w:val="40"/>
        </w:rPr>
        <w:t>500681622</w:t>
      </w:r>
    </w:p>
    <w:p w14:paraId="5F1909BF" w14:textId="77777777" w:rsidR="004E6DE5" w:rsidRDefault="004E6DE5" w:rsidP="004E6DE5">
      <w:pPr>
        <w:spacing w:before="0" w:beforeAutospacing="0" w:after="160" w:afterAutospacing="0" w:line="259" w:lineRule="auto"/>
        <w:jc w:val="center"/>
        <w:rPr>
          <w:sz w:val="32"/>
          <w:szCs w:val="32"/>
        </w:rPr>
      </w:pPr>
    </w:p>
    <w:p w14:paraId="02ADD79A" w14:textId="77777777" w:rsidR="004E6DE5" w:rsidRDefault="004E6DE5" w:rsidP="004E6DE5">
      <w:pPr>
        <w:spacing w:before="0" w:beforeAutospacing="0" w:after="160" w:afterAutospacing="0" w:line="259" w:lineRule="auto"/>
        <w:jc w:val="center"/>
        <w:rPr>
          <w:sz w:val="32"/>
          <w:szCs w:val="32"/>
        </w:rPr>
      </w:pPr>
    </w:p>
    <w:p w14:paraId="22D64FCA" w14:textId="77777777" w:rsidR="004E6DE5" w:rsidRDefault="004E6DE5" w:rsidP="004E6DE5">
      <w:pPr>
        <w:spacing w:before="0" w:beforeAutospacing="0" w:after="160" w:afterAutospacing="0" w:line="259" w:lineRule="auto"/>
        <w:jc w:val="center"/>
        <w:rPr>
          <w:sz w:val="32"/>
          <w:szCs w:val="32"/>
        </w:rPr>
      </w:pPr>
    </w:p>
    <w:p w14:paraId="60337171" w14:textId="77777777" w:rsidR="004E6DE5" w:rsidRDefault="004E6DE5" w:rsidP="004E6DE5">
      <w:pPr>
        <w:spacing w:before="0" w:beforeAutospacing="0" w:after="160" w:afterAutospacing="0" w:line="259" w:lineRule="auto"/>
        <w:jc w:val="center"/>
        <w:rPr>
          <w:sz w:val="32"/>
          <w:szCs w:val="32"/>
        </w:rPr>
      </w:pPr>
    </w:p>
    <w:p w14:paraId="79E3D831" w14:textId="77777777" w:rsidR="004E6DE5" w:rsidRDefault="004E6DE5" w:rsidP="004E6DE5">
      <w:pPr>
        <w:spacing w:before="0" w:beforeAutospacing="0" w:after="160" w:afterAutospacing="0" w:line="259" w:lineRule="auto"/>
        <w:jc w:val="center"/>
        <w:rPr>
          <w:sz w:val="32"/>
          <w:szCs w:val="32"/>
        </w:rPr>
      </w:pPr>
    </w:p>
    <w:p w14:paraId="0A16D9F1" w14:textId="77777777" w:rsidR="004E6DE5" w:rsidRDefault="004E6DE5" w:rsidP="004E6DE5">
      <w:pPr>
        <w:spacing w:before="0" w:beforeAutospacing="0" w:after="160" w:afterAutospacing="0" w:line="259" w:lineRule="auto"/>
        <w:jc w:val="center"/>
        <w:rPr>
          <w:sz w:val="32"/>
          <w:szCs w:val="32"/>
        </w:rPr>
      </w:pPr>
    </w:p>
    <w:p w14:paraId="6D9039B8" w14:textId="77777777" w:rsidR="004E6DE5" w:rsidRDefault="004E6DE5" w:rsidP="004E6DE5">
      <w:pPr>
        <w:spacing w:before="0" w:beforeAutospacing="0" w:after="160" w:afterAutospacing="0" w:line="259" w:lineRule="auto"/>
        <w:jc w:val="center"/>
        <w:rPr>
          <w:sz w:val="32"/>
          <w:szCs w:val="32"/>
        </w:rPr>
      </w:pPr>
    </w:p>
    <w:p w14:paraId="03CABEBD" w14:textId="77777777" w:rsidR="004E6DE5" w:rsidRDefault="004E6DE5" w:rsidP="004E6DE5">
      <w:pPr>
        <w:spacing w:before="0" w:beforeAutospacing="0" w:after="160" w:afterAutospacing="0" w:line="259" w:lineRule="auto"/>
        <w:jc w:val="center"/>
        <w:rPr>
          <w:sz w:val="32"/>
          <w:szCs w:val="32"/>
        </w:rPr>
      </w:pPr>
    </w:p>
    <w:p w14:paraId="777B2D1A" w14:textId="77777777" w:rsidR="004E6DE5" w:rsidRDefault="004E6DE5" w:rsidP="004E6DE5">
      <w:pPr>
        <w:spacing w:before="0" w:beforeAutospacing="0" w:after="160" w:afterAutospacing="0" w:line="259" w:lineRule="auto"/>
        <w:jc w:val="center"/>
        <w:rPr>
          <w:sz w:val="32"/>
          <w:szCs w:val="32"/>
        </w:rPr>
      </w:pPr>
    </w:p>
    <w:p w14:paraId="462A8CFC" w14:textId="77777777" w:rsidR="004E6DE5" w:rsidRDefault="004E6DE5" w:rsidP="004E6DE5">
      <w:pPr>
        <w:spacing w:before="0" w:beforeAutospacing="0" w:after="160" w:afterAutospacing="0" w:line="259" w:lineRule="auto"/>
        <w:jc w:val="center"/>
        <w:rPr>
          <w:sz w:val="32"/>
          <w:szCs w:val="32"/>
        </w:rPr>
      </w:pPr>
    </w:p>
    <w:p w14:paraId="4B2E5260" w14:textId="06B40D3F" w:rsidR="004E6DE5" w:rsidRPr="00AE19B0" w:rsidRDefault="004E6DE5" w:rsidP="00AE19B0">
      <w:pPr>
        <w:spacing w:before="0" w:beforeAutospacing="0" w:after="160" w:afterAutospacing="0" w:line="259" w:lineRule="auto"/>
        <w:jc w:val="center"/>
        <w:rPr>
          <w:sz w:val="32"/>
          <w:szCs w:val="32"/>
        </w:rPr>
      </w:pPr>
      <w:r w:rsidRPr="004E6DE5">
        <w:rPr>
          <w:sz w:val="32"/>
          <w:szCs w:val="32"/>
        </w:rPr>
        <w:t xml:space="preserve">Word Count: </w:t>
      </w:r>
      <w:r w:rsidR="00AE19B0">
        <w:rPr>
          <w:sz w:val="32"/>
          <w:szCs w:val="32"/>
        </w:rPr>
        <w:t>2912</w:t>
      </w:r>
      <w:r>
        <w:br w:type="page"/>
      </w:r>
    </w:p>
    <w:p w14:paraId="0EA26E5D" w14:textId="0DDC089F" w:rsidR="00ED303C" w:rsidRDefault="00ED303C" w:rsidP="00ED303C">
      <w:pPr>
        <w:pStyle w:val="Heading1"/>
      </w:pPr>
      <w:proofErr w:type="spellStart"/>
      <w:r>
        <w:lastRenderedPageBreak/>
        <w:t>Introductio</w:t>
      </w:r>
      <w:proofErr w:type="spellEnd"/>
    </w:p>
    <w:p w14:paraId="62109862" w14:textId="1788A6FD" w:rsidR="00ED303C" w:rsidRDefault="00ED303C" w:rsidP="00ED303C">
      <w:r>
        <w:t xml:space="preserve">The intricate nexus between financial credibility and sustainability has recently gained unprecedented attention in the global finance arena. This emphasis results from the world's recognition of the profound importance of sustainability, especially against the backdrop of existential challenges such as climate change and global pandemics. An emerging area of scholarly and practical significance pertains to the potential interplay between Environmental, Social, and Governance (ESG) performance and sovereign credit ratings. </w:t>
      </w:r>
    </w:p>
    <w:p w14:paraId="3257B65A" w14:textId="6DEC265D" w:rsidR="00ED303C" w:rsidRDefault="00ED303C" w:rsidP="00ED303C">
      <w:r>
        <w:t>Sovereign credit ratings possess an immense influence on a nation's international financial standing. They not only impact the borrowing costs for countries but also act as a barometer of their financial health and stability in the global financial markets. On the other hand, ESG performance offers a nuanced understanding of a country's sustainability initiatives and its long-term resilience against environmental, social, and governance challenges. Hence, understanding the interrelation between ESG metrics and sovereign credit ratings is pivotal for policymakers, investors, and international organizations. It provides valuable insights into how sustainability initiatives and governance can shape a country's financial credibility and, by extension, its economic future.</w:t>
      </w:r>
    </w:p>
    <w:p w14:paraId="1C9F1251" w14:textId="69FB6F5D" w:rsidR="00ED303C" w:rsidRDefault="00ED303C" w:rsidP="00ED303C">
      <w:r>
        <w:t xml:space="preserve">Against this backdrop, our research </w:t>
      </w:r>
      <w:proofErr w:type="spellStart"/>
      <w:r>
        <w:t>endeavors</w:t>
      </w:r>
      <w:proofErr w:type="spellEnd"/>
      <w:r>
        <w:t xml:space="preserve"> to explore and decode this relationship by examining sovereign rating data juxtaposed with ESG performance metrics. Covering a span of a decade, from 2010 to 2020, our study will dissect data from ten diverse countries, aiming to offer a holistic view of global patterns and trends. The quest to ascertain this relationship will be underpinned by a robust empirical foundation that integrates insights from various academic spheres. With an array of existing studies in the realm of finance, economics, and financial statement fraud detection (</w:t>
      </w:r>
      <w:proofErr w:type="spellStart"/>
      <w:r>
        <w:t>Adoboe</w:t>
      </w:r>
      <w:proofErr w:type="spellEnd"/>
      <w:r>
        <w:t>-Mensah et al., 2023; Gupta &amp; Mehta, 2021), our research aims to carve a niche in understanding how sustainability and financial credibility converge in the modern world.</w:t>
      </w:r>
    </w:p>
    <w:p w14:paraId="59299C79" w14:textId="75F0486E" w:rsidR="004028F2" w:rsidRDefault="004028F2" w:rsidP="004028F2">
      <w:pPr>
        <w:pStyle w:val="Heading1"/>
      </w:pPr>
      <w:r>
        <w:t>Literature Review</w:t>
      </w:r>
    </w:p>
    <w:p w14:paraId="2D4985FD" w14:textId="1E178E10" w:rsidR="004028F2" w:rsidRDefault="004028F2" w:rsidP="004028F2">
      <w:r>
        <w:t>The paramount importance of sovereign credit ratings in the international financial landscape can't be understated. These ratings, as suggested by Cantor &amp; Packer (1996), serve as significant benchmarks for foreign investors, guiding the decision-making processes regarding the feasibility and safety of investing in a particular country's bonds. Essentially, a higher rating translates to a lower risk perception, leading to a reduced cost of borrowing for the rated country.</w:t>
      </w:r>
    </w:p>
    <w:p w14:paraId="14A53060" w14:textId="08B1B716" w:rsidR="004028F2" w:rsidRDefault="004028F2" w:rsidP="004028F2">
      <w:r>
        <w:lastRenderedPageBreak/>
        <w:t>Historically, the factors influencing sovereign credit ratings have been predominantly economic. Cantor &amp; Packer elucidate a variety of determinants, such as the external debt levels, GDP per capita, and inflation rates, which have traditionally informed the rating decision. Similarly, the study by Afonso, Gomes &amp; Rother (2011) underscores the significance of both short-term and long-term determinants, including the current account balance, economic development levels, and the political environment, in swaying sovereign ratings.</w:t>
      </w:r>
    </w:p>
    <w:p w14:paraId="7596E280" w14:textId="1847AD61" w:rsidR="004028F2" w:rsidRDefault="004028F2" w:rsidP="004028F2">
      <w:r>
        <w:t>However, recent shifts in global priorities, characterized by the magnifying challenges of the Covid-19 pandemic and climate change, have spurred an increased focus on Environmental, Social, and Governance (ESG) factors. Capelle-</w:t>
      </w:r>
      <w:proofErr w:type="spellStart"/>
      <w:r>
        <w:t>Blancard</w:t>
      </w:r>
      <w:proofErr w:type="spellEnd"/>
      <w:r>
        <w:t xml:space="preserve"> et al. (2019) mark this paradigm shift, suggesting that traditional economic indicators are no longer the sole determinants. ESG performance has begun to wield considerable influence, with countries that prioritize sustainable and responsible governance, environmental stewardship, and social inclusivity gaining a favourable perspective in the eyes of rating agencies.</w:t>
      </w:r>
    </w:p>
    <w:p w14:paraId="28EF1F24" w14:textId="1B960D23" w:rsidR="00ED303C" w:rsidRDefault="004028F2" w:rsidP="004028F2">
      <w:r>
        <w:t>An interesting pivot can be observed in how rating agencies and global investors are gravitating towards a more holistic approach, factoring in ESG scores and climate change vulnerabilities alongside traditional economic metrics. This is emblematic of a larger trend in the global financial space, wherein sustainability and ethical governance are increasingly being viewed as indispensable for long-term economic stability and resilience.</w:t>
      </w:r>
    </w:p>
    <w:p w14:paraId="7B3A0945" w14:textId="77777777" w:rsidR="004028F2" w:rsidRDefault="004028F2" w:rsidP="004028F2">
      <w:r>
        <w:t xml:space="preserve">Certainly. Here's the second part of the literature review, which will delve deeper into the relevance of ESG factors, specifically environmental considerations, and their impact on sovereign credit ratings. </w:t>
      </w:r>
    </w:p>
    <w:p w14:paraId="1A9735BE" w14:textId="168CF277" w:rsidR="004028F2" w:rsidRDefault="004028F2" w:rsidP="004028F2">
      <w:r>
        <w:t xml:space="preserve">The exigencies posed by the escalating climate crisis have irrevocably transformed the global discourse on economic and fiscal policies. With natural calamities and environmental degradation taking a toll on global economies, the implications for sovereign creditworthiness have become palpable. </w:t>
      </w:r>
      <w:proofErr w:type="spellStart"/>
      <w:r>
        <w:t>Cevik</w:t>
      </w:r>
      <w:proofErr w:type="spellEnd"/>
      <w:r>
        <w:t xml:space="preserve"> &amp; </w:t>
      </w:r>
      <w:proofErr w:type="spellStart"/>
      <w:r>
        <w:t>Jalles</w:t>
      </w:r>
      <w:proofErr w:type="spellEnd"/>
      <w:r>
        <w:t xml:space="preserve"> (2022) articulate this evolving dynamic, demonstrating the significant repercussions of climate shocks on sovereign bonds. Such impacts can manifest in diverse ways, from direct damage to infrastructure and resources to the ripple effects on social and economic structures, ultimately culminating in credit risks.</w:t>
      </w:r>
    </w:p>
    <w:p w14:paraId="27B3B85A" w14:textId="72E356FC" w:rsidR="004028F2" w:rsidRDefault="004028F2" w:rsidP="004028F2">
      <w:r>
        <w:t xml:space="preserve">One of the more pioneering studies in this realm is by </w:t>
      </w:r>
      <w:proofErr w:type="spellStart"/>
      <w:r>
        <w:t>Klusak</w:t>
      </w:r>
      <w:proofErr w:type="spellEnd"/>
      <w:r>
        <w:t xml:space="preserve"> et al. (2021). Their research makes an unequivocal correlation between rising global temperatures and falling credit ratings, emphasizing the inextricable link between environmental wellbeing and fiscal soundness. Their findings highlight those nations susceptible to climate-induced hazards, be it rising sea levels or desertification, are perceived as high-risk entities by rating agencies. This underlines the economic rationale behind sustainable </w:t>
      </w:r>
      <w:r>
        <w:lastRenderedPageBreak/>
        <w:t>environmental practices – not merely from an ethical standpoint but as a cornerstone of fiscal and economic longevity.</w:t>
      </w:r>
    </w:p>
    <w:p w14:paraId="7F0B33B5" w14:textId="008D2077" w:rsidR="004028F2" w:rsidRDefault="004028F2" w:rsidP="004028F2">
      <w:r>
        <w:t xml:space="preserve">Moreover, the emphasis on ESG scores goes beyond just environmental concerns. As </w:t>
      </w:r>
      <w:proofErr w:type="spellStart"/>
      <w:r>
        <w:t>Yusrianti</w:t>
      </w:r>
      <w:proofErr w:type="spellEnd"/>
      <w:r>
        <w:t xml:space="preserve"> et al. (2020) note, factors related to social welfare and governance also play pivotal roles. Countries exhibiting transparent governance practices, robust legal frameworks, and an emphasis on social inclusivity and equity are increasingly seen as more creditworthy. This multi-faceted approach to sovereign rating elucidates the profound transition in how creditworthiness is conceptualized – a move from a narrow economic purview to a broad-spectrum analysis encompassing environmental, social, and governance tenets.</w:t>
      </w:r>
    </w:p>
    <w:p w14:paraId="196698BE" w14:textId="77777777" w:rsidR="004028F2" w:rsidRDefault="004028F2" w:rsidP="004028F2">
      <w:r>
        <w:t xml:space="preserve">Another critical dimension that intersects with sovereign creditworthiness is the evolution of financial fraud detection mechanisms. Modern economies are increasingly reliant on sophisticated financial instruments, and as Ashtiani and </w:t>
      </w:r>
      <w:proofErr w:type="spellStart"/>
      <w:r>
        <w:t>Raahemi</w:t>
      </w:r>
      <w:proofErr w:type="spellEnd"/>
      <w:r>
        <w:t xml:space="preserve"> (2021) argue, these instruments are susceptible to manipulations and fraudulent activities. Through their comprehensive analysis, they highlight the pertinence of employing advanced machine learning and data mining techniques to unravel potential financial statement anomalies. Such anomalies, if unchecked, can paint a misleading picture of a nation's fiscal health, leading to inaccurate sovereign ratings. Dimitrijevic, </w:t>
      </w:r>
      <w:proofErr w:type="spellStart"/>
      <w:r>
        <w:t>Jovkovic</w:t>
      </w:r>
      <w:proofErr w:type="spellEnd"/>
      <w:r>
        <w:t>, and Milutinovic (2021) further underscore the limitations of conventional external auditing in capturing such nuanced financial distortions. The criticality of addressing this issue can't be overstated. Sovereign ratings don't merely reflect economic health; they are powerful determinants influencing international investment, policy decisions, and a nation's overall financial trajectory. Ensuring the accuracy and integrity of the financial statements that underpin these ratings is, therefore, paramount.</w:t>
      </w:r>
    </w:p>
    <w:p w14:paraId="3E6CC2C8" w14:textId="719F8E51" w:rsidR="004028F2" w:rsidRDefault="004028F2" w:rsidP="004028F2">
      <w:r>
        <w:t>As the world grapples with unprecedented challenges, the metrics for gauging sovereign creditworthiness are undergoing a seminal shift. It is becoming abundantly clear that a nation's commitment to sustainability, both in environmental and governance terms, isn't just a matter of global responsibility, but a crucial determinant of its economic and fiscal health.</w:t>
      </w:r>
    </w:p>
    <w:p w14:paraId="3CAAEE7B" w14:textId="26FBD7D9" w:rsidR="004028F2" w:rsidRDefault="004028F2" w:rsidP="004028F2">
      <w:pPr>
        <w:pStyle w:val="Heading1"/>
      </w:pPr>
      <w:r>
        <w:t>Data</w:t>
      </w:r>
    </w:p>
    <w:p w14:paraId="020A35FB" w14:textId="2B5143BF" w:rsidR="004028F2" w:rsidRDefault="004028F2" w:rsidP="004028F2">
      <w:r>
        <w:t>The empirical analysis hinges on the robustness and comprehensiveness of the dataset utilized. In addressing the question of how country-level ESG performance impacts sovereign ratings, a mix of quantitative and qualitative data sources was tapped into.</w:t>
      </w:r>
    </w:p>
    <w:p w14:paraId="24C4D74D" w14:textId="791B6727" w:rsidR="004028F2" w:rsidRDefault="004028F2" w:rsidP="004028F2">
      <w:r>
        <w:t xml:space="preserve">Firstly, sovereign rating data spanning a decade, from 2010 to 2020, was collated from two of the world's leading credit rating agencies: Standard &amp; Poor’s and Moody’s. These agencies have a rich </w:t>
      </w:r>
      <w:r>
        <w:lastRenderedPageBreak/>
        <w:t>history and are well-respected for their rigorous methodologies, thus offering a reliable gauge of sovereign creditworthiness. Their ratings were chosen as they typically encompass both qualitative assessments and quantitative metrics, offering a holistic view of a country's credit profile.</w:t>
      </w:r>
    </w:p>
    <w:p w14:paraId="28476E2C" w14:textId="33CA75F1" w:rsidR="004028F2" w:rsidRDefault="004028F2" w:rsidP="004028F2">
      <w:r>
        <w:t>In parallel, annual ESG data was extracted. This included, but was not limited to, the ESG score, which provides a measure of a country's adherence to environmental, social, and governance tenets. Additionally, indices reflecting climate change vulnerability were sourced to provide depth, given the increasing emphasis on environmental sustainability in recent years.</w:t>
      </w:r>
    </w:p>
    <w:p w14:paraId="404E3258" w14:textId="5F3FF5ED" w:rsidR="004028F2" w:rsidRDefault="004028F2" w:rsidP="004028F2">
      <w:r>
        <w:t>Beyond the primary focus on ESG factors, it was imperative to integrate traditional macroeconomic and (optionally) political variables, which historically have been pivotal in determining sovereign credit ratings. After a careful review of the academic literature and disclosures from credit rating agencies, a selection of control variables was made. This encompassed external debt, GDP per capita, government budget deficit, and inflation rates. While these metrics are standard in many empirical analyses, their integration is essential to distil the unique influence of ESG factors over and above conventional economic indicators.</w:t>
      </w:r>
    </w:p>
    <w:p w14:paraId="41222FA8" w14:textId="1C1F4576" w:rsidR="004028F2" w:rsidRDefault="004028F2" w:rsidP="00FC49CC">
      <w:r>
        <w:t>Data sources were primarily extracted from public repositories and databases mentioned on Blackboard. However, to ensure comprehensiveness and capture nuances, independent searches were also conducted across academic databases, governmental publications, and financial institutions. This rigorous and encompassing data collection approach ensures a balanced and informed perspective, setting a solid foundation for the subsequent empirical modelling and analysis.</w:t>
      </w:r>
    </w:p>
    <w:p w14:paraId="0E0F05C5" w14:textId="11A71EB1" w:rsidR="00FC49CC" w:rsidRDefault="00FC49CC" w:rsidP="00FC49CC">
      <w:pPr>
        <w:pStyle w:val="Caption"/>
      </w:pPr>
      <w:r>
        <w:t xml:space="preserve">Table </w:t>
      </w:r>
      <w:fldSimple w:instr=" SEQ Table \* ARABIC ">
        <w:r>
          <w:rPr>
            <w:noProof/>
          </w:rPr>
          <w:t>1</w:t>
        </w:r>
      </w:fldSimple>
      <w:r>
        <w:rPr>
          <w:lang w:val="en-US"/>
        </w:rPr>
        <w:t xml:space="preserve"> Variables Description</w:t>
      </w:r>
    </w:p>
    <w:tbl>
      <w:tblPr>
        <w:tblStyle w:val="TableGrid"/>
        <w:tblW w:w="0" w:type="auto"/>
        <w:tblInd w:w="113" w:type="dxa"/>
        <w:tblLook w:val="04A0" w:firstRow="1" w:lastRow="0" w:firstColumn="1" w:lastColumn="0" w:noHBand="0" w:noVBand="1"/>
      </w:tblPr>
      <w:tblGrid>
        <w:gridCol w:w="2501"/>
        <w:gridCol w:w="5280"/>
      </w:tblGrid>
      <w:tr w:rsidR="00FC49CC" w14:paraId="09DB42DA" w14:textId="77777777" w:rsidTr="00FC49CC">
        <w:trPr>
          <w:trHeight w:val="288"/>
        </w:trPr>
        <w:tc>
          <w:tcPr>
            <w:tcW w:w="2335" w:type="dxa"/>
            <w:tcBorders>
              <w:top w:val="single" w:sz="4" w:space="0" w:color="auto"/>
              <w:left w:val="single" w:sz="4" w:space="0" w:color="auto"/>
              <w:bottom w:val="single" w:sz="4" w:space="0" w:color="auto"/>
              <w:right w:val="single" w:sz="4" w:space="0" w:color="auto"/>
            </w:tcBorders>
            <w:noWrap/>
            <w:hideMark/>
          </w:tcPr>
          <w:p w14:paraId="6945E6C1" w14:textId="77777777" w:rsidR="00FC49CC" w:rsidRDefault="00FC49CC">
            <w:pPr>
              <w:rPr>
                <w:b/>
                <w:bCs/>
              </w:rPr>
            </w:pPr>
            <w:r>
              <w:rPr>
                <w:b/>
                <w:bCs/>
              </w:rPr>
              <w:t>Variable</w:t>
            </w:r>
          </w:p>
        </w:tc>
        <w:tc>
          <w:tcPr>
            <w:tcW w:w="5280" w:type="dxa"/>
            <w:tcBorders>
              <w:top w:val="single" w:sz="4" w:space="0" w:color="auto"/>
              <w:left w:val="single" w:sz="4" w:space="0" w:color="auto"/>
              <w:bottom w:val="single" w:sz="4" w:space="0" w:color="auto"/>
              <w:right w:val="single" w:sz="4" w:space="0" w:color="auto"/>
            </w:tcBorders>
            <w:noWrap/>
            <w:hideMark/>
          </w:tcPr>
          <w:p w14:paraId="39B257B3" w14:textId="77777777" w:rsidR="00FC49CC" w:rsidRDefault="00FC49CC">
            <w:pPr>
              <w:rPr>
                <w:b/>
                <w:bCs/>
              </w:rPr>
            </w:pPr>
            <w:r>
              <w:rPr>
                <w:b/>
                <w:bCs/>
              </w:rPr>
              <w:t>Definition</w:t>
            </w:r>
          </w:p>
        </w:tc>
      </w:tr>
      <w:tr w:rsidR="00FC49CC" w14:paraId="1E9C155A" w14:textId="77777777" w:rsidTr="00FC49CC">
        <w:trPr>
          <w:trHeight w:val="288"/>
        </w:trPr>
        <w:tc>
          <w:tcPr>
            <w:tcW w:w="2335" w:type="dxa"/>
            <w:tcBorders>
              <w:top w:val="single" w:sz="4" w:space="0" w:color="auto"/>
              <w:left w:val="single" w:sz="4" w:space="0" w:color="auto"/>
              <w:bottom w:val="single" w:sz="4" w:space="0" w:color="auto"/>
              <w:right w:val="single" w:sz="4" w:space="0" w:color="auto"/>
            </w:tcBorders>
            <w:noWrap/>
            <w:hideMark/>
          </w:tcPr>
          <w:p w14:paraId="3BA049FC" w14:textId="77777777" w:rsidR="00FC49CC" w:rsidRDefault="00FC49CC">
            <w:r>
              <w:t>ESG</w:t>
            </w:r>
          </w:p>
        </w:tc>
        <w:tc>
          <w:tcPr>
            <w:tcW w:w="5280" w:type="dxa"/>
            <w:tcBorders>
              <w:top w:val="single" w:sz="4" w:space="0" w:color="auto"/>
              <w:left w:val="single" w:sz="4" w:space="0" w:color="auto"/>
              <w:bottom w:val="single" w:sz="4" w:space="0" w:color="auto"/>
              <w:right w:val="single" w:sz="4" w:space="0" w:color="auto"/>
            </w:tcBorders>
            <w:noWrap/>
            <w:hideMark/>
          </w:tcPr>
          <w:p w14:paraId="0F432982" w14:textId="77777777" w:rsidR="00FC49CC" w:rsidRDefault="00FC49CC">
            <w:r>
              <w:t>Environmental, Social, and Governance score</w:t>
            </w:r>
          </w:p>
        </w:tc>
      </w:tr>
      <w:tr w:rsidR="00FC49CC" w14:paraId="54892293" w14:textId="77777777" w:rsidTr="00FC49CC">
        <w:trPr>
          <w:trHeight w:val="288"/>
        </w:trPr>
        <w:tc>
          <w:tcPr>
            <w:tcW w:w="2335" w:type="dxa"/>
            <w:tcBorders>
              <w:top w:val="single" w:sz="4" w:space="0" w:color="auto"/>
              <w:left w:val="single" w:sz="4" w:space="0" w:color="auto"/>
              <w:bottom w:val="single" w:sz="4" w:space="0" w:color="auto"/>
              <w:right w:val="single" w:sz="4" w:space="0" w:color="auto"/>
            </w:tcBorders>
            <w:noWrap/>
            <w:hideMark/>
          </w:tcPr>
          <w:p w14:paraId="64EBEF37" w14:textId="77777777" w:rsidR="00FC49CC" w:rsidRDefault="00FC49CC">
            <w:proofErr w:type="spellStart"/>
            <w:r>
              <w:t>GDPperCapita</w:t>
            </w:r>
            <w:proofErr w:type="spellEnd"/>
          </w:p>
        </w:tc>
        <w:tc>
          <w:tcPr>
            <w:tcW w:w="5280" w:type="dxa"/>
            <w:tcBorders>
              <w:top w:val="single" w:sz="4" w:space="0" w:color="auto"/>
              <w:left w:val="single" w:sz="4" w:space="0" w:color="auto"/>
              <w:bottom w:val="single" w:sz="4" w:space="0" w:color="auto"/>
              <w:right w:val="single" w:sz="4" w:space="0" w:color="auto"/>
            </w:tcBorders>
            <w:noWrap/>
            <w:hideMark/>
          </w:tcPr>
          <w:p w14:paraId="4A4502CC" w14:textId="77777777" w:rsidR="00FC49CC" w:rsidRDefault="00FC49CC">
            <w:r>
              <w:t>Gross Domestic Product per capita</w:t>
            </w:r>
          </w:p>
        </w:tc>
      </w:tr>
      <w:tr w:rsidR="00FC49CC" w14:paraId="395FB839" w14:textId="77777777" w:rsidTr="00FC49CC">
        <w:trPr>
          <w:trHeight w:val="288"/>
        </w:trPr>
        <w:tc>
          <w:tcPr>
            <w:tcW w:w="2335" w:type="dxa"/>
            <w:tcBorders>
              <w:top w:val="single" w:sz="4" w:space="0" w:color="auto"/>
              <w:left w:val="single" w:sz="4" w:space="0" w:color="auto"/>
              <w:bottom w:val="single" w:sz="4" w:space="0" w:color="auto"/>
              <w:right w:val="single" w:sz="4" w:space="0" w:color="auto"/>
            </w:tcBorders>
            <w:noWrap/>
            <w:hideMark/>
          </w:tcPr>
          <w:p w14:paraId="2C0052C5" w14:textId="77777777" w:rsidR="00FC49CC" w:rsidRDefault="00FC49CC">
            <w:r>
              <w:t>Unemployment</w:t>
            </w:r>
          </w:p>
        </w:tc>
        <w:tc>
          <w:tcPr>
            <w:tcW w:w="5280" w:type="dxa"/>
            <w:tcBorders>
              <w:top w:val="single" w:sz="4" w:space="0" w:color="auto"/>
              <w:left w:val="single" w:sz="4" w:space="0" w:color="auto"/>
              <w:bottom w:val="single" w:sz="4" w:space="0" w:color="auto"/>
              <w:right w:val="single" w:sz="4" w:space="0" w:color="auto"/>
            </w:tcBorders>
            <w:noWrap/>
            <w:hideMark/>
          </w:tcPr>
          <w:p w14:paraId="23742297" w14:textId="77777777" w:rsidR="00FC49CC" w:rsidRDefault="00FC49CC">
            <w:r>
              <w:t>Unemployment rate</w:t>
            </w:r>
          </w:p>
        </w:tc>
      </w:tr>
      <w:tr w:rsidR="00FC49CC" w14:paraId="14A66607" w14:textId="77777777" w:rsidTr="00FC49CC">
        <w:trPr>
          <w:trHeight w:val="288"/>
        </w:trPr>
        <w:tc>
          <w:tcPr>
            <w:tcW w:w="2335" w:type="dxa"/>
            <w:tcBorders>
              <w:top w:val="single" w:sz="4" w:space="0" w:color="auto"/>
              <w:left w:val="single" w:sz="4" w:space="0" w:color="auto"/>
              <w:bottom w:val="single" w:sz="4" w:space="0" w:color="auto"/>
              <w:right w:val="single" w:sz="4" w:space="0" w:color="auto"/>
            </w:tcBorders>
            <w:noWrap/>
            <w:hideMark/>
          </w:tcPr>
          <w:p w14:paraId="282B337B" w14:textId="77777777" w:rsidR="00FC49CC" w:rsidRDefault="00FC49CC">
            <w:proofErr w:type="spellStart"/>
            <w:r>
              <w:t>CurrentAccountBalance</w:t>
            </w:r>
            <w:proofErr w:type="spellEnd"/>
          </w:p>
        </w:tc>
        <w:tc>
          <w:tcPr>
            <w:tcW w:w="5280" w:type="dxa"/>
            <w:tcBorders>
              <w:top w:val="single" w:sz="4" w:space="0" w:color="auto"/>
              <w:left w:val="single" w:sz="4" w:space="0" w:color="auto"/>
              <w:bottom w:val="single" w:sz="4" w:space="0" w:color="auto"/>
              <w:right w:val="single" w:sz="4" w:space="0" w:color="auto"/>
            </w:tcBorders>
            <w:noWrap/>
            <w:hideMark/>
          </w:tcPr>
          <w:p w14:paraId="1C62C82F" w14:textId="77777777" w:rsidR="00FC49CC" w:rsidRDefault="00FC49CC">
            <w:r>
              <w:t>Current account balance</w:t>
            </w:r>
          </w:p>
        </w:tc>
      </w:tr>
      <w:tr w:rsidR="00FC49CC" w14:paraId="48AC32EF" w14:textId="77777777" w:rsidTr="00FC49CC">
        <w:trPr>
          <w:trHeight w:val="288"/>
        </w:trPr>
        <w:tc>
          <w:tcPr>
            <w:tcW w:w="2335" w:type="dxa"/>
            <w:tcBorders>
              <w:top w:val="single" w:sz="4" w:space="0" w:color="auto"/>
              <w:left w:val="single" w:sz="4" w:space="0" w:color="auto"/>
              <w:bottom w:val="single" w:sz="4" w:space="0" w:color="auto"/>
              <w:right w:val="single" w:sz="4" w:space="0" w:color="auto"/>
            </w:tcBorders>
            <w:noWrap/>
            <w:hideMark/>
          </w:tcPr>
          <w:p w14:paraId="4EA4E1CD" w14:textId="77777777" w:rsidR="00FC49CC" w:rsidRDefault="00FC49CC">
            <w:proofErr w:type="spellStart"/>
            <w:r>
              <w:t>GovernmentEffectiveness</w:t>
            </w:r>
            <w:proofErr w:type="spellEnd"/>
          </w:p>
        </w:tc>
        <w:tc>
          <w:tcPr>
            <w:tcW w:w="5280" w:type="dxa"/>
            <w:tcBorders>
              <w:top w:val="single" w:sz="4" w:space="0" w:color="auto"/>
              <w:left w:val="single" w:sz="4" w:space="0" w:color="auto"/>
              <w:bottom w:val="single" w:sz="4" w:space="0" w:color="auto"/>
              <w:right w:val="single" w:sz="4" w:space="0" w:color="auto"/>
            </w:tcBorders>
            <w:noWrap/>
            <w:hideMark/>
          </w:tcPr>
          <w:p w14:paraId="26774559" w14:textId="77777777" w:rsidR="00FC49CC" w:rsidRDefault="00FC49CC">
            <w:r>
              <w:t>Government effectiveness score</w:t>
            </w:r>
          </w:p>
        </w:tc>
      </w:tr>
      <w:tr w:rsidR="00FC49CC" w14:paraId="29155AF0" w14:textId="77777777" w:rsidTr="00FC49CC">
        <w:trPr>
          <w:trHeight w:val="288"/>
        </w:trPr>
        <w:tc>
          <w:tcPr>
            <w:tcW w:w="2335" w:type="dxa"/>
            <w:tcBorders>
              <w:top w:val="single" w:sz="4" w:space="0" w:color="auto"/>
              <w:left w:val="single" w:sz="4" w:space="0" w:color="auto"/>
              <w:bottom w:val="single" w:sz="4" w:space="0" w:color="auto"/>
              <w:right w:val="single" w:sz="4" w:space="0" w:color="auto"/>
            </w:tcBorders>
            <w:noWrap/>
            <w:hideMark/>
          </w:tcPr>
          <w:p w14:paraId="112ADF3B" w14:textId="77777777" w:rsidR="00FC49CC" w:rsidRDefault="00FC49CC">
            <w:r>
              <w:t>Inflation</w:t>
            </w:r>
          </w:p>
        </w:tc>
        <w:tc>
          <w:tcPr>
            <w:tcW w:w="5280" w:type="dxa"/>
            <w:tcBorders>
              <w:top w:val="single" w:sz="4" w:space="0" w:color="auto"/>
              <w:left w:val="single" w:sz="4" w:space="0" w:color="auto"/>
              <w:bottom w:val="single" w:sz="4" w:space="0" w:color="auto"/>
              <w:right w:val="single" w:sz="4" w:space="0" w:color="auto"/>
            </w:tcBorders>
            <w:noWrap/>
            <w:hideMark/>
          </w:tcPr>
          <w:p w14:paraId="34C29D32" w14:textId="77777777" w:rsidR="00FC49CC" w:rsidRDefault="00FC49CC">
            <w:r>
              <w:t>Inflation rate</w:t>
            </w:r>
          </w:p>
        </w:tc>
      </w:tr>
      <w:tr w:rsidR="00FC49CC" w14:paraId="4C0E8832" w14:textId="77777777" w:rsidTr="00FC49CC">
        <w:trPr>
          <w:trHeight w:val="288"/>
        </w:trPr>
        <w:tc>
          <w:tcPr>
            <w:tcW w:w="2335" w:type="dxa"/>
            <w:tcBorders>
              <w:top w:val="single" w:sz="4" w:space="0" w:color="auto"/>
              <w:left w:val="single" w:sz="4" w:space="0" w:color="auto"/>
              <w:bottom w:val="single" w:sz="4" w:space="0" w:color="auto"/>
              <w:right w:val="single" w:sz="4" w:space="0" w:color="auto"/>
            </w:tcBorders>
            <w:noWrap/>
            <w:hideMark/>
          </w:tcPr>
          <w:p w14:paraId="334E5F83" w14:textId="77777777" w:rsidR="00FC49CC" w:rsidRDefault="00FC49CC">
            <w:proofErr w:type="spellStart"/>
            <w:r>
              <w:t>averating</w:t>
            </w:r>
            <w:proofErr w:type="spellEnd"/>
          </w:p>
        </w:tc>
        <w:tc>
          <w:tcPr>
            <w:tcW w:w="5280" w:type="dxa"/>
            <w:tcBorders>
              <w:top w:val="single" w:sz="4" w:space="0" w:color="auto"/>
              <w:left w:val="single" w:sz="4" w:space="0" w:color="auto"/>
              <w:bottom w:val="single" w:sz="4" w:space="0" w:color="auto"/>
              <w:right w:val="single" w:sz="4" w:space="0" w:color="auto"/>
            </w:tcBorders>
            <w:noWrap/>
            <w:hideMark/>
          </w:tcPr>
          <w:p w14:paraId="60B2F283" w14:textId="77777777" w:rsidR="00FC49CC" w:rsidRDefault="00FC49CC">
            <w:r>
              <w:t>Average rating</w:t>
            </w:r>
          </w:p>
        </w:tc>
      </w:tr>
      <w:tr w:rsidR="00FC49CC" w14:paraId="4DAE84D5" w14:textId="77777777" w:rsidTr="00FC49CC">
        <w:trPr>
          <w:trHeight w:val="288"/>
        </w:trPr>
        <w:tc>
          <w:tcPr>
            <w:tcW w:w="2335" w:type="dxa"/>
            <w:tcBorders>
              <w:top w:val="single" w:sz="4" w:space="0" w:color="auto"/>
              <w:left w:val="single" w:sz="4" w:space="0" w:color="auto"/>
              <w:bottom w:val="single" w:sz="4" w:space="0" w:color="auto"/>
              <w:right w:val="single" w:sz="4" w:space="0" w:color="auto"/>
            </w:tcBorders>
            <w:noWrap/>
            <w:hideMark/>
          </w:tcPr>
          <w:p w14:paraId="648BC2A0" w14:textId="77777777" w:rsidR="00FC49CC" w:rsidRDefault="00FC49CC">
            <w:proofErr w:type="spellStart"/>
            <w:r>
              <w:t>Moodyrating</w:t>
            </w:r>
            <w:proofErr w:type="spellEnd"/>
          </w:p>
        </w:tc>
        <w:tc>
          <w:tcPr>
            <w:tcW w:w="5280" w:type="dxa"/>
            <w:tcBorders>
              <w:top w:val="single" w:sz="4" w:space="0" w:color="auto"/>
              <w:left w:val="single" w:sz="4" w:space="0" w:color="auto"/>
              <w:bottom w:val="single" w:sz="4" w:space="0" w:color="auto"/>
              <w:right w:val="single" w:sz="4" w:space="0" w:color="auto"/>
            </w:tcBorders>
            <w:noWrap/>
            <w:hideMark/>
          </w:tcPr>
          <w:p w14:paraId="60B65382" w14:textId="77777777" w:rsidR="00FC49CC" w:rsidRDefault="00FC49CC">
            <w:r>
              <w:t>Moody's rating of the country's creditworthiness</w:t>
            </w:r>
          </w:p>
        </w:tc>
      </w:tr>
      <w:tr w:rsidR="00FC49CC" w14:paraId="3B6697A8" w14:textId="77777777" w:rsidTr="00FC49CC">
        <w:trPr>
          <w:trHeight w:val="288"/>
        </w:trPr>
        <w:tc>
          <w:tcPr>
            <w:tcW w:w="2335" w:type="dxa"/>
            <w:tcBorders>
              <w:top w:val="single" w:sz="4" w:space="0" w:color="auto"/>
              <w:left w:val="single" w:sz="4" w:space="0" w:color="auto"/>
              <w:bottom w:val="single" w:sz="4" w:space="0" w:color="auto"/>
              <w:right w:val="single" w:sz="4" w:space="0" w:color="auto"/>
            </w:tcBorders>
            <w:noWrap/>
            <w:hideMark/>
          </w:tcPr>
          <w:p w14:paraId="3B2ABAB8" w14:textId="77777777" w:rsidR="00FC49CC" w:rsidRDefault="00FC49CC">
            <w:proofErr w:type="spellStart"/>
            <w:r>
              <w:t>SPrating</w:t>
            </w:r>
            <w:proofErr w:type="spellEnd"/>
          </w:p>
        </w:tc>
        <w:tc>
          <w:tcPr>
            <w:tcW w:w="5280" w:type="dxa"/>
            <w:tcBorders>
              <w:top w:val="single" w:sz="4" w:space="0" w:color="auto"/>
              <w:left w:val="single" w:sz="4" w:space="0" w:color="auto"/>
              <w:bottom w:val="single" w:sz="4" w:space="0" w:color="auto"/>
              <w:right w:val="single" w:sz="4" w:space="0" w:color="auto"/>
            </w:tcBorders>
            <w:noWrap/>
            <w:hideMark/>
          </w:tcPr>
          <w:p w14:paraId="7149E86D" w14:textId="77777777" w:rsidR="00FC49CC" w:rsidRDefault="00FC49CC">
            <w:r>
              <w:t>Standard &amp; Poor's rating of the country's creditworthiness</w:t>
            </w:r>
          </w:p>
        </w:tc>
      </w:tr>
    </w:tbl>
    <w:p w14:paraId="209D6112" w14:textId="77777777" w:rsidR="00FC49CC" w:rsidRDefault="00FC49CC" w:rsidP="00FC49CC"/>
    <w:p w14:paraId="5ADF49BF" w14:textId="7B22F3B3" w:rsidR="00950880" w:rsidRDefault="00950880" w:rsidP="00950880">
      <w:pPr>
        <w:pStyle w:val="Heading1"/>
      </w:pPr>
      <w:r>
        <w:lastRenderedPageBreak/>
        <w:t>Methodology</w:t>
      </w:r>
    </w:p>
    <w:p w14:paraId="4B239F4D" w14:textId="03E44545" w:rsidR="00950880" w:rsidRDefault="00950880" w:rsidP="00950880">
      <w:r>
        <w:t>The empirical study undertaken aimed to discern the relationship between country-level ESG performance and its impact on sovereign ratings. The methodology employed to achieve this is grounded in both contemporary academic discourse and practical applications in financial and economic research.</w:t>
      </w:r>
    </w:p>
    <w:p w14:paraId="30A32C6F" w14:textId="42AF4651" w:rsidR="00950880" w:rsidRDefault="00950880" w:rsidP="00950880">
      <w:pPr>
        <w:pStyle w:val="Heading2"/>
        <w:numPr>
          <w:ilvl w:val="0"/>
          <w:numId w:val="1"/>
        </w:numPr>
      </w:pPr>
      <w:r>
        <w:t>Model Specification:</w:t>
      </w:r>
    </w:p>
    <w:p w14:paraId="4D669BFC" w14:textId="07122ECF" w:rsidR="00950880" w:rsidRDefault="00950880" w:rsidP="00950880">
      <w:r>
        <w:t>The proposed model is an Ordinary Least Squares (OLS) regression, a widely recognized method for estimating linear relationships among variables. The choice of OLS was driven by its ability to capture linear dependencies and provide unbiased and efficient parameter estimates, given certain assumptions.</w:t>
      </w:r>
    </w:p>
    <w:p w14:paraId="2E40FE00" w14:textId="77777777" w:rsidR="00541551" w:rsidRPr="00744AD4" w:rsidRDefault="00541551" w:rsidP="00541551">
      <w:pPr>
        <w:rPr>
          <w:rFonts w:asciiTheme="majorBidi" w:hAnsiTheme="majorBidi" w:cstheme="majorBidi"/>
          <w:lang w:val="en-US"/>
        </w:rPr>
      </w:pPr>
      <w:r w:rsidRPr="00744AD4">
        <w:rPr>
          <w:rFonts w:asciiTheme="majorBidi" w:hAnsiTheme="majorBidi" w:cstheme="majorBidi"/>
          <w:lang w:val="en-US"/>
        </w:rPr>
        <w:t>In this methodology, we perform a Comparative Regression Analysis (CRA) to examine the relationship between a set of economic indicators and a dependent variable, referred to as "</w:t>
      </w:r>
      <w:proofErr w:type="spellStart"/>
      <w:r w:rsidRPr="00744AD4">
        <w:rPr>
          <w:rFonts w:asciiTheme="majorBidi" w:hAnsiTheme="majorBidi" w:cstheme="majorBidi"/>
          <w:lang w:val="en-US"/>
        </w:rPr>
        <w:t>averating</w:t>
      </w:r>
      <w:proofErr w:type="spellEnd"/>
      <w:r w:rsidRPr="00744AD4">
        <w:rPr>
          <w:rFonts w:asciiTheme="majorBidi" w:hAnsiTheme="majorBidi" w:cstheme="majorBidi"/>
          <w:lang w:val="en-US"/>
        </w:rPr>
        <w:t>." The economic indicators include ESG (Environmental, Social, and Governance) scores, GDP per Capita, Unemployment rate, Current Account Balance, Government Effectiveness, and Inflation. The purpose is to assess the impact of these indicators on the dependent variable and gain insights into their significance.</w:t>
      </w:r>
    </w:p>
    <w:p w14:paraId="0E5D23BD" w14:textId="77777777" w:rsidR="00541551" w:rsidRPr="00744AD4" w:rsidRDefault="00541551" w:rsidP="00541551">
      <w:pPr>
        <w:rPr>
          <w:rFonts w:asciiTheme="majorBidi" w:hAnsiTheme="majorBidi" w:cstheme="majorBidi"/>
          <w:lang w:val="en-US"/>
        </w:rPr>
      </w:pPr>
      <w:r w:rsidRPr="00744AD4">
        <w:rPr>
          <w:rFonts w:asciiTheme="majorBidi" w:hAnsiTheme="majorBidi" w:cstheme="majorBidi"/>
          <w:b/>
          <w:bCs/>
          <w:lang w:val="en-US"/>
        </w:rPr>
        <w:t>1. Pairwise Correlation Analysis:</w:t>
      </w:r>
    </w:p>
    <w:p w14:paraId="2630C60E" w14:textId="77777777" w:rsidR="00541551" w:rsidRDefault="00541551" w:rsidP="00541551">
      <w:pPr>
        <w:rPr>
          <w:rFonts w:asciiTheme="majorBidi" w:hAnsiTheme="majorBidi" w:cstheme="majorBidi"/>
          <w:lang w:val="en-US"/>
        </w:rPr>
      </w:pPr>
      <w:r w:rsidRPr="00744AD4">
        <w:rPr>
          <w:rFonts w:asciiTheme="majorBidi" w:hAnsiTheme="majorBidi" w:cstheme="majorBidi"/>
          <w:lang w:val="en-US"/>
        </w:rPr>
        <w:t>We begin by conducting pairwise correlation analyses to understand the interrelationship between the economic indicators. The correlation coefficients are presented in two tables. The first table demonstrates the pairwise correlations among ESG, GDP per Capita, Unemployment, Current Account Balance, Government Effectiveness, and Inflation. The second table presents the correlations among ESG, GDP per Capita, Unemployment, Current Account Balance, and Inflation. These correlations provide initial insights into potential multicollinearity among the independent variables.</w:t>
      </w:r>
    </w:p>
    <w:p w14:paraId="4B385B4E" w14:textId="39BF88BC" w:rsidR="00FC49CC" w:rsidRDefault="00FC49CC" w:rsidP="00FC49CC">
      <w:pPr>
        <w:pStyle w:val="Caption"/>
        <w:keepNext/>
      </w:pPr>
      <w:r>
        <w:t xml:space="preserve">Table </w:t>
      </w:r>
      <w:fldSimple w:instr=" SEQ Table \* ARABIC ">
        <w:r>
          <w:rPr>
            <w:noProof/>
          </w:rPr>
          <w:t>2</w:t>
        </w:r>
      </w:fldSimple>
      <w:r>
        <w:rPr>
          <w:lang w:val="en-US"/>
        </w:rPr>
        <w:t xml:space="preserve"> Pairwise correlations1</w:t>
      </w:r>
    </w:p>
    <w:tbl>
      <w:tblPr>
        <w:tblW w:w="0" w:type="auto"/>
        <w:tblLayout w:type="fixed"/>
        <w:tblLook w:val="04A0" w:firstRow="1" w:lastRow="0" w:firstColumn="1" w:lastColumn="0" w:noHBand="0" w:noVBand="1"/>
      </w:tblPr>
      <w:tblGrid>
        <w:gridCol w:w="2308"/>
        <w:gridCol w:w="854"/>
        <w:gridCol w:w="854"/>
        <w:gridCol w:w="854"/>
        <w:gridCol w:w="854"/>
        <w:gridCol w:w="854"/>
        <w:gridCol w:w="854"/>
      </w:tblGrid>
      <w:tr w:rsidR="00FC49CC" w14:paraId="7F309C05" w14:textId="77777777" w:rsidTr="00FC49CC">
        <w:tc>
          <w:tcPr>
            <w:tcW w:w="2308" w:type="dxa"/>
            <w:tcBorders>
              <w:top w:val="single" w:sz="4" w:space="0" w:color="auto"/>
              <w:left w:val="nil"/>
              <w:bottom w:val="single" w:sz="6" w:space="0" w:color="auto"/>
              <w:right w:val="nil"/>
            </w:tcBorders>
            <w:hideMark/>
          </w:tcPr>
          <w:p w14:paraId="019FC5BF" w14:textId="77777777" w:rsidR="00FC49CC" w:rsidRDefault="00FC49CC">
            <w:pPr>
              <w:widowControl w:val="0"/>
              <w:autoSpaceDE w:val="0"/>
              <w:autoSpaceDN w:val="0"/>
              <w:adjustRightInd w:val="0"/>
              <w:spacing w:after="0" w:line="240" w:lineRule="auto"/>
              <w:rPr>
                <w:rFonts w:cs="Times New Roman"/>
                <w:sz w:val="20"/>
                <w:szCs w:val="20"/>
              </w:rPr>
            </w:pPr>
            <w:r>
              <w:rPr>
                <w:rFonts w:cs="Times New Roman"/>
                <w:sz w:val="20"/>
                <w:szCs w:val="20"/>
              </w:rPr>
              <w:t>Variables</w:t>
            </w:r>
          </w:p>
        </w:tc>
        <w:tc>
          <w:tcPr>
            <w:tcW w:w="854" w:type="dxa"/>
            <w:tcBorders>
              <w:top w:val="single" w:sz="4" w:space="0" w:color="auto"/>
              <w:left w:val="nil"/>
              <w:bottom w:val="single" w:sz="6" w:space="0" w:color="auto"/>
              <w:right w:val="nil"/>
            </w:tcBorders>
            <w:hideMark/>
          </w:tcPr>
          <w:p w14:paraId="6971E98E"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(1)</w:t>
            </w:r>
          </w:p>
        </w:tc>
        <w:tc>
          <w:tcPr>
            <w:tcW w:w="854" w:type="dxa"/>
            <w:tcBorders>
              <w:top w:val="single" w:sz="4" w:space="0" w:color="auto"/>
              <w:left w:val="nil"/>
              <w:bottom w:val="single" w:sz="6" w:space="0" w:color="auto"/>
              <w:right w:val="nil"/>
            </w:tcBorders>
            <w:hideMark/>
          </w:tcPr>
          <w:p w14:paraId="5219DD21"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(2)</w:t>
            </w:r>
          </w:p>
        </w:tc>
        <w:tc>
          <w:tcPr>
            <w:tcW w:w="854" w:type="dxa"/>
            <w:tcBorders>
              <w:top w:val="single" w:sz="4" w:space="0" w:color="auto"/>
              <w:left w:val="nil"/>
              <w:bottom w:val="single" w:sz="6" w:space="0" w:color="auto"/>
              <w:right w:val="nil"/>
            </w:tcBorders>
            <w:hideMark/>
          </w:tcPr>
          <w:p w14:paraId="4545198C"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(3)</w:t>
            </w:r>
          </w:p>
        </w:tc>
        <w:tc>
          <w:tcPr>
            <w:tcW w:w="854" w:type="dxa"/>
            <w:tcBorders>
              <w:top w:val="single" w:sz="4" w:space="0" w:color="auto"/>
              <w:left w:val="nil"/>
              <w:bottom w:val="single" w:sz="6" w:space="0" w:color="auto"/>
              <w:right w:val="nil"/>
            </w:tcBorders>
            <w:hideMark/>
          </w:tcPr>
          <w:p w14:paraId="06F1F28B"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(4)</w:t>
            </w:r>
          </w:p>
        </w:tc>
        <w:tc>
          <w:tcPr>
            <w:tcW w:w="854" w:type="dxa"/>
            <w:tcBorders>
              <w:top w:val="single" w:sz="4" w:space="0" w:color="auto"/>
              <w:left w:val="nil"/>
              <w:bottom w:val="single" w:sz="6" w:space="0" w:color="auto"/>
              <w:right w:val="nil"/>
            </w:tcBorders>
            <w:hideMark/>
          </w:tcPr>
          <w:p w14:paraId="0AF27A71"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(5)</w:t>
            </w:r>
          </w:p>
        </w:tc>
        <w:tc>
          <w:tcPr>
            <w:tcW w:w="854" w:type="dxa"/>
            <w:tcBorders>
              <w:top w:val="single" w:sz="4" w:space="0" w:color="auto"/>
              <w:left w:val="nil"/>
              <w:bottom w:val="single" w:sz="6" w:space="0" w:color="auto"/>
              <w:right w:val="nil"/>
            </w:tcBorders>
            <w:hideMark/>
          </w:tcPr>
          <w:p w14:paraId="13500085"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(6)</w:t>
            </w:r>
          </w:p>
        </w:tc>
      </w:tr>
      <w:tr w:rsidR="00FC49CC" w14:paraId="6FDA6ED0" w14:textId="77777777" w:rsidTr="00FC49CC">
        <w:tc>
          <w:tcPr>
            <w:tcW w:w="2308" w:type="dxa"/>
            <w:hideMark/>
          </w:tcPr>
          <w:p w14:paraId="06DE6461" w14:textId="77777777" w:rsidR="00FC49CC" w:rsidRDefault="00FC49CC">
            <w:pPr>
              <w:widowControl w:val="0"/>
              <w:autoSpaceDE w:val="0"/>
              <w:autoSpaceDN w:val="0"/>
              <w:adjustRightInd w:val="0"/>
              <w:spacing w:after="0" w:line="240" w:lineRule="auto"/>
              <w:rPr>
                <w:rFonts w:cs="Times New Roman"/>
                <w:sz w:val="20"/>
                <w:szCs w:val="20"/>
              </w:rPr>
            </w:pPr>
            <w:r>
              <w:rPr>
                <w:rFonts w:cs="Times New Roman"/>
                <w:sz w:val="20"/>
                <w:szCs w:val="20"/>
              </w:rPr>
              <w:t>(1) ESG</w:t>
            </w:r>
          </w:p>
        </w:tc>
        <w:tc>
          <w:tcPr>
            <w:tcW w:w="854" w:type="dxa"/>
            <w:hideMark/>
          </w:tcPr>
          <w:p w14:paraId="1CBD9AC2"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1.000</w:t>
            </w:r>
          </w:p>
        </w:tc>
        <w:tc>
          <w:tcPr>
            <w:tcW w:w="854" w:type="dxa"/>
          </w:tcPr>
          <w:p w14:paraId="30E6BCD3" w14:textId="77777777" w:rsidR="00FC49CC" w:rsidRDefault="00FC49CC">
            <w:pPr>
              <w:widowControl w:val="0"/>
              <w:autoSpaceDE w:val="0"/>
              <w:autoSpaceDN w:val="0"/>
              <w:adjustRightInd w:val="0"/>
              <w:spacing w:after="0" w:line="240" w:lineRule="auto"/>
              <w:jc w:val="right"/>
              <w:rPr>
                <w:rFonts w:cs="Times New Roman"/>
                <w:sz w:val="20"/>
                <w:szCs w:val="20"/>
              </w:rPr>
            </w:pPr>
          </w:p>
        </w:tc>
        <w:tc>
          <w:tcPr>
            <w:tcW w:w="854" w:type="dxa"/>
          </w:tcPr>
          <w:p w14:paraId="1EE6B4E9" w14:textId="77777777" w:rsidR="00FC49CC" w:rsidRDefault="00FC49CC">
            <w:pPr>
              <w:widowControl w:val="0"/>
              <w:autoSpaceDE w:val="0"/>
              <w:autoSpaceDN w:val="0"/>
              <w:adjustRightInd w:val="0"/>
              <w:spacing w:after="0" w:line="240" w:lineRule="auto"/>
              <w:jc w:val="right"/>
              <w:rPr>
                <w:rFonts w:cs="Times New Roman"/>
                <w:sz w:val="20"/>
                <w:szCs w:val="20"/>
              </w:rPr>
            </w:pPr>
          </w:p>
        </w:tc>
        <w:tc>
          <w:tcPr>
            <w:tcW w:w="854" w:type="dxa"/>
          </w:tcPr>
          <w:p w14:paraId="13B70259" w14:textId="77777777" w:rsidR="00FC49CC" w:rsidRDefault="00FC49CC">
            <w:pPr>
              <w:widowControl w:val="0"/>
              <w:autoSpaceDE w:val="0"/>
              <w:autoSpaceDN w:val="0"/>
              <w:adjustRightInd w:val="0"/>
              <w:spacing w:after="0" w:line="240" w:lineRule="auto"/>
              <w:jc w:val="right"/>
              <w:rPr>
                <w:rFonts w:cs="Times New Roman"/>
                <w:sz w:val="20"/>
                <w:szCs w:val="20"/>
              </w:rPr>
            </w:pPr>
          </w:p>
        </w:tc>
        <w:tc>
          <w:tcPr>
            <w:tcW w:w="854" w:type="dxa"/>
          </w:tcPr>
          <w:p w14:paraId="6EE1D08B" w14:textId="77777777" w:rsidR="00FC49CC" w:rsidRDefault="00FC49CC">
            <w:pPr>
              <w:widowControl w:val="0"/>
              <w:autoSpaceDE w:val="0"/>
              <w:autoSpaceDN w:val="0"/>
              <w:adjustRightInd w:val="0"/>
              <w:spacing w:after="0" w:line="240" w:lineRule="auto"/>
              <w:jc w:val="right"/>
              <w:rPr>
                <w:rFonts w:cs="Times New Roman"/>
                <w:sz w:val="20"/>
                <w:szCs w:val="20"/>
              </w:rPr>
            </w:pPr>
          </w:p>
        </w:tc>
        <w:tc>
          <w:tcPr>
            <w:tcW w:w="854" w:type="dxa"/>
          </w:tcPr>
          <w:p w14:paraId="680A57E2" w14:textId="77777777" w:rsidR="00FC49CC" w:rsidRDefault="00FC49CC">
            <w:pPr>
              <w:widowControl w:val="0"/>
              <w:autoSpaceDE w:val="0"/>
              <w:autoSpaceDN w:val="0"/>
              <w:adjustRightInd w:val="0"/>
              <w:spacing w:after="0" w:line="240" w:lineRule="auto"/>
              <w:jc w:val="right"/>
              <w:rPr>
                <w:rFonts w:cs="Times New Roman"/>
                <w:sz w:val="20"/>
                <w:szCs w:val="20"/>
              </w:rPr>
            </w:pPr>
          </w:p>
        </w:tc>
      </w:tr>
      <w:tr w:rsidR="00FC49CC" w14:paraId="5E44B317" w14:textId="77777777" w:rsidTr="00FC49CC">
        <w:tc>
          <w:tcPr>
            <w:tcW w:w="2308" w:type="dxa"/>
            <w:hideMark/>
          </w:tcPr>
          <w:p w14:paraId="29DA091D" w14:textId="77777777" w:rsidR="00FC49CC" w:rsidRDefault="00FC49CC">
            <w:pPr>
              <w:widowControl w:val="0"/>
              <w:autoSpaceDE w:val="0"/>
              <w:autoSpaceDN w:val="0"/>
              <w:adjustRightInd w:val="0"/>
              <w:spacing w:after="0" w:line="240" w:lineRule="auto"/>
              <w:rPr>
                <w:rFonts w:cs="Times New Roman"/>
                <w:sz w:val="20"/>
                <w:szCs w:val="20"/>
              </w:rPr>
            </w:pPr>
            <w:r>
              <w:rPr>
                <w:rFonts w:cs="Times New Roman"/>
                <w:sz w:val="20"/>
                <w:szCs w:val="20"/>
              </w:rPr>
              <w:t xml:space="preserve">(2) </w:t>
            </w:r>
            <w:proofErr w:type="spellStart"/>
            <w:r>
              <w:rPr>
                <w:rFonts w:cs="Times New Roman"/>
                <w:sz w:val="20"/>
                <w:szCs w:val="20"/>
              </w:rPr>
              <w:t>GDPperCapita</w:t>
            </w:r>
            <w:proofErr w:type="spellEnd"/>
          </w:p>
        </w:tc>
        <w:tc>
          <w:tcPr>
            <w:tcW w:w="854" w:type="dxa"/>
            <w:hideMark/>
          </w:tcPr>
          <w:p w14:paraId="2C9C7893"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0.458</w:t>
            </w:r>
          </w:p>
        </w:tc>
        <w:tc>
          <w:tcPr>
            <w:tcW w:w="854" w:type="dxa"/>
            <w:hideMark/>
          </w:tcPr>
          <w:p w14:paraId="09CA6D7B"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1.000</w:t>
            </w:r>
          </w:p>
        </w:tc>
        <w:tc>
          <w:tcPr>
            <w:tcW w:w="854" w:type="dxa"/>
          </w:tcPr>
          <w:p w14:paraId="35D6C580" w14:textId="77777777" w:rsidR="00FC49CC" w:rsidRDefault="00FC49CC">
            <w:pPr>
              <w:widowControl w:val="0"/>
              <w:autoSpaceDE w:val="0"/>
              <w:autoSpaceDN w:val="0"/>
              <w:adjustRightInd w:val="0"/>
              <w:spacing w:after="0" w:line="240" w:lineRule="auto"/>
              <w:jc w:val="right"/>
              <w:rPr>
                <w:rFonts w:cs="Times New Roman"/>
                <w:sz w:val="20"/>
                <w:szCs w:val="20"/>
              </w:rPr>
            </w:pPr>
          </w:p>
        </w:tc>
        <w:tc>
          <w:tcPr>
            <w:tcW w:w="854" w:type="dxa"/>
          </w:tcPr>
          <w:p w14:paraId="0B6393B9" w14:textId="77777777" w:rsidR="00FC49CC" w:rsidRDefault="00FC49CC">
            <w:pPr>
              <w:widowControl w:val="0"/>
              <w:autoSpaceDE w:val="0"/>
              <w:autoSpaceDN w:val="0"/>
              <w:adjustRightInd w:val="0"/>
              <w:spacing w:after="0" w:line="240" w:lineRule="auto"/>
              <w:jc w:val="right"/>
              <w:rPr>
                <w:rFonts w:cs="Times New Roman"/>
                <w:sz w:val="20"/>
                <w:szCs w:val="20"/>
              </w:rPr>
            </w:pPr>
          </w:p>
        </w:tc>
        <w:tc>
          <w:tcPr>
            <w:tcW w:w="854" w:type="dxa"/>
          </w:tcPr>
          <w:p w14:paraId="0626D9FB" w14:textId="77777777" w:rsidR="00FC49CC" w:rsidRDefault="00FC49CC">
            <w:pPr>
              <w:widowControl w:val="0"/>
              <w:autoSpaceDE w:val="0"/>
              <w:autoSpaceDN w:val="0"/>
              <w:adjustRightInd w:val="0"/>
              <w:spacing w:after="0" w:line="240" w:lineRule="auto"/>
              <w:jc w:val="right"/>
              <w:rPr>
                <w:rFonts w:cs="Times New Roman"/>
                <w:sz w:val="20"/>
                <w:szCs w:val="20"/>
              </w:rPr>
            </w:pPr>
          </w:p>
        </w:tc>
        <w:tc>
          <w:tcPr>
            <w:tcW w:w="854" w:type="dxa"/>
          </w:tcPr>
          <w:p w14:paraId="1B852763" w14:textId="77777777" w:rsidR="00FC49CC" w:rsidRDefault="00FC49CC">
            <w:pPr>
              <w:widowControl w:val="0"/>
              <w:autoSpaceDE w:val="0"/>
              <w:autoSpaceDN w:val="0"/>
              <w:adjustRightInd w:val="0"/>
              <w:spacing w:after="0" w:line="240" w:lineRule="auto"/>
              <w:jc w:val="right"/>
              <w:rPr>
                <w:rFonts w:cs="Times New Roman"/>
                <w:sz w:val="20"/>
                <w:szCs w:val="20"/>
              </w:rPr>
            </w:pPr>
          </w:p>
        </w:tc>
      </w:tr>
      <w:tr w:rsidR="00FC49CC" w14:paraId="63406F21" w14:textId="77777777" w:rsidTr="00FC49CC">
        <w:tc>
          <w:tcPr>
            <w:tcW w:w="2308" w:type="dxa"/>
            <w:hideMark/>
          </w:tcPr>
          <w:p w14:paraId="0C97670E" w14:textId="77777777" w:rsidR="00FC49CC" w:rsidRDefault="00FC49CC">
            <w:pPr>
              <w:widowControl w:val="0"/>
              <w:autoSpaceDE w:val="0"/>
              <w:autoSpaceDN w:val="0"/>
              <w:adjustRightInd w:val="0"/>
              <w:spacing w:after="0" w:line="240" w:lineRule="auto"/>
              <w:rPr>
                <w:rFonts w:cs="Times New Roman"/>
                <w:sz w:val="20"/>
                <w:szCs w:val="20"/>
              </w:rPr>
            </w:pPr>
            <w:r>
              <w:rPr>
                <w:rFonts w:cs="Times New Roman"/>
                <w:sz w:val="20"/>
                <w:szCs w:val="20"/>
              </w:rPr>
              <w:t>(3) Unemployment</w:t>
            </w:r>
          </w:p>
        </w:tc>
        <w:tc>
          <w:tcPr>
            <w:tcW w:w="854" w:type="dxa"/>
            <w:hideMark/>
          </w:tcPr>
          <w:p w14:paraId="27593491"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-0.018</w:t>
            </w:r>
          </w:p>
        </w:tc>
        <w:tc>
          <w:tcPr>
            <w:tcW w:w="854" w:type="dxa"/>
            <w:hideMark/>
          </w:tcPr>
          <w:p w14:paraId="24426629"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-0.476</w:t>
            </w:r>
          </w:p>
        </w:tc>
        <w:tc>
          <w:tcPr>
            <w:tcW w:w="854" w:type="dxa"/>
            <w:hideMark/>
          </w:tcPr>
          <w:p w14:paraId="2255F150"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1.000</w:t>
            </w:r>
          </w:p>
        </w:tc>
        <w:tc>
          <w:tcPr>
            <w:tcW w:w="854" w:type="dxa"/>
          </w:tcPr>
          <w:p w14:paraId="5617494D" w14:textId="77777777" w:rsidR="00FC49CC" w:rsidRDefault="00FC49CC">
            <w:pPr>
              <w:widowControl w:val="0"/>
              <w:autoSpaceDE w:val="0"/>
              <w:autoSpaceDN w:val="0"/>
              <w:adjustRightInd w:val="0"/>
              <w:spacing w:after="0" w:line="240" w:lineRule="auto"/>
              <w:jc w:val="right"/>
              <w:rPr>
                <w:rFonts w:cs="Times New Roman"/>
                <w:sz w:val="20"/>
                <w:szCs w:val="20"/>
              </w:rPr>
            </w:pPr>
          </w:p>
        </w:tc>
        <w:tc>
          <w:tcPr>
            <w:tcW w:w="854" w:type="dxa"/>
          </w:tcPr>
          <w:p w14:paraId="5663F480" w14:textId="77777777" w:rsidR="00FC49CC" w:rsidRDefault="00FC49CC">
            <w:pPr>
              <w:widowControl w:val="0"/>
              <w:autoSpaceDE w:val="0"/>
              <w:autoSpaceDN w:val="0"/>
              <w:adjustRightInd w:val="0"/>
              <w:spacing w:after="0" w:line="240" w:lineRule="auto"/>
              <w:jc w:val="right"/>
              <w:rPr>
                <w:rFonts w:cs="Times New Roman"/>
                <w:sz w:val="20"/>
                <w:szCs w:val="20"/>
              </w:rPr>
            </w:pPr>
          </w:p>
        </w:tc>
        <w:tc>
          <w:tcPr>
            <w:tcW w:w="854" w:type="dxa"/>
          </w:tcPr>
          <w:p w14:paraId="53A7B10F" w14:textId="77777777" w:rsidR="00FC49CC" w:rsidRDefault="00FC49CC">
            <w:pPr>
              <w:widowControl w:val="0"/>
              <w:autoSpaceDE w:val="0"/>
              <w:autoSpaceDN w:val="0"/>
              <w:adjustRightInd w:val="0"/>
              <w:spacing w:after="0" w:line="240" w:lineRule="auto"/>
              <w:jc w:val="right"/>
              <w:rPr>
                <w:rFonts w:cs="Times New Roman"/>
                <w:sz w:val="20"/>
                <w:szCs w:val="20"/>
              </w:rPr>
            </w:pPr>
          </w:p>
        </w:tc>
      </w:tr>
      <w:tr w:rsidR="00FC49CC" w14:paraId="7065751B" w14:textId="77777777" w:rsidTr="00FC49CC">
        <w:tc>
          <w:tcPr>
            <w:tcW w:w="2308" w:type="dxa"/>
            <w:hideMark/>
          </w:tcPr>
          <w:p w14:paraId="39F4274B" w14:textId="77777777" w:rsidR="00FC49CC" w:rsidRDefault="00FC49CC">
            <w:pPr>
              <w:widowControl w:val="0"/>
              <w:autoSpaceDE w:val="0"/>
              <w:autoSpaceDN w:val="0"/>
              <w:adjustRightInd w:val="0"/>
              <w:spacing w:after="0" w:line="240" w:lineRule="auto"/>
              <w:rPr>
                <w:rFonts w:cs="Times New Roman"/>
                <w:sz w:val="20"/>
                <w:szCs w:val="20"/>
              </w:rPr>
            </w:pPr>
            <w:r>
              <w:rPr>
                <w:rFonts w:cs="Times New Roman"/>
                <w:sz w:val="20"/>
                <w:szCs w:val="20"/>
              </w:rPr>
              <w:t xml:space="preserve">(4) </w:t>
            </w:r>
            <w:proofErr w:type="spellStart"/>
            <w:r>
              <w:rPr>
                <w:rFonts w:cs="Times New Roman"/>
                <w:sz w:val="20"/>
                <w:szCs w:val="20"/>
              </w:rPr>
              <w:t>CurrentAccount~e</w:t>
            </w:r>
            <w:proofErr w:type="spellEnd"/>
          </w:p>
        </w:tc>
        <w:tc>
          <w:tcPr>
            <w:tcW w:w="854" w:type="dxa"/>
            <w:hideMark/>
          </w:tcPr>
          <w:p w14:paraId="66944E12"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-0.333</w:t>
            </w:r>
          </w:p>
        </w:tc>
        <w:tc>
          <w:tcPr>
            <w:tcW w:w="854" w:type="dxa"/>
            <w:hideMark/>
          </w:tcPr>
          <w:p w14:paraId="628402F8"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0.356</w:t>
            </w:r>
          </w:p>
        </w:tc>
        <w:tc>
          <w:tcPr>
            <w:tcW w:w="854" w:type="dxa"/>
            <w:hideMark/>
          </w:tcPr>
          <w:p w14:paraId="7D72DCA6"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-0.245</w:t>
            </w:r>
          </w:p>
        </w:tc>
        <w:tc>
          <w:tcPr>
            <w:tcW w:w="854" w:type="dxa"/>
            <w:hideMark/>
          </w:tcPr>
          <w:p w14:paraId="3A87D679"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1.000</w:t>
            </w:r>
          </w:p>
        </w:tc>
        <w:tc>
          <w:tcPr>
            <w:tcW w:w="854" w:type="dxa"/>
          </w:tcPr>
          <w:p w14:paraId="083BB7B4" w14:textId="77777777" w:rsidR="00FC49CC" w:rsidRDefault="00FC49CC">
            <w:pPr>
              <w:widowControl w:val="0"/>
              <w:autoSpaceDE w:val="0"/>
              <w:autoSpaceDN w:val="0"/>
              <w:adjustRightInd w:val="0"/>
              <w:spacing w:after="0" w:line="240" w:lineRule="auto"/>
              <w:jc w:val="right"/>
              <w:rPr>
                <w:rFonts w:cs="Times New Roman"/>
                <w:sz w:val="20"/>
                <w:szCs w:val="20"/>
              </w:rPr>
            </w:pPr>
          </w:p>
        </w:tc>
        <w:tc>
          <w:tcPr>
            <w:tcW w:w="854" w:type="dxa"/>
          </w:tcPr>
          <w:p w14:paraId="76031C66" w14:textId="77777777" w:rsidR="00FC49CC" w:rsidRDefault="00FC49CC">
            <w:pPr>
              <w:widowControl w:val="0"/>
              <w:autoSpaceDE w:val="0"/>
              <w:autoSpaceDN w:val="0"/>
              <w:adjustRightInd w:val="0"/>
              <w:spacing w:after="0" w:line="240" w:lineRule="auto"/>
              <w:jc w:val="right"/>
              <w:rPr>
                <w:rFonts w:cs="Times New Roman"/>
                <w:sz w:val="20"/>
                <w:szCs w:val="20"/>
              </w:rPr>
            </w:pPr>
          </w:p>
        </w:tc>
      </w:tr>
      <w:tr w:rsidR="00FC49CC" w14:paraId="588C1765" w14:textId="77777777" w:rsidTr="00FC49CC">
        <w:tc>
          <w:tcPr>
            <w:tcW w:w="2308" w:type="dxa"/>
            <w:hideMark/>
          </w:tcPr>
          <w:p w14:paraId="7F4A76FA" w14:textId="77777777" w:rsidR="00FC49CC" w:rsidRDefault="00FC49CC">
            <w:pPr>
              <w:widowControl w:val="0"/>
              <w:autoSpaceDE w:val="0"/>
              <w:autoSpaceDN w:val="0"/>
              <w:adjustRightInd w:val="0"/>
              <w:spacing w:after="0" w:line="240" w:lineRule="auto"/>
              <w:rPr>
                <w:rFonts w:cs="Times New Roman"/>
                <w:sz w:val="20"/>
                <w:szCs w:val="20"/>
              </w:rPr>
            </w:pPr>
            <w:r>
              <w:rPr>
                <w:rFonts w:cs="Times New Roman"/>
                <w:sz w:val="20"/>
                <w:szCs w:val="20"/>
              </w:rPr>
              <w:t xml:space="preserve">(5) </w:t>
            </w:r>
            <w:proofErr w:type="spellStart"/>
            <w:r>
              <w:rPr>
                <w:rFonts w:cs="Times New Roman"/>
                <w:sz w:val="20"/>
                <w:szCs w:val="20"/>
              </w:rPr>
              <w:t>GovernmentEffe~s</w:t>
            </w:r>
            <w:proofErr w:type="spellEnd"/>
          </w:p>
        </w:tc>
        <w:tc>
          <w:tcPr>
            <w:tcW w:w="854" w:type="dxa"/>
            <w:hideMark/>
          </w:tcPr>
          <w:p w14:paraId="66C363DB"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1.000</w:t>
            </w:r>
          </w:p>
        </w:tc>
        <w:tc>
          <w:tcPr>
            <w:tcW w:w="854" w:type="dxa"/>
            <w:hideMark/>
          </w:tcPr>
          <w:p w14:paraId="70DABF51"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0.458</w:t>
            </w:r>
          </w:p>
        </w:tc>
        <w:tc>
          <w:tcPr>
            <w:tcW w:w="854" w:type="dxa"/>
            <w:hideMark/>
          </w:tcPr>
          <w:p w14:paraId="12EA82CF"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-0.018</w:t>
            </w:r>
          </w:p>
        </w:tc>
        <w:tc>
          <w:tcPr>
            <w:tcW w:w="854" w:type="dxa"/>
            <w:hideMark/>
          </w:tcPr>
          <w:p w14:paraId="49A906C1"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-0.333</w:t>
            </w:r>
          </w:p>
        </w:tc>
        <w:tc>
          <w:tcPr>
            <w:tcW w:w="854" w:type="dxa"/>
            <w:hideMark/>
          </w:tcPr>
          <w:p w14:paraId="747505DB"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1.000</w:t>
            </w:r>
          </w:p>
        </w:tc>
        <w:tc>
          <w:tcPr>
            <w:tcW w:w="854" w:type="dxa"/>
          </w:tcPr>
          <w:p w14:paraId="486EAA67" w14:textId="77777777" w:rsidR="00FC49CC" w:rsidRDefault="00FC49CC">
            <w:pPr>
              <w:widowControl w:val="0"/>
              <w:autoSpaceDE w:val="0"/>
              <w:autoSpaceDN w:val="0"/>
              <w:adjustRightInd w:val="0"/>
              <w:spacing w:after="0" w:line="240" w:lineRule="auto"/>
              <w:jc w:val="right"/>
              <w:rPr>
                <w:rFonts w:cs="Times New Roman"/>
                <w:sz w:val="20"/>
                <w:szCs w:val="20"/>
              </w:rPr>
            </w:pPr>
          </w:p>
        </w:tc>
      </w:tr>
      <w:tr w:rsidR="00FC49CC" w14:paraId="1DA54476" w14:textId="77777777" w:rsidTr="00FC49CC">
        <w:tc>
          <w:tcPr>
            <w:tcW w:w="2308" w:type="dxa"/>
            <w:hideMark/>
          </w:tcPr>
          <w:p w14:paraId="116A5FB3" w14:textId="77777777" w:rsidR="00FC49CC" w:rsidRDefault="00FC49CC">
            <w:pPr>
              <w:widowControl w:val="0"/>
              <w:autoSpaceDE w:val="0"/>
              <w:autoSpaceDN w:val="0"/>
              <w:adjustRightInd w:val="0"/>
              <w:spacing w:after="0" w:line="240" w:lineRule="auto"/>
              <w:rPr>
                <w:rFonts w:cs="Times New Roman"/>
                <w:sz w:val="20"/>
                <w:szCs w:val="20"/>
              </w:rPr>
            </w:pPr>
            <w:r>
              <w:rPr>
                <w:rFonts w:cs="Times New Roman"/>
                <w:sz w:val="20"/>
                <w:szCs w:val="20"/>
              </w:rPr>
              <w:t>(6) Inflation</w:t>
            </w:r>
          </w:p>
        </w:tc>
        <w:tc>
          <w:tcPr>
            <w:tcW w:w="854" w:type="dxa"/>
            <w:hideMark/>
          </w:tcPr>
          <w:p w14:paraId="38E61FFB"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-0.181</w:t>
            </w:r>
          </w:p>
        </w:tc>
        <w:tc>
          <w:tcPr>
            <w:tcW w:w="854" w:type="dxa"/>
            <w:hideMark/>
          </w:tcPr>
          <w:p w14:paraId="6F65C4BC"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-0.077</w:t>
            </w:r>
          </w:p>
        </w:tc>
        <w:tc>
          <w:tcPr>
            <w:tcW w:w="854" w:type="dxa"/>
            <w:hideMark/>
          </w:tcPr>
          <w:p w14:paraId="2E39575C"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0.047</w:t>
            </w:r>
          </w:p>
        </w:tc>
        <w:tc>
          <w:tcPr>
            <w:tcW w:w="854" w:type="dxa"/>
            <w:hideMark/>
          </w:tcPr>
          <w:p w14:paraId="68D93006"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0.165</w:t>
            </w:r>
          </w:p>
        </w:tc>
        <w:tc>
          <w:tcPr>
            <w:tcW w:w="854" w:type="dxa"/>
            <w:hideMark/>
          </w:tcPr>
          <w:p w14:paraId="6F143A95"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-0.181</w:t>
            </w:r>
          </w:p>
        </w:tc>
        <w:tc>
          <w:tcPr>
            <w:tcW w:w="854" w:type="dxa"/>
            <w:hideMark/>
          </w:tcPr>
          <w:p w14:paraId="76184F40"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1.000</w:t>
            </w:r>
          </w:p>
        </w:tc>
      </w:tr>
      <w:tr w:rsidR="00FC49CC" w14:paraId="7F216E91" w14:textId="77777777" w:rsidTr="00FC49CC">
        <w:tc>
          <w:tcPr>
            <w:tcW w:w="7432" w:type="dxa"/>
            <w:gridSpan w:val="7"/>
            <w:tcBorders>
              <w:top w:val="single" w:sz="6" w:space="0" w:color="auto"/>
              <w:left w:val="nil"/>
              <w:bottom w:val="nil"/>
              <w:right w:val="nil"/>
            </w:tcBorders>
          </w:tcPr>
          <w:p w14:paraId="6840203B" w14:textId="77777777" w:rsidR="00FC49CC" w:rsidRDefault="00FC49CC">
            <w:pPr>
              <w:widowControl w:val="0"/>
              <w:autoSpaceDE w:val="0"/>
              <w:autoSpaceDN w:val="0"/>
              <w:adjustRightInd w:val="0"/>
              <w:spacing w:after="0" w:line="240" w:lineRule="auto"/>
              <w:rPr>
                <w:rFonts w:cs="Times New Roman"/>
                <w:sz w:val="20"/>
                <w:szCs w:val="20"/>
              </w:rPr>
            </w:pPr>
          </w:p>
        </w:tc>
      </w:tr>
    </w:tbl>
    <w:p w14:paraId="4030146E" w14:textId="3E1F687F" w:rsidR="00FC49CC" w:rsidRPr="00FC49CC" w:rsidRDefault="00FC49CC" w:rsidP="00FC49CC">
      <w:pPr>
        <w:pStyle w:val="Caption"/>
        <w:keepNext/>
      </w:pPr>
      <w:r>
        <w:lastRenderedPageBreak/>
        <w:t xml:space="preserve">Table </w:t>
      </w:r>
      <w:fldSimple w:instr=" SEQ Table \* ARABIC ">
        <w:r>
          <w:rPr>
            <w:noProof/>
          </w:rPr>
          <w:t>3</w:t>
        </w:r>
      </w:fldSimple>
      <w:r>
        <w:rPr>
          <w:lang w:val="en-US"/>
        </w:rPr>
        <w:t xml:space="preserve"> Pairwise Correlations2</w:t>
      </w:r>
    </w:p>
    <w:tbl>
      <w:tblPr>
        <w:tblW w:w="0" w:type="auto"/>
        <w:tblLayout w:type="fixed"/>
        <w:tblLook w:val="04A0" w:firstRow="1" w:lastRow="0" w:firstColumn="1" w:lastColumn="0" w:noHBand="0" w:noVBand="1"/>
      </w:tblPr>
      <w:tblGrid>
        <w:gridCol w:w="2308"/>
        <w:gridCol w:w="854"/>
        <w:gridCol w:w="854"/>
        <w:gridCol w:w="854"/>
        <w:gridCol w:w="854"/>
        <w:gridCol w:w="854"/>
      </w:tblGrid>
      <w:tr w:rsidR="00FC49CC" w14:paraId="1CB385CA" w14:textId="77777777" w:rsidTr="00FC49CC">
        <w:tc>
          <w:tcPr>
            <w:tcW w:w="2308" w:type="dxa"/>
            <w:tcBorders>
              <w:top w:val="single" w:sz="4" w:space="0" w:color="auto"/>
              <w:left w:val="nil"/>
              <w:bottom w:val="single" w:sz="6" w:space="0" w:color="auto"/>
              <w:right w:val="nil"/>
            </w:tcBorders>
            <w:hideMark/>
          </w:tcPr>
          <w:p w14:paraId="0F8C8E6A" w14:textId="77777777" w:rsidR="00FC49CC" w:rsidRDefault="00FC49CC">
            <w:pPr>
              <w:widowControl w:val="0"/>
              <w:autoSpaceDE w:val="0"/>
              <w:autoSpaceDN w:val="0"/>
              <w:adjustRightInd w:val="0"/>
              <w:spacing w:after="0" w:line="240" w:lineRule="auto"/>
              <w:rPr>
                <w:rFonts w:cs="Times New Roman"/>
                <w:sz w:val="20"/>
                <w:szCs w:val="20"/>
              </w:rPr>
            </w:pPr>
            <w:r>
              <w:rPr>
                <w:rFonts w:cs="Times New Roman"/>
                <w:sz w:val="20"/>
                <w:szCs w:val="20"/>
              </w:rPr>
              <w:t>Variables</w:t>
            </w:r>
          </w:p>
        </w:tc>
        <w:tc>
          <w:tcPr>
            <w:tcW w:w="854" w:type="dxa"/>
            <w:tcBorders>
              <w:top w:val="single" w:sz="4" w:space="0" w:color="auto"/>
              <w:left w:val="nil"/>
              <w:bottom w:val="single" w:sz="6" w:space="0" w:color="auto"/>
              <w:right w:val="nil"/>
            </w:tcBorders>
            <w:hideMark/>
          </w:tcPr>
          <w:p w14:paraId="1E4032CE"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(1)</w:t>
            </w:r>
          </w:p>
        </w:tc>
        <w:tc>
          <w:tcPr>
            <w:tcW w:w="854" w:type="dxa"/>
            <w:tcBorders>
              <w:top w:val="single" w:sz="4" w:space="0" w:color="auto"/>
              <w:left w:val="nil"/>
              <w:bottom w:val="single" w:sz="6" w:space="0" w:color="auto"/>
              <w:right w:val="nil"/>
            </w:tcBorders>
            <w:hideMark/>
          </w:tcPr>
          <w:p w14:paraId="1FE9C874"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(2)</w:t>
            </w:r>
          </w:p>
        </w:tc>
        <w:tc>
          <w:tcPr>
            <w:tcW w:w="854" w:type="dxa"/>
            <w:tcBorders>
              <w:top w:val="single" w:sz="4" w:space="0" w:color="auto"/>
              <w:left w:val="nil"/>
              <w:bottom w:val="single" w:sz="6" w:space="0" w:color="auto"/>
              <w:right w:val="nil"/>
            </w:tcBorders>
            <w:hideMark/>
          </w:tcPr>
          <w:p w14:paraId="66BBC5C8"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(3)</w:t>
            </w:r>
          </w:p>
        </w:tc>
        <w:tc>
          <w:tcPr>
            <w:tcW w:w="854" w:type="dxa"/>
            <w:tcBorders>
              <w:top w:val="single" w:sz="4" w:space="0" w:color="auto"/>
              <w:left w:val="nil"/>
              <w:bottom w:val="single" w:sz="6" w:space="0" w:color="auto"/>
              <w:right w:val="nil"/>
            </w:tcBorders>
            <w:hideMark/>
          </w:tcPr>
          <w:p w14:paraId="4C9F79F9"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(4)</w:t>
            </w:r>
          </w:p>
        </w:tc>
        <w:tc>
          <w:tcPr>
            <w:tcW w:w="854" w:type="dxa"/>
            <w:tcBorders>
              <w:top w:val="single" w:sz="4" w:space="0" w:color="auto"/>
              <w:left w:val="nil"/>
              <w:bottom w:val="single" w:sz="6" w:space="0" w:color="auto"/>
              <w:right w:val="nil"/>
            </w:tcBorders>
            <w:hideMark/>
          </w:tcPr>
          <w:p w14:paraId="1D172A03"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(5)</w:t>
            </w:r>
          </w:p>
        </w:tc>
      </w:tr>
      <w:tr w:rsidR="00FC49CC" w14:paraId="6D4DF04F" w14:textId="77777777" w:rsidTr="00FC49CC">
        <w:tc>
          <w:tcPr>
            <w:tcW w:w="2308" w:type="dxa"/>
            <w:hideMark/>
          </w:tcPr>
          <w:p w14:paraId="2E2061E9" w14:textId="77777777" w:rsidR="00FC49CC" w:rsidRDefault="00FC49CC">
            <w:pPr>
              <w:widowControl w:val="0"/>
              <w:autoSpaceDE w:val="0"/>
              <w:autoSpaceDN w:val="0"/>
              <w:adjustRightInd w:val="0"/>
              <w:spacing w:after="0" w:line="240" w:lineRule="auto"/>
              <w:rPr>
                <w:rFonts w:cs="Times New Roman"/>
                <w:sz w:val="20"/>
                <w:szCs w:val="20"/>
              </w:rPr>
            </w:pPr>
            <w:r>
              <w:rPr>
                <w:rFonts w:cs="Times New Roman"/>
                <w:sz w:val="20"/>
                <w:szCs w:val="20"/>
              </w:rPr>
              <w:t>(1) ESG</w:t>
            </w:r>
          </w:p>
        </w:tc>
        <w:tc>
          <w:tcPr>
            <w:tcW w:w="854" w:type="dxa"/>
            <w:hideMark/>
          </w:tcPr>
          <w:p w14:paraId="2B590515"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1.000</w:t>
            </w:r>
          </w:p>
        </w:tc>
        <w:tc>
          <w:tcPr>
            <w:tcW w:w="854" w:type="dxa"/>
          </w:tcPr>
          <w:p w14:paraId="1124BD84" w14:textId="77777777" w:rsidR="00FC49CC" w:rsidRDefault="00FC49CC">
            <w:pPr>
              <w:widowControl w:val="0"/>
              <w:autoSpaceDE w:val="0"/>
              <w:autoSpaceDN w:val="0"/>
              <w:adjustRightInd w:val="0"/>
              <w:spacing w:after="0" w:line="240" w:lineRule="auto"/>
              <w:jc w:val="right"/>
              <w:rPr>
                <w:rFonts w:cs="Times New Roman"/>
                <w:sz w:val="20"/>
                <w:szCs w:val="20"/>
              </w:rPr>
            </w:pPr>
          </w:p>
        </w:tc>
        <w:tc>
          <w:tcPr>
            <w:tcW w:w="854" w:type="dxa"/>
          </w:tcPr>
          <w:p w14:paraId="49871DFC" w14:textId="77777777" w:rsidR="00FC49CC" w:rsidRDefault="00FC49CC">
            <w:pPr>
              <w:widowControl w:val="0"/>
              <w:autoSpaceDE w:val="0"/>
              <w:autoSpaceDN w:val="0"/>
              <w:adjustRightInd w:val="0"/>
              <w:spacing w:after="0" w:line="240" w:lineRule="auto"/>
              <w:jc w:val="right"/>
              <w:rPr>
                <w:rFonts w:cs="Times New Roman"/>
                <w:sz w:val="20"/>
                <w:szCs w:val="20"/>
              </w:rPr>
            </w:pPr>
          </w:p>
        </w:tc>
        <w:tc>
          <w:tcPr>
            <w:tcW w:w="854" w:type="dxa"/>
          </w:tcPr>
          <w:p w14:paraId="5F962CC1" w14:textId="77777777" w:rsidR="00FC49CC" w:rsidRDefault="00FC49CC">
            <w:pPr>
              <w:widowControl w:val="0"/>
              <w:autoSpaceDE w:val="0"/>
              <w:autoSpaceDN w:val="0"/>
              <w:adjustRightInd w:val="0"/>
              <w:spacing w:after="0" w:line="240" w:lineRule="auto"/>
              <w:jc w:val="right"/>
              <w:rPr>
                <w:rFonts w:cs="Times New Roman"/>
                <w:sz w:val="20"/>
                <w:szCs w:val="20"/>
              </w:rPr>
            </w:pPr>
          </w:p>
        </w:tc>
        <w:tc>
          <w:tcPr>
            <w:tcW w:w="854" w:type="dxa"/>
          </w:tcPr>
          <w:p w14:paraId="1F3FCAA5" w14:textId="77777777" w:rsidR="00FC49CC" w:rsidRDefault="00FC49CC">
            <w:pPr>
              <w:widowControl w:val="0"/>
              <w:autoSpaceDE w:val="0"/>
              <w:autoSpaceDN w:val="0"/>
              <w:adjustRightInd w:val="0"/>
              <w:spacing w:after="0" w:line="240" w:lineRule="auto"/>
              <w:jc w:val="right"/>
              <w:rPr>
                <w:rFonts w:cs="Times New Roman"/>
                <w:sz w:val="20"/>
                <w:szCs w:val="20"/>
              </w:rPr>
            </w:pPr>
          </w:p>
        </w:tc>
      </w:tr>
      <w:tr w:rsidR="00FC49CC" w14:paraId="2D1C0256" w14:textId="77777777" w:rsidTr="00FC49CC">
        <w:tc>
          <w:tcPr>
            <w:tcW w:w="2308" w:type="dxa"/>
            <w:hideMark/>
          </w:tcPr>
          <w:p w14:paraId="6208F4C4" w14:textId="77777777" w:rsidR="00FC49CC" w:rsidRDefault="00FC49CC">
            <w:pPr>
              <w:widowControl w:val="0"/>
              <w:autoSpaceDE w:val="0"/>
              <w:autoSpaceDN w:val="0"/>
              <w:adjustRightInd w:val="0"/>
              <w:spacing w:after="0" w:line="240" w:lineRule="auto"/>
              <w:rPr>
                <w:rFonts w:cs="Times New Roman"/>
                <w:sz w:val="20"/>
                <w:szCs w:val="20"/>
              </w:rPr>
            </w:pPr>
            <w:r>
              <w:rPr>
                <w:rFonts w:cs="Times New Roman"/>
                <w:sz w:val="20"/>
                <w:szCs w:val="20"/>
              </w:rPr>
              <w:t xml:space="preserve">(2) </w:t>
            </w:r>
            <w:proofErr w:type="spellStart"/>
            <w:r>
              <w:rPr>
                <w:rFonts w:cs="Times New Roman"/>
                <w:sz w:val="20"/>
                <w:szCs w:val="20"/>
              </w:rPr>
              <w:t>GDPperCapita</w:t>
            </w:r>
            <w:proofErr w:type="spellEnd"/>
          </w:p>
        </w:tc>
        <w:tc>
          <w:tcPr>
            <w:tcW w:w="854" w:type="dxa"/>
            <w:hideMark/>
          </w:tcPr>
          <w:p w14:paraId="0CA2FCF7"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0.458</w:t>
            </w:r>
          </w:p>
        </w:tc>
        <w:tc>
          <w:tcPr>
            <w:tcW w:w="854" w:type="dxa"/>
            <w:hideMark/>
          </w:tcPr>
          <w:p w14:paraId="63CF4993"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1.000</w:t>
            </w:r>
          </w:p>
        </w:tc>
        <w:tc>
          <w:tcPr>
            <w:tcW w:w="854" w:type="dxa"/>
          </w:tcPr>
          <w:p w14:paraId="22466EEF" w14:textId="77777777" w:rsidR="00FC49CC" w:rsidRDefault="00FC49CC">
            <w:pPr>
              <w:widowControl w:val="0"/>
              <w:autoSpaceDE w:val="0"/>
              <w:autoSpaceDN w:val="0"/>
              <w:adjustRightInd w:val="0"/>
              <w:spacing w:after="0" w:line="240" w:lineRule="auto"/>
              <w:jc w:val="right"/>
              <w:rPr>
                <w:rFonts w:cs="Times New Roman"/>
                <w:sz w:val="20"/>
                <w:szCs w:val="20"/>
              </w:rPr>
            </w:pPr>
          </w:p>
        </w:tc>
        <w:tc>
          <w:tcPr>
            <w:tcW w:w="854" w:type="dxa"/>
          </w:tcPr>
          <w:p w14:paraId="031A9B33" w14:textId="77777777" w:rsidR="00FC49CC" w:rsidRDefault="00FC49CC">
            <w:pPr>
              <w:widowControl w:val="0"/>
              <w:autoSpaceDE w:val="0"/>
              <w:autoSpaceDN w:val="0"/>
              <w:adjustRightInd w:val="0"/>
              <w:spacing w:after="0" w:line="240" w:lineRule="auto"/>
              <w:jc w:val="right"/>
              <w:rPr>
                <w:rFonts w:cs="Times New Roman"/>
                <w:sz w:val="20"/>
                <w:szCs w:val="20"/>
              </w:rPr>
            </w:pPr>
          </w:p>
        </w:tc>
        <w:tc>
          <w:tcPr>
            <w:tcW w:w="854" w:type="dxa"/>
          </w:tcPr>
          <w:p w14:paraId="2EC094DF" w14:textId="77777777" w:rsidR="00FC49CC" w:rsidRDefault="00FC49CC">
            <w:pPr>
              <w:widowControl w:val="0"/>
              <w:autoSpaceDE w:val="0"/>
              <w:autoSpaceDN w:val="0"/>
              <w:adjustRightInd w:val="0"/>
              <w:spacing w:after="0" w:line="240" w:lineRule="auto"/>
              <w:jc w:val="right"/>
              <w:rPr>
                <w:rFonts w:cs="Times New Roman"/>
                <w:sz w:val="20"/>
                <w:szCs w:val="20"/>
              </w:rPr>
            </w:pPr>
          </w:p>
        </w:tc>
      </w:tr>
      <w:tr w:rsidR="00FC49CC" w14:paraId="2286D879" w14:textId="77777777" w:rsidTr="00FC49CC">
        <w:tc>
          <w:tcPr>
            <w:tcW w:w="2308" w:type="dxa"/>
            <w:hideMark/>
          </w:tcPr>
          <w:p w14:paraId="26926720" w14:textId="77777777" w:rsidR="00FC49CC" w:rsidRDefault="00FC49CC">
            <w:pPr>
              <w:widowControl w:val="0"/>
              <w:autoSpaceDE w:val="0"/>
              <w:autoSpaceDN w:val="0"/>
              <w:adjustRightInd w:val="0"/>
              <w:spacing w:after="0" w:line="240" w:lineRule="auto"/>
              <w:rPr>
                <w:rFonts w:cs="Times New Roman"/>
                <w:sz w:val="20"/>
                <w:szCs w:val="20"/>
              </w:rPr>
            </w:pPr>
            <w:r>
              <w:rPr>
                <w:rFonts w:cs="Times New Roman"/>
                <w:sz w:val="20"/>
                <w:szCs w:val="20"/>
              </w:rPr>
              <w:t>(3) Unemployment</w:t>
            </w:r>
          </w:p>
        </w:tc>
        <w:tc>
          <w:tcPr>
            <w:tcW w:w="854" w:type="dxa"/>
            <w:hideMark/>
          </w:tcPr>
          <w:p w14:paraId="598AEDD9"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-0.018</w:t>
            </w:r>
          </w:p>
        </w:tc>
        <w:tc>
          <w:tcPr>
            <w:tcW w:w="854" w:type="dxa"/>
            <w:hideMark/>
          </w:tcPr>
          <w:p w14:paraId="41D372A7"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-0.476</w:t>
            </w:r>
          </w:p>
        </w:tc>
        <w:tc>
          <w:tcPr>
            <w:tcW w:w="854" w:type="dxa"/>
            <w:hideMark/>
          </w:tcPr>
          <w:p w14:paraId="67E23BD2"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1.000</w:t>
            </w:r>
          </w:p>
        </w:tc>
        <w:tc>
          <w:tcPr>
            <w:tcW w:w="854" w:type="dxa"/>
          </w:tcPr>
          <w:p w14:paraId="6D1DC83E" w14:textId="77777777" w:rsidR="00FC49CC" w:rsidRDefault="00FC49CC">
            <w:pPr>
              <w:widowControl w:val="0"/>
              <w:autoSpaceDE w:val="0"/>
              <w:autoSpaceDN w:val="0"/>
              <w:adjustRightInd w:val="0"/>
              <w:spacing w:after="0" w:line="240" w:lineRule="auto"/>
              <w:jc w:val="right"/>
              <w:rPr>
                <w:rFonts w:cs="Times New Roman"/>
                <w:sz w:val="20"/>
                <w:szCs w:val="20"/>
              </w:rPr>
            </w:pPr>
          </w:p>
        </w:tc>
        <w:tc>
          <w:tcPr>
            <w:tcW w:w="854" w:type="dxa"/>
          </w:tcPr>
          <w:p w14:paraId="2A97F460" w14:textId="77777777" w:rsidR="00FC49CC" w:rsidRDefault="00FC49CC">
            <w:pPr>
              <w:widowControl w:val="0"/>
              <w:autoSpaceDE w:val="0"/>
              <w:autoSpaceDN w:val="0"/>
              <w:adjustRightInd w:val="0"/>
              <w:spacing w:after="0" w:line="240" w:lineRule="auto"/>
              <w:jc w:val="right"/>
              <w:rPr>
                <w:rFonts w:cs="Times New Roman"/>
                <w:sz w:val="20"/>
                <w:szCs w:val="20"/>
              </w:rPr>
            </w:pPr>
          </w:p>
        </w:tc>
      </w:tr>
      <w:tr w:rsidR="00FC49CC" w14:paraId="381CC7F4" w14:textId="77777777" w:rsidTr="00FC49CC">
        <w:tc>
          <w:tcPr>
            <w:tcW w:w="2308" w:type="dxa"/>
            <w:hideMark/>
          </w:tcPr>
          <w:p w14:paraId="2A2B6C61" w14:textId="77777777" w:rsidR="00FC49CC" w:rsidRDefault="00FC49CC">
            <w:pPr>
              <w:widowControl w:val="0"/>
              <w:autoSpaceDE w:val="0"/>
              <w:autoSpaceDN w:val="0"/>
              <w:adjustRightInd w:val="0"/>
              <w:spacing w:after="0" w:line="240" w:lineRule="auto"/>
              <w:rPr>
                <w:rFonts w:cs="Times New Roman"/>
                <w:sz w:val="20"/>
                <w:szCs w:val="20"/>
              </w:rPr>
            </w:pPr>
            <w:r>
              <w:rPr>
                <w:rFonts w:cs="Times New Roman"/>
                <w:sz w:val="20"/>
                <w:szCs w:val="20"/>
              </w:rPr>
              <w:t xml:space="preserve">(4) </w:t>
            </w:r>
            <w:proofErr w:type="spellStart"/>
            <w:r>
              <w:rPr>
                <w:rFonts w:cs="Times New Roman"/>
                <w:sz w:val="20"/>
                <w:szCs w:val="20"/>
              </w:rPr>
              <w:t>CurrentAccount~e</w:t>
            </w:r>
            <w:proofErr w:type="spellEnd"/>
          </w:p>
        </w:tc>
        <w:tc>
          <w:tcPr>
            <w:tcW w:w="854" w:type="dxa"/>
            <w:hideMark/>
          </w:tcPr>
          <w:p w14:paraId="5EE99795"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-0.333</w:t>
            </w:r>
          </w:p>
        </w:tc>
        <w:tc>
          <w:tcPr>
            <w:tcW w:w="854" w:type="dxa"/>
            <w:hideMark/>
          </w:tcPr>
          <w:p w14:paraId="426920DF"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0.356</w:t>
            </w:r>
          </w:p>
        </w:tc>
        <w:tc>
          <w:tcPr>
            <w:tcW w:w="854" w:type="dxa"/>
            <w:hideMark/>
          </w:tcPr>
          <w:p w14:paraId="561EDA82"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-0.245</w:t>
            </w:r>
          </w:p>
        </w:tc>
        <w:tc>
          <w:tcPr>
            <w:tcW w:w="854" w:type="dxa"/>
            <w:hideMark/>
          </w:tcPr>
          <w:p w14:paraId="78B1A2B6"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1.000</w:t>
            </w:r>
          </w:p>
        </w:tc>
        <w:tc>
          <w:tcPr>
            <w:tcW w:w="854" w:type="dxa"/>
          </w:tcPr>
          <w:p w14:paraId="51BC1920" w14:textId="77777777" w:rsidR="00FC49CC" w:rsidRDefault="00FC49CC">
            <w:pPr>
              <w:widowControl w:val="0"/>
              <w:autoSpaceDE w:val="0"/>
              <w:autoSpaceDN w:val="0"/>
              <w:adjustRightInd w:val="0"/>
              <w:spacing w:after="0" w:line="240" w:lineRule="auto"/>
              <w:jc w:val="right"/>
              <w:rPr>
                <w:rFonts w:cs="Times New Roman"/>
                <w:sz w:val="20"/>
                <w:szCs w:val="20"/>
              </w:rPr>
            </w:pPr>
          </w:p>
        </w:tc>
      </w:tr>
      <w:tr w:rsidR="00FC49CC" w14:paraId="51A23237" w14:textId="77777777" w:rsidTr="00FC49CC">
        <w:tc>
          <w:tcPr>
            <w:tcW w:w="2308" w:type="dxa"/>
            <w:hideMark/>
          </w:tcPr>
          <w:p w14:paraId="432FA1A0" w14:textId="77777777" w:rsidR="00FC49CC" w:rsidRDefault="00FC49CC">
            <w:pPr>
              <w:widowControl w:val="0"/>
              <w:autoSpaceDE w:val="0"/>
              <w:autoSpaceDN w:val="0"/>
              <w:adjustRightInd w:val="0"/>
              <w:spacing w:after="0" w:line="240" w:lineRule="auto"/>
              <w:rPr>
                <w:rFonts w:cs="Times New Roman"/>
                <w:sz w:val="20"/>
                <w:szCs w:val="20"/>
              </w:rPr>
            </w:pPr>
            <w:r>
              <w:rPr>
                <w:rFonts w:cs="Times New Roman"/>
                <w:sz w:val="20"/>
                <w:szCs w:val="20"/>
              </w:rPr>
              <w:t>(5) Inflation</w:t>
            </w:r>
          </w:p>
        </w:tc>
        <w:tc>
          <w:tcPr>
            <w:tcW w:w="854" w:type="dxa"/>
            <w:hideMark/>
          </w:tcPr>
          <w:p w14:paraId="155843A1"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-0.181</w:t>
            </w:r>
          </w:p>
        </w:tc>
        <w:tc>
          <w:tcPr>
            <w:tcW w:w="854" w:type="dxa"/>
            <w:hideMark/>
          </w:tcPr>
          <w:p w14:paraId="76273C6B"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-0.077</w:t>
            </w:r>
          </w:p>
        </w:tc>
        <w:tc>
          <w:tcPr>
            <w:tcW w:w="854" w:type="dxa"/>
            <w:hideMark/>
          </w:tcPr>
          <w:p w14:paraId="5A45D945"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0.047</w:t>
            </w:r>
          </w:p>
        </w:tc>
        <w:tc>
          <w:tcPr>
            <w:tcW w:w="854" w:type="dxa"/>
            <w:hideMark/>
          </w:tcPr>
          <w:p w14:paraId="44AD0468"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0.165</w:t>
            </w:r>
          </w:p>
        </w:tc>
        <w:tc>
          <w:tcPr>
            <w:tcW w:w="854" w:type="dxa"/>
            <w:hideMark/>
          </w:tcPr>
          <w:p w14:paraId="3C8EE98A"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1.000</w:t>
            </w:r>
          </w:p>
        </w:tc>
      </w:tr>
    </w:tbl>
    <w:p w14:paraId="4814B304" w14:textId="77777777" w:rsidR="00FC49CC" w:rsidRPr="00744AD4" w:rsidRDefault="00FC49CC" w:rsidP="00541551">
      <w:pPr>
        <w:rPr>
          <w:rFonts w:asciiTheme="majorBidi" w:hAnsiTheme="majorBidi" w:cstheme="majorBidi"/>
          <w:lang w:val="en-US"/>
        </w:rPr>
      </w:pPr>
    </w:p>
    <w:p w14:paraId="382AC9FF" w14:textId="77777777" w:rsidR="00541551" w:rsidRPr="00744AD4" w:rsidRDefault="00541551" w:rsidP="00541551">
      <w:pPr>
        <w:rPr>
          <w:rFonts w:asciiTheme="majorBidi" w:hAnsiTheme="majorBidi" w:cstheme="majorBidi"/>
          <w:lang w:val="en-US"/>
        </w:rPr>
      </w:pPr>
      <w:r w:rsidRPr="00744AD4">
        <w:rPr>
          <w:rFonts w:asciiTheme="majorBidi" w:hAnsiTheme="majorBidi" w:cstheme="majorBidi"/>
          <w:b/>
          <w:bCs/>
          <w:lang w:val="en-US"/>
        </w:rPr>
        <w:t>2. Linear Regression Analysis:</w:t>
      </w:r>
    </w:p>
    <w:p w14:paraId="5C941D57" w14:textId="77777777" w:rsidR="00541551" w:rsidRPr="00744AD4" w:rsidRDefault="00541551" w:rsidP="00541551">
      <w:pPr>
        <w:rPr>
          <w:rFonts w:asciiTheme="majorBidi" w:hAnsiTheme="majorBidi" w:cstheme="majorBidi"/>
          <w:lang w:val="en-US"/>
        </w:rPr>
      </w:pPr>
      <w:r w:rsidRPr="00744AD4">
        <w:rPr>
          <w:rFonts w:asciiTheme="majorBidi" w:hAnsiTheme="majorBidi" w:cstheme="majorBidi"/>
          <w:lang w:val="en-US"/>
        </w:rPr>
        <w:t>To delve deeper into the relationship between the economic indicators and the dependent variable (</w:t>
      </w:r>
      <w:proofErr w:type="spellStart"/>
      <w:r w:rsidRPr="00744AD4">
        <w:rPr>
          <w:rFonts w:asciiTheme="majorBidi" w:hAnsiTheme="majorBidi" w:cstheme="majorBidi"/>
          <w:lang w:val="en-US"/>
        </w:rPr>
        <w:t>averating</w:t>
      </w:r>
      <w:proofErr w:type="spellEnd"/>
      <w:r w:rsidRPr="00744AD4">
        <w:rPr>
          <w:rFonts w:asciiTheme="majorBidi" w:hAnsiTheme="majorBidi" w:cstheme="majorBidi"/>
          <w:lang w:val="en-US"/>
        </w:rPr>
        <w:t>), we perform linear regression analyses. Two regression models are presented, each with varying sets of independent variables.</w:t>
      </w:r>
    </w:p>
    <w:p w14:paraId="55F93CBF" w14:textId="666C1B80" w:rsidR="004470DF" w:rsidRPr="00541551" w:rsidRDefault="00541551" w:rsidP="004470DF">
      <w:pPr>
        <w:rPr>
          <w:rFonts w:eastAsiaTheme="minorEastAsia"/>
          <w:i/>
          <w:iCs/>
        </w:rPr>
      </w:pPr>
      <w:r w:rsidRPr="00744AD4">
        <w:rPr>
          <w:rFonts w:asciiTheme="majorBidi" w:hAnsiTheme="majorBidi" w:cstheme="majorBidi"/>
          <w:b/>
          <w:bCs/>
          <w:lang w:val="en-US"/>
        </w:rPr>
        <w:t>Regression Model 1:</w:t>
      </w:r>
      <w:r w:rsidRPr="00744AD4">
        <w:rPr>
          <w:rFonts w:asciiTheme="majorBidi" w:hAnsiTheme="majorBidi" w:cstheme="majorBidi"/>
          <w:lang w:val="en-US"/>
        </w:rPr>
        <w:t xml:space="preserve"> In this model</w:t>
      </w:r>
      <w:r w:rsidR="004470DF">
        <w:rPr>
          <w:rFonts w:asciiTheme="majorBidi" w:hAnsiTheme="majorBidi" w:cstheme="majorBidi"/>
          <w:lang w:val="en-US"/>
        </w:rPr>
        <w:t xml:space="preserve"> </w:t>
      </w:r>
      <w:r w:rsidR="004470DF">
        <w:rPr>
          <w:rFonts w:eastAsiaTheme="minorEastAsia"/>
          <w:i/>
          <w:iCs/>
        </w:rPr>
        <w:t>Ratings = 17.486 + 3.055 * ESG + 0 *</w:t>
      </w:r>
      <w:proofErr w:type="spellStart"/>
      <w:r w:rsidR="004470DF">
        <w:rPr>
          <w:rFonts w:eastAsiaTheme="minorEastAsia"/>
          <w:i/>
          <w:iCs/>
        </w:rPr>
        <w:t>GDPperCapita</w:t>
      </w:r>
      <w:proofErr w:type="spellEnd"/>
      <w:r w:rsidR="004470DF">
        <w:rPr>
          <w:rFonts w:eastAsiaTheme="minorEastAsia"/>
          <w:i/>
          <w:iCs/>
        </w:rPr>
        <w:t xml:space="preserve"> – 0.355 * Unemployment - 0.005 * Inflation + 0.053 * </w:t>
      </w:r>
      <w:proofErr w:type="spellStart"/>
      <w:r w:rsidR="004470DF">
        <w:rPr>
          <w:rFonts w:eastAsiaTheme="minorEastAsia"/>
          <w:i/>
          <w:iCs/>
        </w:rPr>
        <w:t>CurrentAccountBalance</w:t>
      </w:r>
      <w:proofErr w:type="spellEnd"/>
      <w:r w:rsidR="004470DF">
        <w:rPr>
          <w:rFonts w:eastAsiaTheme="minorEastAsia"/>
          <w:i/>
          <w:iCs/>
        </w:rPr>
        <w:t xml:space="preserve"> +</w:t>
      </w:r>
      <w:r w:rsidR="004470DF">
        <w:rPr>
          <w:rFonts w:eastAsiaTheme="minorEastAsia" w:cs="Times New Roman"/>
          <w:i/>
          <w:iCs/>
        </w:rPr>
        <w:t>ε</w:t>
      </w:r>
    </w:p>
    <w:p w14:paraId="39368D6A" w14:textId="559C40BB" w:rsidR="00541551" w:rsidRPr="00744AD4" w:rsidRDefault="00541551" w:rsidP="004470DF">
      <w:pPr>
        <w:rPr>
          <w:rFonts w:asciiTheme="majorBidi" w:hAnsiTheme="majorBidi" w:cstheme="majorBidi"/>
          <w:lang w:val="en-US"/>
        </w:rPr>
      </w:pPr>
      <w:r w:rsidRPr="00744AD4">
        <w:rPr>
          <w:rFonts w:asciiTheme="majorBidi" w:hAnsiTheme="majorBidi" w:cstheme="majorBidi"/>
          <w:lang w:val="en-US"/>
        </w:rPr>
        <w:t xml:space="preserve">, we regress </w:t>
      </w:r>
      <w:proofErr w:type="spellStart"/>
      <w:r w:rsidRPr="00744AD4">
        <w:rPr>
          <w:rFonts w:asciiTheme="majorBidi" w:hAnsiTheme="majorBidi" w:cstheme="majorBidi"/>
          <w:lang w:val="en-US"/>
        </w:rPr>
        <w:t>averating</w:t>
      </w:r>
      <w:proofErr w:type="spellEnd"/>
      <w:r w:rsidRPr="00744AD4">
        <w:rPr>
          <w:rFonts w:asciiTheme="majorBidi" w:hAnsiTheme="majorBidi" w:cstheme="majorBidi"/>
          <w:lang w:val="en-US"/>
        </w:rPr>
        <w:t xml:space="preserve"> on ESG, GDP per Capita, Current Account Balance, Unemployment, and Inflation. The results indicate that:</w:t>
      </w:r>
    </w:p>
    <w:p w14:paraId="7CDBEA2E" w14:textId="77777777" w:rsidR="00541551" w:rsidRPr="00744AD4" w:rsidRDefault="00541551" w:rsidP="00541551">
      <w:pPr>
        <w:numPr>
          <w:ilvl w:val="0"/>
          <w:numId w:val="9"/>
        </w:numPr>
        <w:spacing w:before="0" w:beforeAutospacing="0" w:after="160" w:afterAutospacing="0"/>
        <w:jc w:val="left"/>
        <w:rPr>
          <w:rFonts w:asciiTheme="majorBidi" w:hAnsiTheme="majorBidi" w:cstheme="majorBidi"/>
          <w:lang w:val="en-US"/>
        </w:rPr>
      </w:pPr>
      <w:r w:rsidRPr="00744AD4">
        <w:rPr>
          <w:rFonts w:asciiTheme="majorBidi" w:hAnsiTheme="majorBidi" w:cstheme="majorBidi"/>
          <w:lang w:val="en-US"/>
        </w:rPr>
        <w:t xml:space="preserve">ESG has a significant positive effect (Coef. = 3.055, p &lt; 0.001) on </w:t>
      </w:r>
      <w:proofErr w:type="spellStart"/>
      <w:r w:rsidRPr="00744AD4">
        <w:rPr>
          <w:rFonts w:asciiTheme="majorBidi" w:hAnsiTheme="majorBidi" w:cstheme="majorBidi"/>
          <w:lang w:val="en-US"/>
        </w:rPr>
        <w:t>averating</w:t>
      </w:r>
      <w:proofErr w:type="spellEnd"/>
      <w:r w:rsidRPr="00744AD4">
        <w:rPr>
          <w:rFonts w:asciiTheme="majorBidi" w:hAnsiTheme="majorBidi" w:cstheme="majorBidi"/>
          <w:lang w:val="en-US"/>
        </w:rPr>
        <w:t>.</w:t>
      </w:r>
    </w:p>
    <w:p w14:paraId="1BB3DC47" w14:textId="77777777" w:rsidR="00541551" w:rsidRPr="00744AD4" w:rsidRDefault="00541551" w:rsidP="00541551">
      <w:pPr>
        <w:numPr>
          <w:ilvl w:val="0"/>
          <w:numId w:val="9"/>
        </w:numPr>
        <w:spacing w:before="0" w:beforeAutospacing="0" w:after="160" w:afterAutospacing="0"/>
        <w:jc w:val="left"/>
        <w:rPr>
          <w:rFonts w:asciiTheme="majorBidi" w:hAnsiTheme="majorBidi" w:cstheme="majorBidi"/>
          <w:lang w:val="en-US"/>
        </w:rPr>
      </w:pPr>
      <w:r w:rsidRPr="00744AD4">
        <w:rPr>
          <w:rFonts w:asciiTheme="majorBidi" w:hAnsiTheme="majorBidi" w:cstheme="majorBidi"/>
          <w:lang w:val="en-US"/>
        </w:rPr>
        <w:t>GDP per Capita exhibits no significant effect (Coef. = 0, p = 0.004).</w:t>
      </w:r>
    </w:p>
    <w:p w14:paraId="5E16431E" w14:textId="77777777" w:rsidR="00541551" w:rsidRPr="00744AD4" w:rsidRDefault="00541551" w:rsidP="00541551">
      <w:pPr>
        <w:numPr>
          <w:ilvl w:val="0"/>
          <w:numId w:val="9"/>
        </w:numPr>
        <w:spacing w:before="0" w:beforeAutospacing="0" w:after="160" w:afterAutospacing="0"/>
        <w:jc w:val="left"/>
        <w:rPr>
          <w:rFonts w:asciiTheme="majorBidi" w:hAnsiTheme="majorBidi" w:cstheme="majorBidi"/>
          <w:lang w:val="en-US"/>
        </w:rPr>
      </w:pPr>
      <w:r w:rsidRPr="00744AD4">
        <w:rPr>
          <w:rFonts w:asciiTheme="majorBidi" w:hAnsiTheme="majorBidi" w:cstheme="majorBidi"/>
          <w:lang w:val="en-US"/>
        </w:rPr>
        <w:t>Current Account Balance and Inflation have non-significant effects.</w:t>
      </w:r>
    </w:p>
    <w:p w14:paraId="1719C000" w14:textId="77777777" w:rsidR="00541551" w:rsidRPr="00744AD4" w:rsidRDefault="00541551" w:rsidP="00541551">
      <w:pPr>
        <w:numPr>
          <w:ilvl w:val="0"/>
          <w:numId w:val="9"/>
        </w:numPr>
        <w:spacing w:before="0" w:beforeAutospacing="0" w:after="160" w:afterAutospacing="0"/>
        <w:jc w:val="left"/>
        <w:rPr>
          <w:rFonts w:asciiTheme="majorBidi" w:hAnsiTheme="majorBidi" w:cstheme="majorBidi"/>
          <w:lang w:val="en-US"/>
        </w:rPr>
      </w:pPr>
      <w:r w:rsidRPr="00744AD4">
        <w:rPr>
          <w:rFonts w:asciiTheme="majorBidi" w:hAnsiTheme="majorBidi" w:cstheme="majorBidi"/>
          <w:lang w:val="en-US"/>
        </w:rPr>
        <w:t xml:space="preserve">Unemployment negatively impacts </w:t>
      </w:r>
      <w:proofErr w:type="spellStart"/>
      <w:r w:rsidRPr="00744AD4">
        <w:rPr>
          <w:rFonts w:asciiTheme="majorBidi" w:hAnsiTheme="majorBidi" w:cstheme="majorBidi"/>
          <w:lang w:val="en-US"/>
        </w:rPr>
        <w:t>averating</w:t>
      </w:r>
      <w:proofErr w:type="spellEnd"/>
      <w:r w:rsidRPr="00744AD4">
        <w:rPr>
          <w:rFonts w:asciiTheme="majorBidi" w:hAnsiTheme="majorBidi" w:cstheme="majorBidi"/>
          <w:lang w:val="en-US"/>
        </w:rPr>
        <w:t xml:space="preserve"> (Coef. = -0.355, p &lt; 0.001).</w:t>
      </w:r>
    </w:p>
    <w:p w14:paraId="41FFC27C" w14:textId="77777777" w:rsidR="004470DF" w:rsidRDefault="00541551" w:rsidP="004470DF">
      <w:pPr>
        <w:rPr>
          <w:rFonts w:asciiTheme="majorBidi" w:hAnsiTheme="majorBidi" w:cstheme="majorBidi"/>
          <w:lang w:val="en-US"/>
        </w:rPr>
      </w:pPr>
      <w:r w:rsidRPr="00744AD4">
        <w:rPr>
          <w:rFonts w:asciiTheme="majorBidi" w:hAnsiTheme="majorBidi" w:cstheme="majorBidi"/>
          <w:lang w:val="en-US"/>
        </w:rPr>
        <w:t>The overall regression model's R-squared value is 0.336, suggesting that the independent variables explain about 33.6% of the variance in the dependent variable. The F-test (10.212) indicates that the regression model is statistically significant.</w:t>
      </w:r>
    </w:p>
    <w:p w14:paraId="1167956D" w14:textId="0BD4EEBC" w:rsidR="00FC49CC" w:rsidRPr="004470DF" w:rsidRDefault="00FC49CC" w:rsidP="004470DF">
      <w:pPr>
        <w:rPr>
          <w:rFonts w:asciiTheme="majorBidi" w:hAnsiTheme="majorBidi" w:cstheme="majorBidi"/>
          <w:lang w:val="en-US"/>
        </w:rPr>
      </w:pPr>
      <w:r>
        <w:t xml:space="preserve">Table </w:t>
      </w:r>
      <w:fldSimple w:instr=" SEQ Table \* ARABIC ">
        <w:r>
          <w:rPr>
            <w:noProof/>
          </w:rPr>
          <w:t>4</w:t>
        </w:r>
      </w:fldSimple>
      <w:r>
        <w:rPr>
          <w:lang w:val="en-US"/>
        </w:rPr>
        <w:t xml:space="preserve"> First Regression</w:t>
      </w:r>
    </w:p>
    <w:tbl>
      <w:tblPr>
        <w:tblW w:w="0" w:type="auto"/>
        <w:tblLayout w:type="fixed"/>
        <w:tblLook w:val="04A0" w:firstRow="1" w:lastRow="0" w:firstColumn="1" w:lastColumn="0" w:noHBand="0" w:noVBand="1"/>
      </w:tblPr>
      <w:tblGrid>
        <w:gridCol w:w="1708"/>
        <w:gridCol w:w="700"/>
        <w:gridCol w:w="500"/>
        <w:gridCol w:w="1200"/>
        <w:gridCol w:w="50"/>
        <w:gridCol w:w="800"/>
        <w:gridCol w:w="900"/>
        <w:gridCol w:w="600"/>
        <w:gridCol w:w="600"/>
        <w:gridCol w:w="1150"/>
        <w:gridCol w:w="50"/>
        <w:gridCol w:w="600"/>
      </w:tblGrid>
      <w:tr w:rsidR="00FC49CC" w14:paraId="1DAB30F6" w14:textId="77777777" w:rsidTr="00FC49CC">
        <w:tc>
          <w:tcPr>
            <w:tcW w:w="1708" w:type="dxa"/>
            <w:tcBorders>
              <w:top w:val="single" w:sz="4" w:space="0" w:color="auto"/>
              <w:left w:val="nil"/>
              <w:bottom w:val="single" w:sz="8" w:space="0" w:color="auto"/>
              <w:right w:val="nil"/>
            </w:tcBorders>
            <w:hideMark/>
          </w:tcPr>
          <w:p w14:paraId="4DDC3F5A" w14:textId="77777777" w:rsidR="00FC49CC" w:rsidRDefault="00FC49CC">
            <w:pPr>
              <w:widowControl w:val="0"/>
              <w:autoSpaceDE w:val="0"/>
              <w:autoSpaceDN w:val="0"/>
              <w:adjustRightInd w:val="0"/>
              <w:spacing w:after="0" w:line="240" w:lineRule="auto"/>
              <w:rPr>
                <w:rFonts w:cs="Times New Roman"/>
                <w:sz w:val="20"/>
                <w:szCs w:val="20"/>
              </w:rPr>
            </w:pPr>
            <w:r>
              <w:rPr>
                <w:rFonts w:cs="Times New Roman"/>
                <w:sz w:val="20"/>
                <w:szCs w:val="20"/>
              </w:rPr>
              <w:t xml:space="preserve"> </w:t>
            </w:r>
            <w:proofErr w:type="spellStart"/>
            <w:r>
              <w:rPr>
                <w:rFonts w:cs="Times New Roman"/>
                <w:sz w:val="20"/>
                <w:szCs w:val="20"/>
              </w:rPr>
              <w:t>averating</w:t>
            </w:r>
            <w:proofErr w:type="spellEnd"/>
          </w:p>
        </w:tc>
        <w:tc>
          <w:tcPr>
            <w:tcW w:w="1200" w:type="dxa"/>
            <w:gridSpan w:val="2"/>
            <w:tcBorders>
              <w:top w:val="single" w:sz="4" w:space="0" w:color="auto"/>
              <w:left w:val="nil"/>
              <w:bottom w:val="single" w:sz="8" w:space="0" w:color="auto"/>
              <w:right w:val="nil"/>
            </w:tcBorders>
            <w:hideMark/>
          </w:tcPr>
          <w:p w14:paraId="157747D9"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 xml:space="preserve"> Coef.</w:t>
            </w:r>
          </w:p>
        </w:tc>
        <w:tc>
          <w:tcPr>
            <w:tcW w:w="1200" w:type="dxa"/>
            <w:tcBorders>
              <w:top w:val="single" w:sz="4" w:space="0" w:color="auto"/>
              <w:left w:val="nil"/>
              <w:bottom w:val="single" w:sz="8" w:space="0" w:color="auto"/>
              <w:right w:val="nil"/>
            </w:tcBorders>
            <w:hideMark/>
          </w:tcPr>
          <w:p w14:paraId="1C0C15BE"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 xml:space="preserve"> </w:t>
            </w:r>
            <w:proofErr w:type="spellStart"/>
            <w:proofErr w:type="gramStart"/>
            <w:r>
              <w:rPr>
                <w:rFonts w:cs="Times New Roman"/>
                <w:sz w:val="20"/>
                <w:szCs w:val="20"/>
              </w:rPr>
              <w:t>St.Err</w:t>
            </w:r>
            <w:proofErr w:type="spellEnd"/>
            <w:proofErr w:type="gramEnd"/>
            <w:r>
              <w:rPr>
                <w:rFonts w:cs="Times New Roman"/>
                <w:sz w:val="20"/>
                <w:szCs w:val="20"/>
              </w:rPr>
              <w:t>.</w:t>
            </w:r>
          </w:p>
        </w:tc>
        <w:tc>
          <w:tcPr>
            <w:tcW w:w="850" w:type="dxa"/>
            <w:gridSpan w:val="2"/>
            <w:tcBorders>
              <w:top w:val="single" w:sz="4" w:space="0" w:color="auto"/>
              <w:left w:val="nil"/>
              <w:bottom w:val="single" w:sz="8" w:space="0" w:color="auto"/>
              <w:right w:val="nil"/>
            </w:tcBorders>
            <w:hideMark/>
          </w:tcPr>
          <w:p w14:paraId="16AADF8F"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 xml:space="preserve"> t-value</w:t>
            </w:r>
          </w:p>
        </w:tc>
        <w:tc>
          <w:tcPr>
            <w:tcW w:w="900" w:type="dxa"/>
            <w:tcBorders>
              <w:top w:val="single" w:sz="4" w:space="0" w:color="auto"/>
              <w:left w:val="nil"/>
              <w:bottom w:val="single" w:sz="8" w:space="0" w:color="auto"/>
              <w:right w:val="nil"/>
            </w:tcBorders>
            <w:hideMark/>
          </w:tcPr>
          <w:p w14:paraId="344F3A01"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 xml:space="preserve"> p-value</w:t>
            </w:r>
          </w:p>
        </w:tc>
        <w:tc>
          <w:tcPr>
            <w:tcW w:w="1200" w:type="dxa"/>
            <w:gridSpan w:val="2"/>
            <w:tcBorders>
              <w:top w:val="single" w:sz="4" w:space="0" w:color="auto"/>
              <w:left w:val="nil"/>
              <w:bottom w:val="single" w:sz="8" w:space="0" w:color="auto"/>
              <w:right w:val="nil"/>
            </w:tcBorders>
            <w:hideMark/>
          </w:tcPr>
          <w:p w14:paraId="5E711606"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 xml:space="preserve"> [95% Conf</w:t>
            </w:r>
          </w:p>
        </w:tc>
        <w:tc>
          <w:tcPr>
            <w:tcW w:w="1200" w:type="dxa"/>
            <w:gridSpan w:val="2"/>
            <w:tcBorders>
              <w:top w:val="single" w:sz="4" w:space="0" w:color="auto"/>
              <w:left w:val="nil"/>
              <w:bottom w:val="single" w:sz="8" w:space="0" w:color="auto"/>
              <w:right w:val="nil"/>
            </w:tcBorders>
            <w:hideMark/>
          </w:tcPr>
          <w:p w14:paraId="3366BFF8"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 xml:space="preserve"> Interval]</w:t>
            </w:r>
          </w:p>
        </w:tc>
        <w:tc>
          <w:tcPr>
            <w:tcW w:w="600" w:type="dxa"/>
            <w:tcBorders>
              <w:top w:val="single" w:sz="4" w:space="0" w:color="auto"/>
              <w:left w:val="nil"/>
              <w:bottom w:val="single" w:sz="8" w:space="0" w:color="auto"/>
              <w:right w:val="nil"/>
            </w:tcBorders>
            <w:hideMark/>
          </w:tcPr>
          <w:p w14:paraId="07DF5421"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 xml:space="preserve"> Sig</w:t>
            </w:r>
          </w:p>
        </w:tc>
      </w:tr>
      <w:tr w:rsidR="00FC49CC" w14:paraId="2D891B53" w14:textId="77777777" w:rsidTr="00FC49CC">
        <w:tc>
          <w:tcPr>
            <w:tcW w:w="1708" w:type="dxa"/>
            <w:hideMark/>
          </w:tcPr>
          <w:p w14:paraId="4B81FEF8" w14:textId="77777777" w:rsidR="00FC49CC" w:rsidRDefault="00FC49CC">
            <w:pPr>
              <w:widowControl w:val="0"/>
              <w:autoSpaceDE w:val="0"/>
              <w:autoSpaceDN w:val="0"/>
              <w:adjustRightInd w:val="0"/>
              <w:spacing w:after="0" w:line="240" w:lineRule="auto"/>
              <w:rPr>
                <w:rFonts w:cs="Times New Roman"/>
                <w:sz w:val="20"/>
                <w:szCs w:val="20"/>
              </w:rPr>
            </w:pPr>
            <w:r>
              <w:rPr>
                <w:rFonts w:cs="Times New Roman"/>
                <w:sz w:val="20"/>
                <w:szCs w:val="20"/>
              </w:rPr>
              <w:t>ESG</w:t>
            </w:r>
          </w:p>
        </w:tc>
        <w:tc>
          <w:tcPr>
            <w:tcW w:w="1200" w:type="dxa"/>
            <w:gridSpan w:val="2"/>
            <w:hideMark/>
          </w:tcPr>
          <w:p w14:paraId="551F535F"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3.055</w:t>
            </w:r>
          </w:p>
        </w:tc>
        <w:tc>
          <w:tcPr>
            <w:tcW w:w="1200" w:type="dxa"/>
            <w:hideMark/>
          </w:tcPr>
          <w:p w14:paraId="2DCE5734"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.9</w:t>
            </w:r>
          </w:p>
        </w:tc>
        <w:tc>
          <w:tcPr>
            <w:tcW w:w="850" w:type="dxa"/>
            <w:gridSpan w:val="2"/>
            <w:hideMark/>
          </w:tcPr>
          <w:p w14:paraId="5FF42AC0"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3.40</w:t>
            </w:r>
          </w:p>
        </w:tc>
        <w:tc>
          <w:tcPr>
            <w:tcW w:w="900" w:type="dxa"/>
            <w:hideMark/>
          </w:tcPr>
          <w:p w14:paraId="3518DED1"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.001</w:t>
            </w:r>
          </w:p>
        </w:tc>
        <w:tc>
          <w:tcPr>
            <w:tcW w:w="1200" w:type="dxa"/>
            <w:gridSpan w:val="2"/>
            <w:hideMark/>
          </w:tcPr>
          <w:p w14:paraId="1628D451"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1.271</w:t>
            </w:r>
          </w:p>
        </w:tc>
        <w:tc>
          <w:tcPr>
            <w:tcW w:w="1200" w:type="dxa"/>
            <w:gridSpan w:val="2"/>
            <w:hideMark/>
          </w:tcPr>
          <w:p w14:paraId="3765D97B"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4.84</w:t>
            </w:r>
          </w:p>
        </w:tc>
        <w:tc>
          <w:tcPr>
            <w:tcW w:w="600" w:type="dxa"/>
            <w:hideMark/>
          </w:tcPr>
          <w:p w14:paraId="5955040C"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w:t>
            </w:r>
          </w:p>
        </w:tc>
      </w:tr>
      <w:tr w:rsidR="00FC49CC" w14:paraId="4B671EE2" w14:textId="77777777" w:rsidTr="00FC49CC">
        <w:tc>
          <w:tcPr>
            <w:tcW w:w="1708" w:type="dxa"/>
            <w:hideMark/>
          </w:tcPr>
          <w:p w14:paraId="7FEA0641" w14:textId="77777777" w:rsidR="00FC49CC" w:rsidRDefault="00FC49CC">
            <w:pPr>
              <w:widowControl w:val="0"/>
              <w:autoSpaceDE w:val="0"/>
              <w:autoSpaceDN w:val="0"/>
              <w:adjustRightInd w:val="0"/>
              <w:spacing w:after="0" w:line="240" w:lineRule="auto"/>
              <w:rPr>
                <w:rFonts w:cs="Times New Roman"/>
                <w:sz w:val="20"/>
                <w:szCs w:val="20"/>
              </w:rPr>
            </w:pPr>
            <w:proofErr w:type="spellStart"/>
            <w:r>
              <w:rPr>
                <w:rFonts w:cs="Times New Roman"/>
                <w:sz w:val="20"/>
                <w:szCs w:val="20"/>
              </w:rPr>
              <w:t>GDPperCapita</w:t>
            </w:r>
            <w:proofErr w:type="spellEnd"/>
          </w:p>
        </w:tc>
        <w:tc>
          <w:tcPr>
            <w:tcW w:w="1200" w:type="dxa"/>
            <w:gridSpan w:val="2"/>
            <w:hideMark/>
          </w:tcPr>
          <w:p w14:paraId="4FFEFA47"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0</w:t>
            </w:r>
          </w:p>
        </w:tc>
        <w:tc>
          <w:tcPr>
            <w:tcW w:w="1200" w:type="dxa"/>
            <w:hideMark/>
          </w:tcPr>
          <w:p w14:paraId="03D449A4"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0</w:t>
            </w:r>
          </w:p>
        </w:tc>
        <w:tc>
          <w:tcPr>
            <w:tcW w:w="850" w:type="dxa"/>
            <w:gridSpan w:val="2"/>
            <w:hideMark/>
          </w:tcPr>
          <w:p w14:paraId="0219D5E0"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-2.91</w:t>
            </w:r>
          </w:p>
        </w:tc>
        <w:tc>
          <w:tcPr>
            <w:tcW w:w="900" w:type="dxa"/>
            <w:hideMark/>
          </w:tcPr>
          <w:p w14:paraId="342E95D1"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.004</w:t>
            </w:r>
          </w:p>
        </w:tc>
        <w:tc>
          <w:tcPr>
            <w:tcW w:w="1200" w:type="dxa"/>
            <w:gridSpan w:val="2"/>
            <w:hideMark/>
          </w:tcPr>
          <w:p w14:paraId="7A36498B"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0</w:t>
            </w:r>
          </w:p>
        </w:tc>
        <w:tc>
          <w:tcPr>
            <w:tcW w:w="1200" w:type="dxa"/>
            <w:gridSpan w:val="2"/>
            <w:hideMark/>
          </w:tcPr>
          <w:p w14:paraId="0FB04971"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0</w:t>
            </w:r>
          </w:p>
        </w:tc>
        <w:tc>
          <w:tcPr>
            <w:tcW w:w="600" w:type="dxa"/>
            <w:hideMark/>
          </w:tcPr>
          <w:p w14:paraId="78FE35E9"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w:t>
            </w:r>
          </w:p>
        </w:tc>
      </w:tr>
      <w:tr w:rsidR="00FC49CC" w14:paraId="3E60CCF2" w14:textId="77777777" w:rsidTr="00FC49CC">
        <w:tc>
          <w:tcPr>
            <w:tcW w:w="1708" w:type="dxa"/>
            <w:hideMark/>
          </w:tcPr>
          <w:p w14:paraId="4E18AC07" w14:textId="77777777" w:rsidR="00FC49CC" w:rsidRDefault="00FC49CC">
            <w:pPr>
              <w:widowControl w:val="0"/>
              <w:autoSpaceDE w:val="0"/>
              <w:autoSpaceDN w:val="0"/>
              <w:adjustRightInd w:val="0"/>
              <w:spacing w:after="0" w:line="240" w:lineRule="auto"/>
              <w:rPr>
                <w:rFonts w:cs="Times New Roman"/>
                <w:sz w:val="20"/>
                <w:szCs w:val="20"/>
              </w:rPr>
            </w:pPr>
            <w:proofErr w:type="spellStart"/>
            <w:r>
              <w:rPr>
                <w:rFonts w:cs="Times New Roman"/>
                <w:sz w:val="20"/>
                <w:szCs w:val="20"/>
              </w:rPr>
              <w:t>CurrentAccountBala~e</w:t>
            </w:r>
            <w:proofErr w:type="spellEnd"/>
          </w:p>
        </w:tc>
        <w:tc>
          <w:tcPr>
            <w:tcW w:w="1200" w:type="dxa"/>
            <w:gridSpan w:val="2"/>
            <w:hideMark/>
          </w:tcPr>
          <w:p w14:paraId="238C5FE9"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.053</w:t>
            </w:r>
          </w:p>
        </w:tc>
        <w:tc>
          <w:tcPr>
            <w:tcW w:w="1200" w:type="dxa"/>
            <w:hideMark/>
          </w:tcPr>
          <w:p w14:paraId="5B483F8A"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.035</w:t>
            </w:r>
          </w:p>
        </w:tc>
        <w:tc>
          <w:tcPr>
            <w:tcW w:w="850" w:type="dxa"/>
            <w:gridSpan w:val="2"/>
            <w:hideMark/>
          </w:tcPr>
          <w:p w14:paraId="7DBA7F6C"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1.54</w:t>
            </w:r>
          </w:p>
        </w:tc>
        <w:tc>
          <w:tcPr>
            <w:tcW w:w="900" w:type="dxa"/>
            <w:hideMark/>
          </w:tcPr>
          <w:p w14:paraId="76B760D2"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.126</w:t>
            </w:r>
          </w:p>
        </w:tc>
        <w:tc>
          <w:tcPr>
            <w:tcW w:w="1200" w:type="dxa"/>
            <w:gridSpan w:val="2"/>
            <w:hideMark/>
          </w:tcPr>
          <w:p w14:paraId="740A4B9A"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-.015</w:t>
            </w:r>
          </w:p>
        </w:tc>
        <w:tc>
          <w:tcPr>
            <w:tcW w:w="1200" w:type="dxa"/>
            <w:gridSpan w:val="2"/>
            <w:hideMark/>
          </w:tcPr>
          <w:p w14:paraId="4A0341C4"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.122</w:t>
            </w:r>
          </w:p>
        </w:tc>
        <w:tc>
          <w:tcPr>
            <w:tcW w:w="600" w:type="dxa"/>
          </w:tcPr>
          <w:p w14:paraId="79FEC88D" w14:textId="77777777" w:rsidR="00FC49CC" w:rsidRDefault="00FC49CC">
            <w:pPr>
              <w:widowControl w:val="0"/>
              <w:autoSpaceDE w:val="0"/>
              <w:autoSpaceDN w:val="0"/>
              <w:adjustRightInd w:val="0"/>
              <w:spacing w:after="0" w:line="240" w:lineRule="auto"/>
              <w:jc w:val="right"/>
              <w:rPr>
                <w:rFonts w:cs="Times New Roman"/>
                <w:sz w:val="20"/>
                <w:szCs w:val="20"/>
              </w:rPr>
            </w:pPr>
          </w:p>
        </w:tc>
      </w:tr>
      <w:tr w:rsidR="00FC49CC" w14:paraId="27E30B36" w14:textId="77777777" w:rsidTr="00FC49CC">
        <w:tc>
          <w:tcPr>
            <w:tcW w:w="1708" w:type="dxa"/>
            <w:hideMark/>
          </w:tcPr>
          <w:p w14:paraId="22A34658" w14:textId="77777777" w:rsidR="00FC49CC" w:rsidRDefault="00FC49CC">
            <w:pPr>
              <w:widowControl w:val="0"/>
              <w:autoSpaceDE w:val="0"/>
              <w:autoSpaceDN w:val="0"/>
              <w:adjustRightInd w:val="0"/>
              <w:spacing w:after="0" w:line="240" w:lineRule="auto"/>
              <w:rPr>
                <w:rFonts w:cs="Times New Roman"/>
                <w:sz w:val="20"/>
                <w:szCs w:val="20"/>
              </w:rPr>
            </w:pPr>
            <w:r>
              <w:rPr>
                <w:rFonts w:cs="Times New Roman"/>
                <w:sz w:val="20"/>
                <w:szCs w:val="20"/>
              </w:rPr>
              <w:t>Unemployment</w:t>
            </w:r>
          </w:p>
        </w:tc>
        <w:tc>
          <w:tcPr>
            <w:tcW w:w="1200" w:type="dxa"/>
            <w:gridSpan w:val="2"/>
            <w:hideMark/>
          </w:tcPr>
          <w:p w14:paraId="6CCE5D0E"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-.355</w:t>
            </w:r>
          </w:p>
        </w:tc>
        <w:tc>
          <w:tcPr>
            <w:tcW w:w="1200" w:type="dxa"/>
            <w:hideMark/>
          </w:tcPr>
          <w:p w14:paraId="43D4E00A"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.056</w:t>
            </w:r>
          </w:p>
        </w:tc>
        <w:tc>
          <w:tcPr>
            <w:tcW w:w="850" w:type="dxa"/>
            <w:gridSpan w:val="2"/>
            <w:hideMark/>
          </w:tcPr>
          <w:p w14:paraId="58A3C682"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-6.39</w:t>
            </w:r>
          </w:p>
        </w:tc>
        <w:tc>
          <w:tcPr>
            <w:tcW w:w="900" w:type="dxa"/>
            <w:hideMark/>
          </w:tcPr>
          <w:p w14:paraId="1E035221"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0</w:t>
            </w:r>
          </w:p>
        </w:tc>
        <w:tc>
          <w:tcPr>
            <w:tcW w:w="1200" w:type="dxa"/>
            <w:gridSpan w:val="2"/>
            <w:hideMark/>
          </w:tcPr>
          <w:p w14:paraId="00727ADB"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-.466</w:t>
            </w:r>
          </w:p>
        </w:tc>
        <w:tc>
          <w:tcPr>
            <w:tcW w:w="1200" w:type="dxa"/>
            <w:gridSpan w:val="2"/>
            <w:hideMark/>
          </w:tcPr>
          <w:p w14:paraId="42DFE63F"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-.245</w:t>
            </w:r>
          </w:p>
        </w:tc>
        <w:tc>
          <w:tcPr>
            <w:tcW w:w="600" w:type="dxa"/>
            <w:hideMark/>
          </w:tcPr>
          <w:p w14:paraId="2290CBB1"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w:t>
            </w:r>
          </w:p>
        </w:tc>
      </w:tr>
      <w:tr w:rsidR="00FC49CC" w14:paraId="7C4C4A4F" w14:textId="77777777" w:rsidTr="00FC49CC">
        <w:tc>
          <w:tcPr>
            <w:tcW w:w="1708" w:type="dxa"/>
            <w:hideMark/>
          </w:tcPr>
          <w:p w14:paraId="4C31DC26" w14:textId="77777777" w:rsidR="00FC49CC" w:rsidRDefault="00FC49CC">
            <w:pPr>
              <w:widowControl w:val="0"/>
              <w:autoSpaceDE w:val="0"/>
              <w:autoSpaceDN w:val="0"/>
              <w:adjustRightInd w:val="0"/>
              <w:spacing w:after="0" w:line="240" w:lineRule="auto"/>
              <w:rPr>
                <w:rFonts w:cs="Times New Roman"/>
                <w:sz w:val="20"/>
                <w:szCs w:val="20"/>
              </w:rPr>
            </w:pPr>
            <w:r>
              <w:rPr>
                <w:rFonts w:cs="Times New Roman"/>
                <w:sz w:val="20"/>
                <w:szCs w:val="20"/>
              </w:rPr>
              <w:t>Inflation</w:t>
            </w:r>
          </w:p>
        </w:tc>
        <w:tc>
          <w:tcPr>
            <w:tcW w:w="1200" w:type="dxa"/>
            <w:gridSpan w:val="2"/>
            <w:hideMark/>
          </w:tcPr>
          <w:p w14:paraId="2FD78D39"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-.005</w:t>
            </w:r>
          </w:p>
        </w:tc>
        <w:tc>
          <w:tcPr>
            <w:tcW w:w="1200" w:type="dxa"/>
            <w:hideMark/>
          </w:tcPr>
          <w:p w14:paraId="7B51A15D"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.034</w:t>
            </w:r>
          </w:p>
        </w:tc>
        <w:tc>
          <w:tcPr>
            <w:tcW w:w="850" w:type="dxa"/>
            <w:gridSpan w:val="2"/>
            <w:hideMark/>
          </w:tcPr>
          <w:p w14:paraId="05A86EF1"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-0.15</w:t>
            </w:r>
          </w:p>
        </w:tc>
        <w:tc>
          <w:tcPr>
            <w:tcW w:w="900" w:type="dxa"/>
            <w:hideMark/>
          </w:tcPr>
          <w:p w14:paraId="29B4B44C"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.88</w:t>
            </w:r>
          </w:p>
        </w:tc>
        <w:tc>
          <w:tcPr>
            <w:tcW w:w="1200" w:type="dxa"/>
            <w:gridSpan w:val="2"/>
            <w:hideMark/>
          </w:tcPr>
          <w:p w14:paraId="1475898D"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-.073</w:t>
            </w:r>
          </w:p>
        </w:tc>
        <w:tc>
          <w:tcPr>
            <w:tcW w:w="1200" w:type="dxa"/>
            <w:gridSpan w:val="2"/>
            <w:hideMark/>
          </w:tcPr>
          <w:p w14:paraId="7C2A93B3"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.063</w:t>
            </w:r>
          </w:p>
        </w:tc>
        <w:tc>
          <w:tcPr>
            <w:tcW w:w="600" w:type="dxa"/>
          </w:tcPr>
          <w:p w14:paraId="0871440D" w14:textId="77777777" w:rsidR="00FC49CC" w:rsidRDefault="00FC49CC">
            <w:pPr>
              <w:widowControl w:val="0"/>
              <w:autoSpaceDE w:val="0"/>
              <w:autoSpaceDN w:val="0"/>
              <w:adjustRightInd w:val="0"/>
              <w:spacing w:after="0" w:line="240" w:lineRule="auto"/>
              <w:jc w:val="right"/>
              <w:rPr>
                <w:rFonts w:cs="Times New Roman"/>
                <w:sz w:val="20"/>
                <w:szCs w:val="20"/>
              </w:rPr>
            </w:pPr>
          </w:p>
        </w:tc>
      </w:tr>
      <w:tr w:rsidR="00FC49CC" w14:paraId="012363E2" w14:textId="77777777" w:rsidTr="00FC49CC">
        <w:tc>
          <w:tcPr>
            <w:tcW w:w="1708" w:type="dxa"/>
            <w:hideMark/>
          </w:tcPr>
          <w:p w14:paraId="15CBC39F" w14:textId="77777777" w:rsidR="00FC49CC" w:rsidRDefault="00FC49CC">
            <w:pPr>
              <w:widowControl w:val="0"/>
              <w:autoSpaceDE w:val="0"/>
              <w:autoSpaceDN w:val="0"/>
              <w:adjustRightInd w:val="0"/>
              <w:spacing w:after="0" w:line="240" w:lineRule="auto"/>
              <w:rPr>
                <w:rFonts w:cs="Times New Roman"/>
                <w:sz w:val="20"/>
                <w:szCs w:val="20"/>
              </w:rPr>
            </w:pPr>
            <w:r>
              <w:rPr>
                <w:rFonts w:cs="Times New Roman"/>
                <w:sz w:val="20"/>
                <w:szCs w:val="20"/>
              </w:rPr>
              <w:t>Constant</w:t>
            </w:r>
          </w:p>
        </w:tc>
        <w:tc>
          <w:tcPr>
            <w:tcW w:w="1200" w:type="dxa"/>
            <w:gridSpan w:val="2"/>
            <w:hideMark/>
          </w:tcPr>
          <w:p w14:paraId="451C553F"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17.486</w:t>
            </w:r>
          </w:p>
        </w:tc>
        <w:tc>
          <w:tcPr>
            <w:tcW w:w="1200" w:type="dxa"/>
            <w:hideMark/>
          </w:tcPr>
          <w:p w14:paraId="6AFF2B59"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.977</w:t>
            </w:r>
          </w:p>
        </w:tc>
        <w:tc>
          <w:tcPr>
            <w:tcW w:w="850" w:type="dxa"/>
            <w:gridSpan w:val="2"/>
            <w:hideMark/>
          </w:tcPr>
          <w:p w14:paraId="5A2EF0E3"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17.91</w:t>
            </w:r>
          </w:p>
        </w:tc>
        <w:tc>
          <w:tcPr>
            <w:tcW w:w="900" w:type="dxa"/>
            <w:hideMark/>
          </w:tcPr>
          <w:p w14:paraId="55DC2289"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0</w:t>
            </w:r>
          </w:p>
        </w:tc>
        <w:tc>
          <w:tcPr>
            <w:tcW w:w="1200" w:type="dxa"/>
            <w:gridSpan w:val="2"/>
            <w:hideMark/>
          </w:tcPr>
          <w:p w14:paraId="7925B516"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15.55</w:t>
            </w:r>
          </w:p>
        </w:tc>
        <w:tc>
          <w:tcPr>
            <w:tcW w:w="1200" w:type="dxa"/>
            <w:gridSpan w:val="2"/>
            <w:hideMark/>
          </w:tcPr>
          <w:p w14:paraId="36A10C99"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19.423</w:t>
            </w:r>
          </w:p>
        </w:tc>
        <w:tc>
          <w:tcPr>
            <w:tcW w:w="600" w:type="dxa"/>
            <w:hideMark/>
          </w:tcPr>
          <w:p w14:paraId="5B6D09F2"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w:t>
            </w:r>
          </w:p>
        </w:tc>
      </w:tr>
      <w:tr w:rsidR="00FC49CC" w14:paraId="43A4C7C5" w14:textId="77777777" w:rsidTr="00FC49CC">
        <w:tc>
          <w:tcPr>
            <w:tcW w:w="8858" w:type="dxa"/>
            <w:gridSpan w:val="12"/>
            <w:tcBorders>
              <w:top w:val="nil"/>
              <w:left w:val="nil"/>
              <w:bottom w:val="single" w:sz="4" w:space="0" w:color="auto"/>
              <w:right w:val="nil"/>
            </w:tcBorders>
          </w:tcPr>
          <w:p w14:paraId="45BB75D8" w14:textId="77777777" w:rsidR="00FC49CC" w:rsidRDefault="00FC49CC">
            <w:pPr>
              <w:widowControl w:val="0"/>
              <w:autoSpaceDE w:val="0"/>
              <w:autoSpaceDN w:val="0"/>
              <w:adjustRightInd w:val="0"/>
              <w:spacing w:after="0" w:line="240" w:lineRule="auto"/>
              <w:rPr>
                <w:rFonts w:cs="Times New Roman"/>
                <w:sz w:val="24"/>
                <w:szCs w:val="24"/>
              </w:rPr>
            </w:pPr>
          </w:p>
        </w:tc>
      </w:tr>
      <w:tr w:rsidR="00FC49CC" w14:paraId="02DCBB0C" w14:textId="77777777" w:rsidTr="00FC49CC">
        <w:trPr>
          <w:gridAfter w:val="2"/>
          <w:wAfter w:w="650" w:type="dxa"/>
        </w:trPr>
        <w:tc>
          <w:tcPr>
            <w:tcW w:w="2408" w:type="dxa"/>
            <w:gridSpan w:val="2"/>
            <w:hideMark/>
          </w:tcPr>
          <w:p w14:paraId="2390AFE1" w14:textId="77777777" w:rsidR="00FC49CC" w:rsidRDefault="00FC49CC">
            <w:pPr>
              <w:widowControl w:val="0"/>
              <w:autoSpaceDE w:val="0"/>
              <w:autoSpaceDN w:val="0"/>
              <w:adjustRightInd w:val="0"/>
              <w:spacing w:after="0" w:line="240" w:lineRule="auto"/>
              <w:rPr>
                <w:rFonts w:cs="Times New Roman"/>
                <w:sz w:val="20"/>
                <w:szCs w:val="20"/>
              </w:rPr>
            </w:pPr>
            <w:r>
              <w:rPr>
                <w:rFonts w:cs="Times New Roman"/>
                <w:sz w:val="20"/>
                <w:szCs w:val="20"/>
              </w:rPr>
              <w:lastRenderedPageBreak/>
              <w:t>Mean dependent var</w:t>
            </w:r>
          </w:p>
        </w:tc>
        <w:tc>
          <w:tcPr>
            <w:tcW w:w="1750" w:type="dxa"/>
            <w:gridSpan w:val="3"/>
            <w:hideMark/>
          </w:tcPr>
          <w:p w14:paraId="00B80004"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13.461</w:t>
            </w:r>
          </w:p>
        </w:tc>
        <w:tc>
          <w:tcPr>
            <w:tcW w:w="2300" w:type="dxa"/>
            <w:gridSpan w:val="3"/>
            <w:hideMark/>
          </w:tcPr>
          <w:p w14:paraId="2DE5528D" w14:textId="77777777" w:rsidR="00FC49CC" w:rsidRDefault="00FC49CC">
            <w:pPr>
              <w:widowControl w:val="0"/>
              <w:autoSpaceDE w:val="0"/>
              <w:autoSpaceDN w:val="0"/>
              <w:adjustRightInd w:val="0"/>
              <w:spacing w:after="0" w:line="240" w:lineRule="auto"/>
              <w:rPr>
                <w:rFonts w:cs="Times New Roman"/>
                <w:sz w:val="20"/>
                <w:szCs w:val="20"/>
              </w:rPr>
            </w:pPr>
            <w:r>
              <w:rPr>
                <w:rFonts w:cs="Times New Roman"/>
                <w:sz w:val="20"/>
                <w:szCs w:val="20"/>
              </w:rPr>
              <w:t xml:space="preserve">SD dependent var </w:t>
            </w:r>
          </w:p>
        </w:tc>
        <w:tc>
          <w:tcPr>
            <w:tcW w:w="1750" w:type="dxa"/>
            <w:gridSpan w:val="2"/>
            <w:hideMark/>
          </w:tcPr>
          <w:p w14:paraId="519CAE6F"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3.831</w:t>
            </w:r>
          </w:p>
        </w:tc>
      </w:tr>
      <w:tr w:rsidR="00FC49CC" w14:paraId="1786470D" w14:textId="77777777" w:rsidTr="00FC49CC">
        <w:trPr>
          <w:gridAfter w:val="2"/>
          <w:wAfter w:w="650" w:type="dxa"/>
        </w:trPr>
        <w:tc>
          <w:tcPr>
            <w:tcW w:w="2408" w:type="dxa"/>
            <w:gridSpan w:val="2"/>
            <w:hideMark/>
          </w:tcPr>
          <w:p w14:paraId="69006791" w14:textId="77777777" w:rsidR="00FC49CC" w:rsidRDefault="00FC49CC">
            <w:pPr>
              <w:widowControl w:val="0"/>
              <w:autoSpaceDE w:val="0"/>
              <w:autoSpaceDN w:val="0"/>
              <w:adjustRightInd w:val="0"/>
              <w:spacing w:after="0" w:line="240" w:lineRule="auto"/>
              <w:rPr>
                <w:rFonts w:cs="Times New Roman"/>
                <w:sz w:val="20"/>
                <w:szCs w:val="20"/>
              </w:rPr>
            </w:pPr>
            <w:r>
              <w:rPr>
                <w:rFonts w:cs="Times New Roman"/>
                <w:sz w:val="20"/>
                <w:szCs w:val="20"/>
              </w:rPr>
              <w:t xml:space="preserve">R-squared </w:t>
            </w:r>
          </w:p>
        </w:tc>
        <w:tc>
          <w:tcPr>
            <w:tcW w:w="1750" w:type="dxa"/>
            <w:gridSpan w:val="3"/>
            <w:hideMark/>
          </w:tcPr>
          <w:p w14:paraId="4F9205F6"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0.336</w:t>
            </w:r>
          </w:p>
        </w:tc>
        <w:tc>
          <w:tcPr>
            <w:tcW w:w="2300" w:type="dxa"/>
            <w:gridSpan w:val="3"/>
            <w:hideMark/>
          </w:tcPr>
          <w:p w14:paraId="2FFB8882" w14:textId="77777777" w:rsidR="00FC49CC" w:rsidRDefault="00FC49CC">
            <w:pPr>
              <w:widowControl w:val="0"/>
              <w:autoSpaceDE w:val="0"/>
              <w:autoSpaceDN w:val="0"/>
              <w:adjustRightInd w:val="0"/>
              <w:spacing w:after="0" w:line="240" w:lineRule="auto"/>
              <w:rPr>
                <w:rFonts w:cs="Times New Roman"/>
                <w:sz w:val="20"/>
                <w:szCs w:val="20"/>
              </w:rPr>
            </w:pPr>
            <w:r>
              <w:rPr>
                <w:rFonts w:cs="Times New Roman"/>
                <w:sz w:val="20"/>
                <w:szCs w:val="20"/>
              </w:rPr>
              <w:t xml:space="preserve">Number of </w:t>
            </w:r>
            <w:proofErr w:type="spellStart"/>
            <w:r>
              <w:rPr>
                <w:rFonts w:cs="Times New Roman"/>
                <w:sz w:val="20"/>
                <w:szCs w:val="20"/>
              </w:rPr>
              <w:t>obs</w:t>
            </w:r>
            <w:proofErr w:type="spellEnd"/>
            <w:r>
              <w:rPr>
                <w:rFonts w:cs="Times New Roman"/>
                <w:sz w:val="20"/>
                <w:szCs w:val="20"/>
              </w:rPr>
              <w:t xml:space="preserve">  </w:t>
            </w:r>
          </w:p>
        </w:tc>
        <w:tc>
          <w:tcPr>
            <w:tcW w:w="1750" w:type="dxa"/>
            <w:gridSpan w:val="2"/>
            <w:hideMark/>
          </w:tcPr>
          <w:p w14:paraId="5FB0AA68"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110</w:t>
            </w:r>
          </w:p>
        </w:tc>
      </w:tr>
      <w:tr w:rsidR="00FC49CC" w14:paraId="2C596873" w14:textId="77777777" w:rsidTr="00FC49CC">
        <w:trPr>
          <w:gridAfter w:val="2"/>
          <w:wAfter w:w="650" w:type="dxa"/>
        </w:trPr>
        <w:tc>
          <w:tcPr>
            <w:tcW w:w="2408" w:type="dxa"/>
            <w:gridSpan w:val="2"/>
            <w:hideMark/>
          </w:tcPr>
          <w:p w14:paraId="15608D73" w14:textId="77777777" w:rsidR="00FC49CC" w:rsidRDefault="00FC49CC">
            <w:pPr>
              <w:widowControl w:val="0"/>
              <w:autoSpaceDE w:val="0"/>
              <w:autoSpaceDN w:val="0"/>
              <w:adjustRightInd w:val="0"/>
              <w:spacing w:after="0" w:line="240" w:lineRule="auto"/>
              <w:rPr>
                <w:rFonts w:cs="Times New Roman"/>
                <w:sz w:val="20"/>
                <w:szCs w:val="20"/>
              </w:rPr>
            </w:pPr>
            <w:r>
              <w:rPr>
                <w:rFonts w:cs="Times New Roman"/>
                <w:sz w:val="20"/>
                <w:szCs w:val="20"/>
              </w:rPr>
              <w:t xml:space="preserve">F-test  </w:t>
            </w:r>
          </w:p>
        </w:tc>
        <w:tc>
          <w:tcPr>
            <w:tcW w:w="1750" w:type="dxa"/>
            <w:gridSpan w:val="3"/>
            <w:hideMark/>
          </w:tcPr>
          <w:p w14:paraId="341F3272"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10.212</w:t>
            </w:r>
          </w:p>
        </w:tc>
        <w:tc>
          <w:tcPr>
            <w:tcW w:w="2300" w:type="dxa"/>
            <w:gridSpan w:val="3"/>
            <w:hideMark/>
          </w:tcPr>
          <w:p w14:paraId="2BDF05B3" w14:textId="77777777" w:rsidR="00FC49CC" w:rsidRDefault="00FC49CC">
            <w:pPr>
              <w:widowControl w:val="0"/>
              <w:autoSpaceDE w:val="0"/>
              <w:autoSpaceDN w:val="0"/>
              <w:adjustRightInd w:val="0"/>
              <w:spacing w:after="0" w:line="240" w:lineRule="auto"/>
              <w:rPr>
                <w:rFonts w:cs="Times New Roman"/>
                <w:sz w:val="20"/>
                <w:szCs w:val="20"/>
              </w:rPr>
            </w:pPr>
            <w:r>
              <w:rPr>
                <w:rFonts w:cs="Times New Roman"/>
                <w:sz w:val="20"/>
                <w:szCs w:val="20"/>
              </w:rPr>
              <w:t xml:space="preserve">Prob &gt; F </w:t>
            </w:r>
          </w:p>
        </w:tc>
        <w:tc>
          <w:tcPr>
            <w:tcW w:w="1750" w:type="dxa"/>
            <w:gridSpan w:val="2"/>
            <w:hideMark/>
          </w:tcPr>
          <w:p w14:paraId="25EA660B"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0.000</w:t>
            </w:r>
          </w:p>
        </w:tc>
      </w:tr>
      <w:tr w:rsidR="00FC49CC" w14:paraId="2B19D597" w14:textId="77777777" w:rsidTr="00FC49CC">
        <w:trPr>
          <w:gridAfter w:val="2"/>
          <w:wAfter w:w="650" w:type="dxa"/>
        </w:trPr>
        <w:tc>
          <w:tcPr>
            <w:tcW w:w="2408" w:type="dxa"/>
            <w:gridSpan w:val="2"/>
            <w:hideMark/>
          </w:tcPr>
          <w:p w14:paraId="7D08BCF2" w14:textId="77777777" w:rsidR="00FC49CC" w:rsidRDefault="00FC49CC">
            <w:pPr>
              <w:widowControl w:val="0"/>
              <w:autoSpaceDE w:val="0"/>
              <w:autoSpaceDN w:val="0"/>
              <w:adjustRightInd w:val="0"/>
              <w:spacing w:after="0" w:line="240" w:lineRule="auto"/>
              <w:rPr>
                <w:rFonts w:cs="Times New Roman"/>
                <w:sz w:val="20"/>
                <w:szCs w:val="20"/>
              </w:rPr>
            </w:pPr>
            <w:r>
              <w:rPr>
                <w:rFonts w:cs="Times New Roman"/>
                <w:sz w:val="20"/>
                <w:szCs w:val="20"/>
              </w:rPr>
              <w:t>Akaike crit. (AIC)</w:t>
            </w:r>
          </w:p>
        </w:tc>
        <w:tc>
          <w:tcPr>
            <w:tcW w:w="1750" w:type="dxa"/>
            <w:gridSpan w:val="3"/>
            <w:hideMark/>
          </w:tcPr>
          <w:p w14:paraId="53458075"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573.597</w:t>
            </w:r>
          </w:p>
        </w:tc>
        <w:tc>
          <w:tcPr>
            <w:tcW w:w="2300" w:type="dxa"/>
            <w:gridSpan w:val="3"/>
            <w:hideMark/>
          </w:tcPr>
          <w:p w14:paraId="2C5DDBC0" w14:textId="77777777" w:rsidR="00FC49CC" w:rsidRDefault="00FC49CC">
            <w:pPr>
              <w:widowControl w:val="0"/>
              <w:autoSpaceDE w:val="0"/>
              <w:autoSpaceDN w:val="0"/>
              <w:adjustRightInd w:val="0"/>
              <w:spacing w:after="0" w:line="240" w:lineRule="auto"/>
              <w:rPr>
                <w:rFonts w:cs="Times New Roman"/>
                <w:sz w:val="20"/>
                <w:szCs w:val="20"/>
              </w:rPr>
            </w:pPr>
            <w:r>
              <w:rPr>
                <w:rFonts w:cs="Times New Roman"/>
                <w:sz w:val="20"/>
                <w:szCs w:val="20"/>
              </w:rPr>
              <w:t>Bayesian crit. (BIC)</w:t>
            </w:r>
          </w:p>
        </w:tc>
        <w:tc>
          <w:tcPr>
            <w:tcW w:w="1750" w:type="dxa"/>
            <w:gridSpan w:val="2"/>
            <w:hideMark/>
          </w:tcPr>
          <w:p w14:paraId="27C42706"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589.800</w:t>
            </w:r>
          </w:p>
        </w:tc>
      </w:tr>
      <w:tr w:rsidR="00FC49CC" w14:paraId="0EC17813" w14:textId="77777777" w:rsidTr="00FC49CC">
        <w:tc>
          <w:tcPr>
            <w:tcW w:w="8858" w:type="dxa"/>
            <w:gridSpan w:val="12"/>
            <w:tcBorders>
              <w:top w:val="single" w:sz="6" w:space="0" w:color="auto"/>
              <w:left w:val="nil"/>
              <w:bottom w:val="nil"/>
              <w:right w:val="nil"/>
            </w:tcBorders>
            <w:hideMark/>
          </w:tcPr>
          <w:p w14:paraId="1923D57A" w14:textId="77777777" w:rsidR="00FC49CC" w:rsidRDefault="00FC49CC">
            <w:pPr>
              <w:widowControl w:val="0"/>
              <w:autoSpaceDE w:val="0"/>
              <w:autoSpaceDN w:val="0"/>
              <w:adjustRightInd w:val="0"/>
              <w:spacing w:after="0" w:line="240" w:lineRule="auto"/>
              <w:rPr>
                <w:rFonts w:cs="Times New Roman"/>
                <w:sz w:val="20"/>
                <w:szCs w:val="20"/>
              </w:rPr>
            </w:pPr>
            <w:r>
              <w:rPr>
                <w:rFonts w:cs="Times New Roman"/>
                <w:i/>
                <w:iCs/>
                <w:sz w:val="20"/>
                <w:szCs w:val="20"/>
              </w:rPr>
              <w:t>*** p&lt;.01, ** p&lt;.05, * p&lt;.1</w:t>
            </w:r>
          </w:p>
        </w:tc>
      </w:tr>
      <w:tr w:rsidR="00FC49CC" w14:paraId="317B9540" w14:textId="77777777" w:rsidTr="00FC49CC">
        <w:tc>
          <w:tcPr>
            <w:tcW w:w="8858" w:type="dxa"/>
            <w:gridSpan w:val="12"/>
          </w:tcPr>
          <w:p w14:paraId="2F2820B5" w14:textId="77777777" w:rsidR="00FC49CC" w:rsidRDefault="00FC49CC">
            <w:pPr>
              <w:widowControl w:val="0"/>
              <w:autoSpaceDE w:val="0"/>
              <w:autoSpaceDN w:val="0"/>
              <w:adjustRightInd w:val="0"/>
              <w:spacing w:after="0" w:line="240" w:lineRule="auto"/>
              <w:rPr>
                <w:rFonts w:cs="Times New Roman"/>
                <w:sz w:val="20"/>
                <w:szCs w:val="20"/>
              </w:rPr>
            </w:pPr>
          </w:p>
        </w:tc>
      </w:tr>
    </w:tbl>
    <w:p w14:paraId="296766A0" w14:textId="77777777" w:rsidR="00FC49CC" w:rsidRPr="00744AD4" w:rsidRDefault="00FC49CC" w:rsidP="00541551">
      <w:pPr>
        <w:rPr>
          <w:rFonts w:asciiTheme="majorBidi" w:hAnsiTheme="majorBidi" w:cstheme="majorBidi"/>
          <w:lang w:val="en-US"/>
        </w:rPr>
      </w:pPr>
    </w:p>
    <w:p w14:paraId="3870D38B" w14:textId="687239C6" w:rsidR="00541551" w:rsidRPr="004470DF" w:rsidRDefault="00541551" w:rsidP="004470DF">
      <w:pPr>
        <w:rPr>
          <w:rFonts w:eastAsiaTheme="minorEastAsia"/>
          <w:i/>
          <w:iCs/>
        </w:rPr>
      </w:pPr>
      <w:r w:rsidRPr="00744AD4">
        <w:rPr>
          <w:rFonts w:asciiTheme="majorBidi" w:hAnsiTheme="majorBidi" w:cstheme="majorBidi"/>
          <w:b/>
          <w:bCs/>
          <w:lang w:val="en-US"/>
        </w:rPr>
        <w:t>Regression Model 2:</w:t>
      </w:r>
      <w:r w:rsidRPr="00744AD4">
        <w:rPr>
          <w:rFonts w:asciiTheme="majorBidi" w:hAnsiTheme="majorBidi" w:cstheme="majorBidi"/>
          <w:lang w:val="en-US"/>
        </w:rPr>
        <w:t xml:space="preserve"> In this model</w:t>
      </w:r>
      <w:r w:rsidR="004470DF">
        <w:rPr>
          <w:rFonts w:asciiTheme="majorBidi" w:hAnsiTheme="majorBidi" w:cstheme="majorBidi"/>
          <w:lang w:val="en-US"/>
        </w:rPr>
        <w:t xml:space="preserve"> </w:t>
      </w:r>
      <w:r w:rsidR="004470DF">
        <w:rPr>
          <w:rFonts w:eastAsiaTheme="minorEastAsia"/>
          <w:i/>
          <w:iCs/>
        </w:rPr>
        <w:t>Ratings = 17.486 + 3.055 * ESG + 0 *</w:t>
      </w:r>
      <w:proofErr w:type="spellStart"/>
      <w:r w:rsidR="004470DF">
        <w:rPr>
          <w:rFonts w:eastAsiaTheme="minorEastAsia"/>
          <w:i/>
          <w:iCs/>
        </w:rPr>
        <w:t>GDPperCapita</w:t>
      </w:r>
      <w:proofErr w:type="spellEnd"/>
      <w:r w:rsidR="004470DF">
        <w:rPr>
          <w:rFonts w:eastAsiaTheme="minorEastAsia"/>
          <w:i/>
          <w:iCs/>
        </w:rPr>
        <w:t xml:space="preserve"> – 0.355 * Unemployment + 0.003 * Inflation +</w:t>
      </w:r>
      <w:proofErr w:type="gramStart"/>
      <w:r w:rsidR="004470DF">
        <w:rPr>
          <w:rFonts w:eastAsiaTheme="minorEastAsia" w:cs="Times New Roman"/>
          <w:i/>
          <w:iCs/>
        </w:rPr>
        <w:t>ε</w:t>
      </w:r>
      <w:r w:rsidR="004470DF">
        <w:rPr>
          <w:rFonts w:eastAsiaTheme="minorEastAsia"/>
          <w:i/>
          <w:iCs/>
        </w:rPr>
        <w:t xml:space="preserve"> </w:t>
      </w:r>
      <w:r w:rsidRPr="00744AD4">
        <w:rPr>
          <w:rFonts w:asciiTheme="majorBidi" w:hAnsiTheme="majorBidi" w:cstheme="majorBidi"/>
          <w:lang w:val="en-US"/>
        </w:rPr>
        <w:t>,</w:t>
      </w:r>
      <w:proofErr w:type="gramEnd"/>
      <w:r w:rsidRPr="00744AD4">
        <w:rPr>
          <w:rFonts w:asciiTheme="majorBidi" w:hAnsiTheme="majorBidi" w:cstheme="majorBidi"/>
          <w:lang w:val="en-US"/>
        </w:rPr>
        <w:t xml:space="preserve"> we regress </w:t>
      </w:r>
      <w:proofErr w:type="spellStart"/>
      <w:r w:rsidRPr="00744AD4">
        <w:rPr>
          <w:rFonts w:asciiTheme="majorBidi" w:hAnsiTheme="majorBidi" w:cstheme="majorBidi"/>
          <w:lang w:val="en-US"/>
        </w:rPr>
        <w:t>averating</w:t>
      </w:r>
      <w:proofErr w:type="spellEnd"/>
      <w:r w:rsidRPr="00744AD4">
        <w:rPr>
          <w:rFonts w:asciiTheme="majorBidi" w:hAnsiTheme="majorBidi" w:cstheme="majorBidi"/>
          <w:lang w:val="en-US"/>
        </w:rPr>
        <w:t xml:space="preserve"> on ESG, GDP per Capita, Unemployment, and Inflation. The results reveal:</w:t>
      </w:r>
    </w:p>
    <w:p w14:paraId="5B704E4A" w14:textId="77777777" w:rsidR="00541551" w:rsidRPr="00744AD4" w:rsidRDefault="00541551" w:rsidP="00541551">
      <w:pPr>
        <w:numPr>
          <w:ilvl w:val="0"/>
          <w:numId w:val="10"/>
        </w:numPr>
        <w:spacing w:before="0" w:beforeAutospacing="0" w:after="160" w:afterAutospacing="0"/>
        <w:jc w:val="left"/>
        <w:rPr>
          <w:rFonts w:asciiTheme="majorBidi" w:hAnsiTheme="majorBidi" w:cstheme="majorBidi"/>
          <w:lang w:val="en-US"/>
        </w:rPr>
      </w:pPr>
      <w:r w:rsidRPr="00744AD4">
        <w:rPr>
          <w:rFonts w:asciiTheme="majorBidi" w:hAnsiTheme="majorBidi" w:cstheme="majorBidi"/>
          <w:lang w:val="en-US"/>
        </w:rPr>
        <w:t xml:space="preserve">ESG has a significant positive effect (Coef. = 2.319, p &lt; 0.001) on </w:t>
      </w:r>
      <w:proofErr w:type="spellStart"/>
      <w:r w:rsidRPr="00744AD4">
        <w:rPr>
          <w:rFonts w:asciiTheme="majorBidi" w:hAnsiTheme="majorBidi" w:cstheme="majorBidi"/>
          <w:lang w:val="en-US"/>
        </w:rPr>
        <w:t>averating</w:t>
      </w:r>
      <w:proofErr w:type="spellEnd"/>
      <w:r w:rsidRPr="00744AD4">
        <w:rPr>
          <w:rFonts w:asciiTheme="majorBidi" w:hAnsiTheme="majorBidi" w:cstheme="majorBidi"/>
          <w:lang w:val="en-US"/>
        </w:rPr>
        <w:t>.</w:t>
      </w:r>
    </w:p>
    <w:p w14:paraId="7E786211" w14:textId="77777777" w:rsidR="00541551" w:rsidRPr="00744AD4" w:rsidRDefault="00541551" w:rsidP="00541551">
      <w:pPr>
        <w:numPr>
          <w:ilvl w:val="0"/>
          <w:numId w:val="10"/>
        </w:numPr>
        <w:spacing w:before="0" w:beforeAutospacing="0" w:after="160" w:afterAutospacing="0"/>
        <w:jc w:val="left"/>
        <w:rPr>
          <w:rFonts w:asciiTheme="majorBidi" w:hAnsiTheme="majorBidi" w:cstheme="majorBidi"/>
          <w:lang w:val="en-US"/>
        </w:rPr>
      </w:pPr>
      <w:r w:rsidRPr="00744AD4">
        <w:rPr>
          <w:rFonts w:asciiTheme="majorBidi" w:hAnsiTheme="majorBidi" w:cstheme="majorBidi"/>
          <w:lang w:val="en-US"/>
        </w:rPr>
        <w:t>GDP per Capita has a non-significant effect (Coef. = 0, p = 0.006).</w:t>
      </w:r>
    </w:p>
    <w:p w14:paraId="6B5729AC" w14:textId="77777777" w:rsidR="00541551" w:rsidRPr="00744AD4" w:rsidRDefault="00541551" w:rsidP="00541551">
      <w:pPr>
        <w:numPr>
          <w:ilvl w:val="0"/>
          <w:numId w:val="10"/>
        </w:numPr>
        <w:spacing w:before="0" w:beforeAutospacing="0" w:after="160" w:afterAutospacing="0"/>
        <w:jc w:val="left"/>
        <w:rPr>
          <w:rFonts w:asciiTheme="majorBidi" w:hAnsiTheme="majorBidi" w:cstheme="majorBidi"/>
          <w:lang w:val="en-US"/>
        </w:rPr>
      </w:pPr>
      <w:r w:rsidRPr="00744AD4">
        <w:rPr>
          <w:rFonts w:asciiTheme="majorBidi" w:hAnsiTheme="majorBidi" w:cstheme="majorBidi"/>
          <w:lang w:val="en-US"/>
        </w:rPr>
        <w:t xml:space="preserve">Unemployment negatively influences </w:t>
      </w:r>
      <w:proofErr w:type="spellStart"/>
      <w:r w:rsidRPr="00744AD4">
        <w:rPr>
          <w:rFonts w:asciiTheme="majorBidi" w:hAnsiTheme="majorBidi" w:cstheme="majorBidi"/>
          <w:lang w:val="en-US"/>
        </w:rPr>
        <w:t>averating</w:t>
      </w:r>
      <w:proofErr w:type="spellEnd"/>
      <w:r w:rsidRPr="00744AD4">
        <w:rPr>
          <w:rFonts w:asciiTheme="majorBidi" w:hAnsiTheme="majorBidi" w:cstheme="majorBidi"/>
          <w:lang w:val="en-US"/>
        </w:rPr>
        <w:t xml:space="preserve"> (Coef. = -0.35, p &lt; 0.001).</w:t>
      </w:r>
    </w:p>
    <w:p w14:paraId="09E6A34C" w14:textId="77777777" w:rsidR="00541551" w:rsidRPr="00744AD4" w:rsidRDefault="00541551" w:rsidP="00541551">
      <w:pPr>
        <w:numPr>
          <w:ilvl w:val="0"/>
          <w:numId w:val="10"/>
        </w:numPr>
        <w:spacing w:before="0" w:beforeAutospacing="0" w:after="160" w:afterAutospacing="0"/>
        <w:jc w:val="left"/>
        <w:rPr>
          <w:rFonts w:asciiTheme="majorBidi" w:hAnsiTheme="majorBidi" w:cstheme="majorBidi"/>
          <w:lang w:val="en-US"/>
        </w:rPr>
      </w:pPr>
      <w:r w:rsidRPr="00744AD4">
        <w:rPr>
          <w:rFonts w:asciiTheme="majorBidi" w:hAnsiTheme="majorBidi" w:cstheme="majorBidi"/>
          <w:lang w:val="en-US"/>
        </w:rPr>
        <w:t>Inflation does not significantly affect the dependent variable.</w:t>
      </w:r>
    </w:p>
    <w:p w14:paraId="70135F2B" w14:textId="77777777" w:rsidR="00541551" w:rsidRDefault="00541551" w:rsidP="00541551">
      <w:pPr>
        <w:rPr>
          <w:rFonts w:asciiTheme="majorBidi" w:hAnsiTheme="majorBidi" w:cstheme="majorBidi"/>
          <w:lang w:val="en-US"/>
        </w:rPr>
      </w:pPr>
      <w:r w:rsidRPr="00744AD4">
        <w:rPr>
          <w:rFonts w:asciiTheme="majorBidi" w:hAnsiTheme="majorBidi" w:cstheme="majorBidi"/>
          <w:lang w:val="en-US"/>
        </w:rPr>
        <w:t xml:space="preserve">The R-squared value for this model is 0.322, indicating that around 32.2% of the variation in </w:t>
      </w:r>
      <w:proofErr w:type="spellStart"/>
      <w:r w:rsidRPr="00744AD4">
        <w:rPr>
          <w:rFonts w:asciiTheme="majorBidi" w:hAnsiTheme="majorBidi" w:cstheme="majorBidi"/>
          <w:lang w:val="en-US"/>
        </w:rPr>
        <w:t>averating</w:t>
      </w:r>
      <w:proofErr w:type="spellEnd"/>
      <w:r w:rsidRPr="00744AD4">
        <w:rPr>
          <w:rFonts w:asciiTheme="majorBidi" w:hAnsiTheme="majorBidi" w:cstheme="majorBidi"/>
          <w:lang w:val="en-US"/>
        </w:rPr>
        <w:t xml:space="preserve"> is explained by the independent variables. The F-test (11.754) underscores the statistical significance of the regression model.</w:t>
      </w:r>
    </w:p>
    <w:p w14:paraId="1CEBA8A7" w14:textId="6C649B8D" w:rsidR="00FC49CC" w:rsidRDefault="00FC49CC" w:rsidP="00FC49CC">
      <w:pPr>
        <w:pStyle w:val="Caption"/>
        <w:rPr>
          <w:rFonts w:cs="Times New Roman"/>
          <w:sz w:val="24"/>
          <w:szCs w:val="24"/>
        </w:rPr>
      </w:pPr>
      <w:r>
        <w:t xml:space="preserve">Table </w:t>
      </w:r>
      <w:fldSimple w:instr=" SEQ Table \* ARABIC ">
        <w:r>
          <w:rPr>
            <w:noProof/>
          </w:rPr>
          <w:t>5</w:t>
        </w:r>
      </w:fldSimple>
      <w:r>
        <w:rPr>
          <w:lang w:val="en-US"/>
        </w:rPr>
        <w:t xml:space="preserve"> Second Regression</w:t>
      </w:r>
    </w:p>
    <w:tbl>
      <w:tblPr>
        <w:tblW w:w="0" w:type="auto"/>
        <w:tblLayout w:type="fixed"/>
        <w:tblLook w:val="04A0" w:firstRow="1" w:lastRow="0" w:firstColumn="1" w:lastColumn="0" w:noHBand="0" w:noVBand="1"/>
      </w:tblPr>
      <w:tblGrid>
        <w:gridCol w:w="1708"/>
        <w:gridCol w:w="700"/>
        <w:gridCol w:w="500"/>
        <w:gridCol w:w="1200"/>
        <w:gridCol w:w="50"/>
        <w:gridCol w:w="800"/>
        <w:gridCol w:w="900"/>
        <w:gridCol w:w="600"/>
        <w:gridCol w:w="600"/>
        <w:gridCol w:w="1150"/>
        <w:gridCol w:w="50"/>
        <w:gridCol w:w="600"/>
      </w:tblGrid>
      <w:tr w:rsidR="00FC49CC" w14:paraId="77D18913" w14:textId="77777777" w:rsidTr="00FC49CC">
        <w:tc>
          <w:tcPr>
            <w:tcW w:w="1708" w:type="dxa"/>
            <w:tcBorders>
              <w:top w:val="single" w:sz="4" w:space="0" w:color="auto"/>
              <w:left w:val="nil"/>
              <w:bottom w:val="single" w:sz="8" w:space="0" w:color="auto"/>
              <w:right w:val="nil"/>
            </w:tcBorders>
            <w:hideMark/>
          </w:tcPr>
          <w:p w14:paraId="17B1D075" w14:textId="77777777" w:rsidR="00FC49CC" w:rsidRDefault="00FC49CC">
            <w:pPr>
              <w:widowControl w:val="0"/>
              <w:autoSpaceDE w:val="0"/>
              <w:autoSpaceDN w:val="0"/>
              <w:adjustRightInd w:val="0"/>
              <w:spacing w:after="0" w:line="240" w:lineRule="auto"/>
              <w:rPr>
                <w:rFonts w:cs="Times New Roman"/>
                <w:sz w:val="20"/>
                <w:szCs w:val="20"/>
              </w:rPr>
            </w:pPr>
            <w:r>
              <w:rPr>
                <w:rFonts w:cs="Times New Roman"/>
                <w:sz w:val="20"/>
                <w:szCs w:val="20"/>
              </w:rPr>
              <w:t xml:space="preserve"> </w:t>
            </w:r>
            <w:proofErr w:type="spellStart"/>
            <w:r>
              <w:rPr>
                <w:rFonts w:cs="Times New Roman"/>
                <w:sz w:val="20"/>
                <w:szCs w:val="20"/>
              </w:rPr>
              <w:t>averating</w:t>
            </w:r>
            <w:proofErr w:type="spellEnd"/>
          </w:p>
        </w:tc>
        <w:tc>
          <w:tcPr>
            <w:tcW w:w="1200" w:type="dxa"/>
            <w:gridSpan w:val="2"/>
            <w:tcBorders>
              <w:top w:val="single" w:sz="4" w:space="0" w:color="auto"/>
              <w:left w:val="nil"/>
              <w:bottom w:val="single" w:sz="8" w:space="0" w:color="auto"/>
              <w:right w:val="nil"/>
            </w:tcBorders>
            <w:hideMark/>
          </w:tcPr>
          <w:p w14:paraId="1B96DE6A"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 xml:space="preserve"> Coef.</w:t>
            </w:r>
          </w:p>
        </w:tc>
        <w:tc>
          <w:tcPr>
            <w:tcW w:w="1200" w:type="dxa"/>
            <w:tcBorders>
              <w:top w:val="single" w:sz="4" w:space="0" w:color="auto"/>
              <w:left w:val="nil"/>
              <w:bottom w:val="single" w:sz="8" w:space="0" w:color="auto"/>
              <w:right w:val="nil"/>
            </w:tcBorders>
            <w:hideMark/>
          </w:tcPr>
          <w:p w14:paraId="05DF4E0C"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 xml:space="preserve"> </w:t>
            </w:r>
            <w:proofErr w:type="spellStart"/>
            <w:proofErr w:type="gramStart"/>
            <w:r>
              <w:rPr>
                <w:rFonts w:cs="Times New Roman"/>
                <w:sz w:val="20"/>
                <w:szCs w:val="20"/>
              </w:rPr>
              <w:t>St.Err</w:t>
            </w:r>
            <w:proofErr w:type="spellEnd"/>
            <w:proofErr w:type="gramEnd"/>
            <w:r>
              <w:rPr>
                <w:rFonts w:cs="Times New Roman"/>
                <w:sz w:val="20"/>
                <w:szCs w:val="20"/>
              </w:rPr>
              <w:t>.</w:t>
            </w:r>
          </w:p>
        </w:tc>
        <w:tc>
          <w:tcPr>
            <w:tcW w:w="850" w:type="dxa"/>
            <w:gridSpan w:val="2"/>
            <w:tcBorders>
              <w:top w:val="single" w:sz="4" w:space="0" w:color="auto"/>
              <w:left w:val="nil"/>
              <w:bottom w:val="single" w:sz="8" w:space="0" w:color="auto"/>
              <w:right w:val="nil"/>
            </w:tcBorders>
            <w:hideMark/>
          </w:tcPr>
          <w:p w14:paraId="62C1C50D"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 xml:space="preserve"> t-value</w:t>
            </w:r>
          </w:p>
        </w:tc>
        <w:tc>
          <w:tcPr>
            <w:tcW w:w="900" w:type="dxa"/>
            <w:tcBorders>
              <w:top w:val="single" w:sz="4" w:space="0" w:color="auto"/>
              <w:left w:val="nil"/>
              <w:bottom w:val="single" w:sz="8" w:space="0" w:color="auto"/>
              <w:right w:val="nil"/>
            </w:tcBorders>
            <w:hideMark/>
          </w:tcPr>
          <w:p w14:paraId="3EB16162"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 xml:space="preserve"> p-value</w:t>
            </w:r>
          </w:p>
        </w:tc>
        <w:tc>
          <w:tcPr>
            <w:tcW w:w="1200" w:type="dxa"/>
            <w:gridSpan w:val="2"/>
            <w:tcBorders>
              <w:top w:val="single" w:sz="4" w:space="0" w:color="auto"/>
              <w:left w:val="nil"/>
              <w:bottom w:val="single" w:sz="8" w:space="0" w:color="auto"/>
              <w:right w:val="nil"/>
            </w:tcBorders>
            <w:hideMark/>
          </w:tcPr>
          <w:p w14:paraId="35F1C864"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 xml:space="preserve"> [95% Conf</w:t>
            </w:r>
          </w:p>
        </w:tc>
        <w:tc>
          <w:tcPr>
            <w:tcW w:w="1200" w:type="dxa"/>
            <w:gridSpan w:val="2"/>
            <w:tcBorders>
              <w:top w:val="single" w:sz="4" w:space="0" w:color="auto"/>
              <w:left w:val="nil"/>
              <w:bottom w:val="single" w:sz="8" w:space="0" w:color="auto"/>
              <w:right w:val="nil"/>
            </w:tcBorders>
            <w:hideMark/>
          </w:tcPr>
          <w:p w14:paraId="17A16B5D"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 xml:space="preserve"> Interval]</w:t>
            </w:r>
          </w:p>
        </w:tc>
        <w:tc>
          <w:tcPr>
            <w:tcW w:w="600" w:type="dxa"/>
            <w:tcBorders>
              <w:top w:val="single" w:sz="4" w:space="0" w:color="auto"/>
              <w:left w:val="nil"/>
              <w:bottom w:val="single" w:sz="8" w:space="0" w:color="auto"/>
              <w:right w:val="nil"/>
            </w:tcBorders>
            <w:hideMark/>
          </w:tcPr>
          <w:p w14:paraId="26A089C1"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 xml:space="preserve"> Sig</w:t>
            </w:r>
          </w:p>
        </w:tc>
      </w:tr>
      <w:tr w:rsidR="00FC49CC" w14:paraId="6804C2DA" w14:textId="77777777" w:rsidTr="00FC49CC">
        <w:tc>
          <w:tcPr>
            <w:tcW w:w="1708" w:type="dxa"/>
            <w:hideMark/>
          </w:tcPr>
          <w:p w14:paraId="3C84A78C" w14:textId="77777777" w:rsidR="00FC49CC" w:rsidRDefault="00FC49CC">
            <w:pPr>
              <w:widowControl w:val="0"/>
              <w:autoSpaceDE w:val="0"/>
              <w:autoSpaceDN w:val="0"/>
              <w:adjustRightInd w:val="0"/>
              <w:spacing w:after="0" w:line="240" w:lineRule="auto"/>
              <w:rPr>
                <w:rFonts w:cs="Times New Roman"/>
                <w:sz w:val="20"/>
                <w:szCs w:val="20"/>
              </w:rPr>
            </w:pPr>
            <w:r>
              <w:rPr>
                <w:rFonts w:cs="Times New Roman"/>
                <w:sz w:val="20"/>
                <w:szCs w:val="20"/>
              </w:rPr>
              <w:t>ESG</w:t>
            </w:r>
          </w:p>
        </w:tc>
        <w:tc>
          <w:tcPr>
            <w:tcW w:w="1200" w:type="dxa"/>
            <w:gridSpan w:val="2"/>
            <w:hideMark/>
          </w:tcPr>
          <w:p w14:paraId="481C7343"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2.319</w:t>
            </w:r>
          </w:p>
        </w:tc>
        <w:tc>
          <w:tcPr>
            <w:tcW w:w="1200" w:type="dxa"/>
            <w:hideMark/>
          </w:tcPr>
          <w:p w14:paraId="067E9D2C"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.67</w:t>
            </w:r>
          </w:p>
        </w:tc>
        <w:tc>
          <w:tcPr>
            <w:tcW w:w="850" w:type="dxa"/>
            <w:gridSpan w:val="2"/>
            <w:hideMark/>
          </w:tcPr>
          <w:p w14:paraId="42604D91"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3.46</w:t>
            </w:r>
          </w:p>
        </w:tc>
        <w:tc>
          <w:tcPr>
            <w:tcW w:w="900" w:type="dxa"/>
            <w:hideMark/>
          </w:tcPr>
          <w:p w14:paraId="038C9071"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.001</w:t>
            </w:r>
          </w:p>
        </w:tc>
        <w:tc>
          <w:tcPr>
            <w:tcW w:w="1200" w:type="dxa"/>
            <w:gridSpan w:val="2"/>
            <w:hideMark/>
          </w:tcPr>
          <w:p w14:paraId="428DED95"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.991</w:t>
            </w:r>
          </w:p>
        </w:tc>
        <w:tc>
          <w:tcPr>
            <w:tcW w:w="1200" w:type="dxa"/>
            <w:gridSpan w:val="2"/>
            <w:hideMark/>
          </w:tcPr>
          <w:p w14:paraId="59E03F40"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3.647</w:t>
            </w:r>
          </w:p>
        </w:tc>
        <w:tc>
          <w:tcPr>
            <w:tcW w:w="600" w:type="dxa"/>
            <w:hideMark/>
          </w:tcPr>
          <w:p w14:paraId="0AE75717"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w:t>
            </w:r>
          </w:p>
        </w:tc>
      </w:tr>
      <w:tr w:rsidR="00FC49CC" w14:paraId="69048583" w14:textId="77777777" w:rsidTr="00FC49CC">
        <w:tc>
          <w:tcPr>
            <w:tcW w:w="1708" w:type="dxa"/>
            <w:hideMark/>
          </w:tcPr>
          <w:p w14:paraId="19B41990" w14:textId="77777777" w:rsidR="00FC49CC" w:rsidRDefault="00FC49CC">
            <w:pPr>
              <w:widowControl w:val="0"/>
              <w:autoSpaceDE w:val="0"/>
              <w:autoSpaceDN w:val="0"/>
              <w:adjustRightInd w:val="0"/>
              <w:spacing w:after="0" w:line="240" w:lineRule="auto"/>
              <w:rPr>
                <w:rFonts w:cs="Times New Roman"/>
                <w:sz w:val="20"/>
                <w:szCs w:val="20"/>
              </w:rPr>
            </w:pPr>
            <w:proofErr w:type="spellStart"/>
            <w:r>
              <w:rPr>
                <w:rFonts w:cs="Times New Roman"/>
                <w:sz w:val="20"/>
                <w:szCs w:val="20"/>
              </w:rPr>
              <w:t>GDPperCapita</w:t>
            </w:r>
            <w:proofErr w:type="spellEnd"/>
          </w:p>
        </w:tc>
        <w:tc>
          <w:tcPr>
            <w:tcW w:w="1200" w:type="dxa"/>
            <w:gridSpan w:val="2"/>
            <w:hideMark/>
          </w:tcPr>
          <w:p w14:paraId="2D456029"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0</w:t>
            </w:r>
          </w:p>
        </w:tc>
        <w:tc>
          <w:tcPr>
            <w:tcW w:w="1200" w:type="dxa"/>
            <w:hideMark/>
          </w:tcPr>
          <w:p w14:paraId="5986DD3C"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0</w:t>
            </w:r>
          </w:p>
        </w:tc>
        <w:tc>
          <w:tcPr>
            <w:tcW w:w="850" w:type="dxa"/>
            <w:gridSpan w:val="2"/>
            <w:hideMark/>
          </w:tcPr>
          <w:p w14:paraId="25E2268F"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-2.78</w:t>
            </w:r>
          </w:p>
        </w:tc>
        <w:tc>
          <w:tcPr>
            <w:tcW w:w="900" w:type="dxa"/>
            <w:hideMark/>
          </w:tcPr>
          <w:p w14:paraId="6FEDF4AB"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.006</w:t>
            </w:r>
          </w:p>
        </w:tc>
        <w:tc>
          <w:tcPr>
            <w:tcW w:w="1200" w:type="dxa"/>
            <w:gridSpan w:val="2"/>
            <w:hideMark/>
          </w:tcPr>
          <w:p w14:paraId="16D03138"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0</w:t>
            </w:r>
          </w:p>
        </w:tc>
        <w:tc>
          <w:tcPr>
            <w:tcW w:w="1200" w:type="dxa"/>
            <w:gridSpan w:val="2"/>
            <w:hideMark/>
          </w:tcPr>
          <w:p w14:paraId="4BFCF6CD"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0</w:t>
            </w:r>
          </w:p>
        </w:tc>
        <w:tc>
          <w:tcPr>
            <w:tcW w:w="600" w:type="dxa"/>
            <w:hideMark/>
          </w:tcPr>
          <w:p w14:paraId="4294FEEC"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w:t>
            </w:r>
          </w:p>
        </w:tc>
      </w:tr>
      <w:tr w:rsidR="00FC49CC" w14:paraId="428A37DF" w14:textId="77777777" w:rsidTr="00FC49CC">
        <w:tc>
          <w:tcPr>
            <w:tcW w:w="1708" w:type="dxa"/>
            <w:hideMark/>
          </w:tcPr>
          <w:p w14:paraId="6D82F45D" w14:textId="77777777" w:rsidR="00FC49CC" w:rsidRDefault="00FC49CC">
            <w:pPr>
              <w:widowControl w:val="0"/>
              <w:autoSpaceDE w:val="0"/>
              <w:autoSpaceDN w:val="0"/>
              <w:adjustRightInd w:val="0"/>
              <w:spacing w:after="0" w:line="240" w:lineRule="auto"/>
              <w:rPr>
                <w:rFonts w:cs="Times New Roman"/>
                <w:sz w:val="20"/>
                <w:szCs w:val="20"/>
              </w:rPr>
            </w:pPr>
            <w:r>
              <w:rPr>
                <w:rFonts w:cs="Times New Roman"/>
                <w:sz w:val="20"/>
                <w:szCs w:val="20"/>
              </w:rPr>
              <w:t>Unemployment</w:t>
            </w:r>
          </w:p>
        </w:tc>
        <w:tc>
          <w:tcPr>
            <w:tcW w:w="1200" w:type="dxa"/>
            <w:gridSpan w:val="2"/>
            <w:hideMark/>
          </w:tcPr>
          <w:p w14:paraId="53E584B4"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-.35</w:t>
            </w:r>
          </w:p>
        </w:tc>
        <w:tc>
          <w:tcPr>
            <w:tcW w:w="1200" w:type="dxa"/>
            <w:hideMark/>
          </w:tcPr>
          <w:p w14:paraId="2720BD0B"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.057</w:t>
            </w:r>
          </w:p>
        </w:tc>
        <w:tc>
          <w:tcPr>
            <w:tcW w:w="850" w:type="dxa"/>
            <w:gridSpan w:val="2"/>
            <w:hideMark/>
          </w:tcPr>
          <w:p w14:paraId="2E0105B2"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-6.18</w:t>
            </w:r>
          </w:p>
        </w:tc>
        <w:tc>
          <w:tcPr>
            <w:tcW w:w="900" w:type="dxa"/>
            <w:hideMark/>
          </w:tcPr>
          <w:p w14:paraId="78444811"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0</w:t>
            </w:r>
          </w:p>
        </w:tc>
        <w:tc>
          <w:tcPr>
            <w:tcW w:w="1200" w:type="dxa"/>
            <w:gridSpan w:val="2"/>
            <w:hideMark/>
          </w:tcPr>
          <w:p w14:paraId="6E8D9C2C"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-.462</w:t>
            </w:r>
          </w:p>
        </w:tc>
        <w:tc>
          <w:tcPr>
            <w:tcW w:w="1200" w:type="dxa"/>
            <w:gridSpan w:val="2"/>
            <w:hideMark/>
          </w:tcPr>
          <w:p w14:paraId="49AD48AF"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-.238</w:t>
            </w:r>
          </w:p>
        </w:tc>
        <w:tc>
          <w:tcPr>
            <w:tcW w:w="600" w:type="dxa"/>
            <w:hideMark/>
          </w:tcPr>
          <w:p w14:paraId="17CA2F6D"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w:t>
            </w:r>
          </w:p>
        </w:tc>
      </w:tr>
      <w:tr w:rsidR="00FC49CC" w14:paraId="251FF689" w14:textId="77777777" w:rsidTr="00FC49CC">
        <w:tc>
          <w:tcPr>
            <w:tcW w:w="1708" w:type="dxa"/>
            <w:hideMark/>
          </w:tcPr>
          <w:p w14:paraId="4B8E4698" w14:textId="77777777" w:rsidR="00FC49CC" w:rsidRDefault="00FC49CC">
            <w:pPr>
              <w:widowControl w:val="0"/>
              <w:autoSpaceDE w:val="0"/>
              <w:autoSpaceDN w:val="0"/>
              <w:adjustRightInd w:val="0"/>
              <w:spacing w:after="0" w:line="240" w:lineRule="auto"/>
              <w:rPr>
                <w:rFonts w:cs="Times New Roman"/>
                <w:sz w:val="20"/>
                <w:szCs w:val="20"/>
              </w:rPr>
            </w:pPr>
            <w:r>
              <w:rPr>
                <w:rFonts w:cs="Times New Roman"/>
                <w:sz w:val="20"/>
                <w:szCs w:val="20"/>
              </w:rPr>
              <w:t>Inflation</w:t>
            </w:r>
          </w:p>
        </w:tc>
        <w:tc>
          <w:tcPr>
            <w:tcW w:w="1200" w:type="dxa"/>
            <w:gridSpan w:val="2"/>
            <w:hideMark/>
          </w:tcPr>
          <w:p w14:paraId="2C37143B"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.003</w:t>
            </w:r>
          </w:p>
        </w:tc>
        <w:tc>
          <w:tcPr>
            <w:tcW w:w="1200" w:type="dxa"/>
            <w:hideMark/>
          </w:tcPr>
          <w:p w14:paraId="580FDB32"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.035</w:t>
            </w:r>
          </w:p>
        </w:tc>
        <w:tc>
          <w:tcPr>
            <w:tcW w:w="850" w:type="dxa"/>
            <w:gridSpan w:val="2"/>
            <w:hideMark/>
          </w:tcPr>
          <w:p w14:paraId="7358FD1B"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0.08</w:t>
            </w:r>
          </w:p>
        </w:tc>
        <w:tc>
          <w:tcPr>
            <w:tcW w:w="900" w:type="dxa"/>
            <w:hideMark/>
          </w:tcPr>
          <w:p w14:paraId="37F2DCE3"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.934</w:t>
            </w:r>
          </w:p>
        </w:tc>
        <w:tc>
          <w:tcPr>
            <w:tcW w:w="1200" w:type="dxa"/>
            <w:gridSpan w:val="2"/>
            <w:hideMark/>
          </w:tcPr>
          <w:p w14:paraId="7B10AF7A"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-.067</w:t>
            </w:r>
          </w:p>
        </w:tc>
        <w:tc>
          <w:tcPr>
            <w:tcW w:w="1200" w:type="dxa"/>
            <w:gridSpan w:val="2"/>
            <w:hideMark/>
          </w:tcPr>
          <w:p w14:paraId="4A28D24E"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.072</w:t>
            </w:r>
          </w:p>
        </w:tc>
        <w:tc>
          <w:tcPr>
            <w:tcW w:w="600" w:type="dxa"/>
          </w:tcPr>
          <w:p w14:paraId="1B18E543" w14:textId="77777777" w:rsidR="00FC49CC" w:rsidRDefault="00FC49CC">
            <w:pPr>
              <w:widowControl w:val="0"/>
              <w:autoSpaceDE w:val="0"/>
              <w:autoSpaceDN w:val="0"/>
              <w:adjustRightInd w:val="0"/>
              <w:spacing w:after="0" w:line="240" w:lineRule="auto"/>
              <w:jc w:val="right"/>
              <w:rPr>
                <w:rFonts w:cs="Times New Roman"/>
                <w:sz w:val="20"/>
                <w:szCs w:val="20"/>
              </w:rPr>
            </w:pPr>
          </w:p>
        </w:tc>
      </w:tr>
      <w:tr w:rsidR="00FC49CC" w14:paraId="27EDFC6F" w14:textId="77777777" w:rsidTr="00FC49CC">
        <w:tc>
          <w:tcPr>
            <w:tcW w:w="1708" w:type="dxa"/>
            <w:hideMark/>
          </w:tcPr>
          <w:p w14:paraId="5641AC47" w14:textId="77777777" w:rsidR="00FC49CC" w:rsidRDefault="00FC49CC">
            <w:pPr>
              <w:widowControl w:val="0"/>
              <w:autoSpaceDE w:val="0"/>
              <w:autoSpaceDN w:val="0"/>
              <w:adjustRightInd w:val="0"/>
              <w:spacing w:after="0" w:line="240" w:lineRule="auto"/>
              <w:rPr>
                <w:rFonts w:cs="Times New Roman"/>
                <w:sz w:val="20"/>
                <w:szCs w:val="20"/>
              </w:rPr>
            </w:pPr>
            <w:r>
              <w:rPr>
                <w:rFonts w:cs="Times New Roman"/>
                <w:sz w:val="20"/>
                <w:szCs w:val="20"/>
              </w:rPr>
              <w:t>Constant</w:t>
            </w:r>
          </w:p>
        </w:tc>
        <w:tc>
          <w:tcPr>
            <w:tcW w:w="1200" w:type="dxa"/>
            <w:gridSpan w:val="2"/>
            <w:hideMark/>
          </w:tcPr>
          <w:p w14:paraId="307AF6B6"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17.358</w:t>
            </w:r>
          </w:p>
        </w:tc>
        <w:tc>
          <w:tcPr>
            <w:tcW w:w="1200" w:type="dxa"/>
            <w:hideMark/>
          </w:tcPr>
          <w:p w14:paraId="78577290"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.965</w:t>
            </w:r>
          </w:p>
        </w:tc>
        <w:tc>
          <w:tcPr>
            <w:tcW w:w="850" w:type="dxa"/>
            <w:gridSpan w:val="2"/>
            <w:hideMark/>
          </w:tcPr>
          <w:p w14:paraId="4DD30555"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17.98</w:t>
            </w:r>
          </w:p>
        </w:tc>
        <w:tc>
          <w:tcPr>
            <w:tcW w:w="900" w:type="dxa"/>
            <w:hideMark/>
          </w:tcPr>
          <w:p w14:paraId="33807402"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0</w:t>
            </w:r>
          </w:p>
        </w:tc>
        <w:tc>
          <w:tcPr>
            <w:tcW w:w="1200" w:type="dxa"/>
            <w:gridSpan w:val="2"/>
            <w:hideMark/>
          </w:tcPr>
          <w:p w14:paraId="61EF3A4E"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15.444</w:t>
            </w:r>
          </w:p>
        </w:tc>
        <w:tc>
          <w:tcPr>
            <w:tcW w:w="1200" w:type="dxa"/>
            <w:gridSpan w:val="2"/>
            <w:hideMark/>
          </w:tcPr>
          <w:p w14:paraId="319CAA6A"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19.272</w:t>
            </w:r>
          </w:p>
        </w:tc>
        <w:tc>
          <w:tcPr>
            <w:tcW w:w="600" w:type="dxa"/>
            <w:hideMark/>
          </w:tcPr>
          <w:p w14:paraId="62426372"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w:t>
            </w:r>
          </w:p>
        </w:tc>
      </w:tr>
      <w:tr w:rsidR="00FC49CC" w14:paraId="6385C28B" w14:textId="77777777" w:rsidTr="00FC49CC">
        <w:tc>
          <w:tcPr>
            <w:tcW w:w="8858" w:type="dxa"/>
            <w:gridSpan w:val="12"/>
            <w:tcBorders>
              <w:top w:val="nil"/>
              <w:left w:val="nil"/>
              <w:bottom w:val="single" w:sz="4" w:space="0" w:color="auto"/>
              <w:right w:val="nil"/>
            </w:tcBorders>
          </w:tcPr>
          <w:p w14:paraId="6FF9F701" w14:textId="77777777" w:rsidR="00FC49CC" w:rsidRDefault="00FC49CC">
            <w:pPr>
              <w:widowControl w:val="0"/>
              <w:autoSpaceDE w:val="0"/>
              <w:autoSpaceDN w:val="0"/>
              <w:adjustRightInd w:val="0"/>
              <w:spacing w:after="0" w:line="240" w:lineRule="auto"/>
              <w:rPr>
                <w:rFonts w:cs="Times New Roman"/>
                <w:sz w:val="24"/>
                <w:szCs w:val="24"/>
              </w:rPr>
            </w:pPr>
          </w:p>
        </w:tc>
      </w:tr>
      <w:tr w:rsidR="00FC49CC" w14:paraId="64C2E858" w14:textId="77777777" w:rsidTr="00FC49CC">
        <w:trPr>
          <w:gridAfter w:val="2"/>
          <w:wAfter w:w="650" w:type="dxa"/>
        </w:trPr>
        <w:tc>
          <w:tcPr>
            <w:tcW w:w="2408" w:type="dxa"/>
            <w:gridSpan w:val="2"/>
            <w:hideMark/>
          </w:tcPr>
          <w:p w14:paraId="1D853EF7" w14:textId="77777777" w:rsidR="00FC49CC" w:rsidRDefault="00FC49CC">
            <w:pPr>
              <w:widowControl w:val="0"/>
              <w:autoSpaceDE w:val="0"/>
              <w:autoSpaceDN w:val="0"/>
              <w:adjustRightInd w:val="0"/>
              <w:spacing w:after="0" w:line="240" w:lineRule="auto"/>
              <w:rPr>
                <w:rFonts w:cs="Times New Roman"/>
                <w:sz w:val="20"/>
                <w:szCs w:val="20"/>
              </w:rPr>
            </w:pPr>
            <w:r>
              <w:rPr>
                <w:rFonts w:cs="Times New Roman"/>
                <w:sz w:val="20"/>
                <w:szCs w:val="20"/>
              </w:rPr>
              <w:t>Mean dependent var</w:t>
            </w:r>
          </w:p>
        </w:tc>
        <w:tc>
          <w:tcPr>
            <w:tcW w:w="1750" w:type="dxa"/>
            <w:gridSpan w:val="3"/>
            <w:hideMark/>
          </w:tcPr>
          <w:p w14:paraId="1BCD55DC"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13.461</w:t>
            </w:r>
          </w:p>
        </w:tc>
        <w:tc>
          <w:tcPr>
            <w:tcW w:w="2300" w:type="dxa"/>
            <w:gridSpan w:val="3"/>
            <w:hideMark/>
          </w:tcPr>
          <w:p w14:paraId="2F63A161" w14:textId="77777777" w:rsidR="00FC49CC" w:rsidRDefault="00FC49CC">
            <w:pPr>
              <w:widowControl w:val="0"/>
              <w:autoSpaceDE w:val="0"/>
              <w:autoSpaceDN w:val="0"/>
              <w:adjustRightInd w:val="0"/>
              <w:spacing w:after="0" w:line="240" w:lineRule="auto"/>
              <w:rPr>
                <w:rFonts w:cs="Times New Roman"/>
                <w:sz w:val="20"/>
                <w:szCs w:val="20"/>
              </w:rPr>
            </w:pPr>
            <w:r>
              <w:rPr>
                <w:rFonts w:cs="Times New Roman"/>
                <w:sz w:val="20"/>
                <w:szCs w:val="20"/>
              </w:rPr>
              <w:t xml:space="preserve">SD dependent var </w:t>
            </w:r>
          </w:p>
        </w:tc>
        <w:tc>
          <w:tcPr>
            <w:tcW w:w="1750" w:type="dxa"/>
            <w:gridSpan w:val="2"/>
            <w:hideMark/>
          </w:tcPr>
          <w:p w14:paraId="1C32D285"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3.831</w:t>
            </w:r>
          </w:p>
        </w:tc>
      </w:tr>
      <w:tr w:rsidR="00FC49CC" w14:paraId="17990DFC" w14:textId="77777777" w:rsidTr="00FC49CC">
        <w:trPr>
          <w:gridAfter w:val="2"/>
          <w:wAfter w:w="650" w:type="dxa"/>
        </w:trPr>
        <w:tc>
          <w:tcPr>
            <w:tcW w:w="2408" w:type="dxa"/>
            <w:gridSpan w:val="2"/>
            <w:hideMark/>
          </w:tcPr>
          <w:p w14:paraId="2458625E" w14:textId="77777777" w:rsidR="00FC49CC" w:rsidRDefault="00FC49CC">
            <w:pPr>
              <w:widowControl w:val="0"/>
              <w:autoSpaceDE w:val="0"/>
              <w:autoSpaceDN w:val="0"/>
              <w:adjustRightInd w:val="0"/>
              <w:spacing w:after="0" w:line="240" w:lineRule="auto"/>
              <w:rPr>
                <w:rFonts w:cs="Times New Roman"/>
                <w:sz w:val="20"/>
                <w:szCs w:val="20"/>
              </w:rPr>
            </w:pPr>
            <w:r>
              <w:rPr>
                <w:rFonts w:cs="Times New Roman"/>
                <w:sz w:val="20"/>
                <w:szCs w:val="20"/>
              </w:rPr>
              <w:t xml:space="preserve">R-squared </w:t>
            </w:r>
          </w:p>
        </w:tc>
        <w:tc>
          <w:tcPr>
            <w:tcW w:w="1750" w:type="dxa"/>
            <w:gridSpan w:val="3"/>
            <w:hideMark/>
          </w:tcPr>
          <w:p w14:paraId="6DC2874A"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0.322</w:t>
            </w:r>
          </w:p>
        </w:tc>
        <w:tc>
          <w:tcPr>
            <w:tcW w:w="2300" w:type="dxa"/>
            <w:gridSpan w:val="3"/>
            <w:hideMark/>
          </w:tcPr>
          <w:p w14:paraId="5ACD053D" w14:textId="77777777" w:rsidR="00FC49CC" w:rsidRDefault="00FC49CC">
            <w:pPr>
              <w:widowControl w:val="0"/>
              <w:autoSpaceDE w:val="0"/>
              <w:autoSpaceDN w:val="0"/>
              <w:adjustRightInd w:val="0"/>
              <w:spacing w:after="0" w:line="240" w:lineRule="auto"/>
              <w:rPr>
                <w:rFonts w:cs="Times New Roman"/>
                <w:sz w:val="20"/>
                <w:szCs w:val="20"/>
              </w:rPr>
            </w:pPr>
            <w:r>
              <w:rPr>
                <w:rFonts w:cs="Times New Roman"/>
                <w:sz w:val="20"/>
                <w:szCs w:val="20"/>
              </w:rPr>
              <w:t xml:space="preserve">Number of </w:t>
            </w:r>
            <w:proofErr w:type="spellStart"/>
            <w:r>
              <w:rPr>
                <w:rFonts w:cs="Times New Roman"/>
                <w:sz w:val="20"/>
                <w:szCs w:val="20"/>
              </w:rPr>
              <w:t>obs</w:t>
            </w:r>
            <w:proofErr w:type="spellEnd"/>
            <w:r>
              <w:rPr>
                <w:rFonts w:cs="Times New Roman"/>
                <w:sz w:val="20"/>
                <w:szCs w:val="20"/>
              </w:rPr>
              <w:t xml:space="preserve">  </w:t>
            </w:r>
          </w:p>
        </w:tc>
        <w:tc>
          <w:tcPr>
            <w:tcW w:w="1750" w:type="dxa"/>
            <w:gridSpan w:val="2"/>
            <w:hideMark/>
          </w:tcPr>
          <w:p w14:paraId="064EC99C"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110</w:t>
            </w:r>
          </w:p>
        </w:tc>
      </w:tr>
      <w:tr w:rsidR="00FC49CC" w14:paraId="3EDF3446" w14:textId="77777777" w:rsidTr="00FC49CC">
        <w:trPr>
          <w:gridAfter w:val="2"/>
          <w:wAfter w:w="650" w:type="dxa"/>
        </w:trPr>
        <w:tc>
          <w:tcPr>
            <w:tcW w:w="2408" w:type="dxa"/>
            <w:gridSpan w:val="2"/>
            <w:hideMark/>
          </w:tcPr>
          <w:p w14:paraId="65BA4BBE" w14:textId="77777777" w:rsidR="00FC49CC" w:rsidRDefault="00FC49CC">
            <w:pPr>
              <w:widowControl w:val="0"/>
              <w:autoSpaceDE w:val="0"/>
              <w:autoSpaceDN w:val="0"/>
              <w:adjustRightInd w:val="0"/>
              <w:spacing w:after="0" w:line="240" w:lineRule="auto"/>
              <w:rPr>
                <w:rFonts w:cs="Times New Roman"/>
                <w:sz w:val="20"/>
                <w:szCs w:val="20"/>
              </w:rPr>
            </w:pPr>
            <w:r>
              <w:rPr>
                <w:rFonts w:cs="Times New Roman"/>
                <w:sz w:val="20"/>
                <w:szCs w:val="20"/>
              </w:rPr>
              <w:t xml:space="preserve">F-test  </w:t>
            </w:r>
          </w:p>
        </w:tc>
        <w:tc>
          <w:tcPr>
            <w:tcW w:w="1750" w:type="dxa"/>
            <w:gridSpan w:val="3"/>
            <w:hideMark/>
          </w:tcPr>
          <w:p w14:paraId="36F8B800"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11.754</w:t>
            </w:r>
          </w:p>
        </w:tc>
        <w:tc>
          <w:tcPr>
            <w:tcW w:w="2300" w:type="dxa"/>
            <w:gridSpan w:val="3"/>
            <w:hideMark/>
          </w:tcPr>
          <w:p w14:paraId="7EB7BB20" w14:textId="77777777" w:rsidR="00FC49CC" w:rsidRDefault="00FC49CC">
            <w:pPr>
              <w:widowControl w:val="0"/>
              <w:autoSpaceDE w:val="0"/>
              <w:autoSpaceDN w:val="0"/>
              <w:adjustRightInd w:val="0"/>
              <w:spacing w:after="0" w:line="240" w:lineRule="auto"/>
              <w:rPr>
                <w:rFonts w:cs="Times New Roman"/>
                <w:sz w:val="20"/>
                <w:szCs w:val="20"/>
              </w:rPr>
            </w:pPr>
            <w:r>
              <w:rPr>
                <w:rFonts w:cs="Times New Roman"/>
                <w:sz w:val="20"/>
                <w:szCs w:val="20"/>
              </w:rPr>
              <w:t xml:space="preserve">Prob &gt; F </w:t>
            </w:r>
          </w:p>
        </w:tc>
        <w:tc>
          <w:tcPr>
            <w:tcW w:w="1750" w:type="dxa"/>
            <w:gridSpan w:val="2"/>
            <w:hideMark/>
          </w:tcPr>
          <w:p w14:paraId="6992C6BD"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0.000</w:t>
            </w:r>
          </w:p>
        </w:tc>
      </w:tr>
      <w:tr w:rsidR="00FC49CC" w14:paraId="35C76552" w14:textId="77777777" w:rsidTr="00FC49CC">
        <w:trPr>
          <w:gridAfter w:val="2"/>
          <w:wAfter w:w="650" w:type="dxa"/>
        </w:trPr>
        <w:tc>
          <w:tcPr>
            <w:tcW w:w="2408" w:type="dxa"/>
            <w:gridSpan w:val="2"/>
            <w:hideMark/>
          </w:tcPr>
          <w:p w14:paraId="13E545B0" w14:textId="77777777" w:rsidR="00FC49CC" w:rsidRDefault="00FC49CC">
            <w:pPr>
              <w:widowControl w:val="0"/>
              <w:autoSpaceDE w:val="0"/>
              <w:autoSpaceDN w:val="0"/>
              <w:adjustRightInd w:val="0"/>
              <w:spacing w:after="0" w:line="240" w:lineRule="auto"/>
              <w:rPr>
                <w:rFonts w:cs="Times New Roman"/>
                <w:sz w:val="20"/>
                <w:szCs w:val="20"/>
              </w:rPr>
            </w:pPr>
            <w:r>
              <w:rPr>
                <w:rFonts w:cs="Times New Roman"/>
                <w:sz w:val="20"/>
                <w:szCs w:val="20"/>
              </w:rPr>
              <w:t>Akaike crit. (AIC)</w:t>
            </w:r>
          </w:p>
        </w:tc>
        <w:tc>
          <w:tcPr>
            <w:tcW w:w="1750" w:type="dxa"/>
            <w:gridSpan w:val="3"/>
            <w:hideMark/>
          </w:tcPr>
          <w:p w14:paraId="5DAF25C3"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573.945</w:t>
            </w:r>
          </w:p>
        </w:tc>
        <w:tc>
          <w:tcPr>
            <w:tcW w:w="2300" w:type="dxa"/>
            <w:gridSpan w:val="3"/>
            <w:hideMark/>
          </w:tcPr>
          <w:p w14:paraId="234885DB" w14:textId="77777777" w:rsidR="00FC49CC" w:rsidRDefault="00FC49CC">
            <w:pPr>
              <w:widowControl w:val="0"/>
              <w:autoSpaceDE w:val="0"/>
              <w:autoSpaceDN w:val="0"/>
              <w:adjustRightInd w:val="0"/>
              <w:spacing w:after="0" w:line="240" w:lineRule="auto"/>
              <w:rPr>
                <w:rFonts w:cs="Times New Roman"/>
                <w:sz w:val="20"/>
                <w:szCs w:val="20"/>
              </w:rPr>
            </w:pPr>
            <w:r>
              <w:rPr>
                <w:rFonts w:cs="Times New Roman"/>
                <w:sz w:val="20"/>
                <w:szCs w:val="20"/>
              </w:rPr>
              <w:t>Bayesian crit. (BIC)</w:t>
            </w:r>
          </w:p>
        </w:tc>
        <w:tc>
          <w:tcPr>
            <w:tcW w:w="1750" w:type="dxa"/>
            <w:gridSpan w:val="2"/>
            <w:hideMark/>
          </w:tcPr>
          <w:p w14:paraId="3043D822" w14:textId="77777777" w:rsidR="00FC49CC" w:rsidRDefault="00FC49CC">
            <w:pPr>
              <w:widowControl w:val="0"/>
              <w:autoSpaceDE w:val="0"/>
              <w:autoSpaceDN w:val="0"/>
              <w:adjustRightInd w:val="0"/>
              <w:spacing w:after="0" w:line="240" w:lineRule="auto"/>
              <w:jc w:val="right"/>
              <w:rPr>
                <w:rFonts w:cs="Times New Roman"/>
                <w:sz w:val="20"/>
                <w:szCs w:val="20"/>
              </w:rPr>
            </w:pPr>
            <w:r>
              <w:rPr>
                <w:rFonts w:cs="Times New Roman"/>
                <w:sz w:val="20"/>
                <w:szCs w:val="20"/>
              </w:rPr>
              <w:t>587.447</w:t>
            </w:r>
          </w:p>
        </w:tc>
      </w:tr>
      <w:tr w:rsidR="00FC49CC" w14:paraId="787B3773" w14:textId="77777777" w:rsidTr="00FC49CC">
        <w:tc>
          <w:tcPr>
            <w:tcW w:w="8858" w:type="dxa"/>
            <w:gridSpan w:val="12"/>
            <w:tcBorders>
              <w:top w:val="single" w:sz="6" w:space="0" w:color="auto"/>
              <w:left w:val="nil"/>
              <w:bottom w:val="nil"/>
              <w:right w:val="nil"/>
            </w:tcBorders>
            <w:hideMark/>
          </w:tcPr>
          <w:p w14:paraId="3D86D3E1" w14:textId="77777777" w:rsidR="00FC49CC" w:rsidRDefault="00FC49CC">
            <w:pPr>
              <w:widowControl w:val="0"/>
              <w:autoSpaceDE w:val="0"/>
              <w:autoSpaceDN w:val="0"/>
              <w:adjustRightInd w:val="0"/>
              <w:spacing w:after="0" w:line="240" w:lineRule="auto"/>
              <w:rPr>
                <w:rFonts w:cs="Times New Roman"/>
                <w:sz w:val="20"/>
                <w:szCs w:val="20"/>
              </w:rPr>
            </w:pPr>
            <w:r>
              <w:rPr>
                <w:rFonts w:cs="Times New Roman"/>
                <w:i/>
                <w:iCs/>
                <w:sz w:val="20"/>
                <w:szCs w:val="20"/>
              </w:rPr>
              <w:t>*** p&lt;.01, ** p&lt;.05, * p&lt;.1</w:t>
            </w:r>
          </w:p>
        </w:tc>
      </w:tr>
      <w:tr w:rsidR="00FC49CC" w14:paraId="0BA508CC" w14:textId="77777777" w:rsidTr="00FC49CC">
        <w:tc>
          <w:tcPr>
            <w:tcW w:w="8858" w:type="dxa"/>
            <w:gridSpan w:val="12"/>
          </w:tcPr>
          <w:p w14:paraId="2A0B3961" w14:textId="77777777" w:rsidR="00FC49CC" w:rsidRDefault="00FC49CC">
            <w:pPr>
              <w:widowControl w:val="0"/>
              <w:autoSpaceDE w:val="0"/>
              <w:autoSpaceDN w:val="0"/>
              <w:adjustRightInd w:val="0"/>
              <w:spacing w:after="0" w:line="240" w:lineRule="auto"/>
              <w:rPr>
                <w:rFonts w:cs="Times New Roman"/>
                <w:sz w:val="20"/>
                <w:szCs w:val="20"/>
              </w:rPr>
            </w:pPr>
          </w:p>
        </w:tc>
      </w:tr>
    </w:tbl>
    <w:p w14:paraId="118848CF" w14:textId="77777777" w:rsidR="00FC49CC" w:rsidRPr="00744AD4" w:rsidRDefault="00FC49CC" w:rsidP="00541551">
      <w:pPr>
        <w:rPr>
          <w:rFonts w:asciiTheme="majorBidi" w:hAnsiTheme="majorBidi" w:cstheme="majorBidi"/>
          <w:lang w:val="en-US"/>
        </w:rPr>
      </w:pPr>
    </w:p>
    <w:p w14:paraId="3236D62E" w14:textId="77777777" w:rsidR="00541551" w:rsidRPr="00744AD4" w:rsidRDefault="00541551" w:rsidP="00541551">
      <w:pPr>
        <w:rPr>
          <w:rFonts w:asciiTheme="majorBidi" w:hAnsiTheme="majorBidi" w:cstheme="majorBidi"/>
          <w:lang w:val="en-US"/>
        </w:rPr>
      </w:pPr>
      <w:r w:rsidRPr="00744AD4">
        <w:rPr>
          <w:rFonts w:asciiTheme="majorBidi" w:hAnsiTheme="majorBidi" w:cstheme="majorBidi"/>
          <w:b/>
          <w:bCs/>
          <w:lang w:val="en-US"/>
        </w:rPr>
        <w:t>3. Descriptive Statistics:</w:t>
      </w:r>
    </w:p>
    <w:p w14:paraId="324CFA33" w14:textId="5CB17FA2" w:rsidR="004470DF" w:rsidRPr="00FF538C" w:rsidRDefault="00541551" w:rsidP="00FF538C">
      <w:pPr>
        <w:rPr>
          <w:rFonts w:asciiTheme="majorBidi" w:hAnsiTheme="majorBidi" w:cstheme="majorBidi"/>
          <w:lang w:val="en-US"/>
        </w:rPr>
      </w:pPr>
      <w:r w:rsidRPr="00744AD4">
        <w:rPr>
          <w:rFonts w:asciiTheme="majorBidi" w:hAnsiTheme="majorBidi" w:cstheme="majorBidi"/>
          <w:lang w:val="en-US"/>
        </w:rPr>
        <w:t xml:space="preserve">We conclude our analysis with descriptive statistics for the variables involved. These statistics provide insights into the central tendency, variability, and range of the variables. Notably, ESG scores range </w:t>
      </w:r>
      <w:r w:rsidRPr="00744AD4">
        <w:rPr>
          <w:rFonts w:asciiTheme="majorBidi" w:hAnsiTheme="majorBidi" w:cstheme="majorBidi"/>
          <w:lang w:val="en-US"/>
        </w:rPr>
        <w:lastRenderedPageBreak/>
        <w:t>from -0.309 to 1.599, GDP per Capita varies widely, and Unemployment has a mean of 10.389 with a substantial standard deviation.</w:t>
      </w:r>
    </w:p>
    <w:p w14:paraId="47895306" w14:textId="47DADC94" w:rsidR="00FC49CC" w:rsidRDefault="00FC49CC" w:rsidP="00FC49CC">
      <w:pPr>
        <w:pStyle w:val="Caption"/>
        <w:rPr>
          <w:rFonts w:cs="Times New Roman"/>
          <w:sz w:val="24"/>
          <w:szCs w:val="24"/>
        </w:rPr>
      </w:pPr>
      <w:r>
        <w:t xml:space="preserve">Table </w:t>
      </w:r>
      <w:fldSimple w:instr=" SEQ Table \* ARABIC ">
        <w:r>
          <w:rPr>
            <w:noProof/>
          </w:rPr>
          <w:t>6</w:t>
        </w:r>
      </w:fldSimple>
      <w:r>
        <w:rPr>
          <w:lang w:val="en-US"/>
        </w:rPr>
        <w:t xml:space="preserve"> </w:t>
      </w:r>
      <w:r w:rsidRPr="009657E0">
        <w:rPr>
          <w:lang w:val="en-US"/>
        </w:rPr>
        <w:t>Descriptive Statistics</w:t>
      </w:r>
    </w:p>
    <w:tbl>
      <w:tblPr>
        <w:tblW w:w="0" w:type="auto"/>
        <w:tblLayout w:type="fixed"/>
        <w:tblLook w:val="04A0" w:firstRow="1" w:lastRow="0" w:firstColumn="1" w:lastColumn="0" w:noHBand="0" w:noVBand="1"/>
      </w:tblPr>
      <w:tblGrid>
        <w:gridCol w:w="2508"/>
        <w:gridCol w:w="800"/>
        <w:gridCol w:w="1400"/>
        <w:gridCol w:w="1400"/>
        <w:gridCol w:w="1400"/>
        <w:gridCol w:w="1400"/>
      </w:tblGrid>
      <w:tr w:rsidR="00FC49CC" w14:paraId="7FC3775B" w14:textId="77777777" w:rsidTr="00FC49CC">
        <w:tc>
          <w:tcPr>
            <w:tcW w:w="2508" w:type="dxa"/>
            <w:tcBorders>
              <w:top w:val="single" w:sz="4" w:space="0" w:color="auto"/>
              <w:left w:val="nil"/>
              <w:bottom w:val="single" w:sz="12" w:space="0" w:color="auto"/>
              <w:right w:val="nil"/>
            </w:tcBorders>
            <w:hideMark/>
          </w:tcPr>
          <w:p w14:paraId="7A42FA92" w14:textId="77777777" w:rsidR="00FC49CC" w:rsidRDefault="00FC49CC">
            <w:pPr>
              <w:widowControl w:val="0"/>
              <w:autoSpaceDE w:val="0"/>
              <w:autoSpaceDN w:val="0"/>
              <w:adjustRightInd w:val="0"/>
              <w:spacing w:after="0" w:line="240" w:lineRule="auto"/>
              <w:rPr>
                <w:rFonts w:cs="Times New Roman"/>
                <w:sz w:val="24"/>
                <w:szCs w:val="24"/>
              </w:rPr>
            </w:pPr>
            <w:r>
              <w:rPr>
                <w:rFonts w:cs="Times New Roman"/>
                <w:sz w:val="24"/>
                <w:szCs w:val="24"/>
              </w:rPr>
              <w:t xml:space="preserve"> Variable</w:t>
            </w:r>
          </w:p>
        </w:tc>
        <w:tc>
          <w:tcPr>
            <w:tcW w:w="800" w:type="dxa"/>
            <w:tcBorders>
              <w:top w:val="single" w:sz="4" w:space="0" w:color="auto"/>
              <w:left w:val="nil"/>
              <w:bottom w:val="single" w:sz="12" w:space="0" w:color="auto"/>
              <w:right w:val="nil"/>
            </w:tcBorders>
            <w:hideMark/>
          </w:tcPr>
          <w:p w14:paraId="7693BABB" w14:textId="77777777" w:rsidR="00FC49CC" w:rsidRDefault="00FC49CC">
            <w:pPr>
              <w:widowControl w:val="0"/>
              <w:autoSpaceDE w:val="0"/>
              <w:autoSpaceDN w:val="0"/>
              <w:adjustRightInd w:val="0"/>
              <w:spacing w:after="0" w:line="240" w:lineRule="auto"/>
              <w:jc w:val="right"/>
              <w:rPr>
                <w:rFonts w:cs="Times New Roman"/>
                <w:sz w:val="24"/>
                <w:szCs w:val="24"/>
              </w:rPr>
            </w:pPr>
            <w:r>
              <w:rPr>
                <w:rFonts w:cs="Times New Roman"/>
                <w:sz w:val="24"/>
                <w:szCs w:val="24"/>
              </w:rPr>
              <w:t xml:space="preserve"> </w:t>
            </w:r>
            <w:proofErr w:type="spellStart"/>
            <w:r>
              <w:rPr>
                <w:rFonts w:cs="Times New Roman"/>
                <w:sz w:val="24"/>
                <w:szCs w:val="24"/>
              </w:rPr>
              <w:t>Obs</w:t>
            </w:r>
            <w:proofErr w:type="spellEnd"/>
          </w:p>
        </w:tc>
        <w:tc>
          <w:tcPr>
            <w:tcW w:w="1400" w:type="dxa"/>
            <w:tcBorders>
              <w:top w:val="single" w:sz="4" w:space="0" w:color="auto"/>
              <w:left w:val="nil"/>
              <w:bottom w:val="single" w:sz="12" w:space="0" w:color="auto"/>
              <w:right w:val="nil"/>
            </w:tcBorders>
            <w:hideMark/>
          </w:tcPr>
          <w:p w14:paraId="1C6F9657" w14:textId="77777777" w:rsidR="00FC49CC" w:rsidRDefault="00FC49CC">
            <w:pPr>
              <w:widowControl w:val="0"/>
              <w:autoSpaceDE w:val="0"/>
              <w:autoSpaceDN w:val="0"/>
              <w:adjustRightInd w:val="0"/>
              <w:spacing w:after="0" w:line="240" w:lineRule="auto"/>
              <w:jc w:val="right"/>
              <w:rPr>
                <w:rFonts w:cs="Times New Roman"/>
                <w:sz w:val="24"/>
                <w:szCs w:val="24"/>
              </w:rPr>
            </w:pPr>
            <w:r>
              <w:rPr>
                <w:rFonts w:cs="Times New Roman"/>
                <w:sz w:val="24"/>
                <w:szCs w:val="24"/>
              </w:rPr>
              <w:t xml:space="preserve"> Mean</w:t>
            </w:r>
          </w:p>
        </w:tc>
        <w:tc>
          <w:tcPr>
            <w:tcW w:w="1400" w:type="dxa"/>
            <w:tcBorders>
              <w:top w:val="single" w:sz="4" w:space="0" w:color="auto"/>
              <w:left w:val="nil"/>
              <w:bottom w:val="single" w:sz="12" w:space="0" w:color="auto"/>
              <w:right w:val="nil"/>
            </w:tcBorders>
            <w:hideMark/>
          </w:tcPr>
          <w:p w14:paraId="7FE74B90" w14:textId="77777777" w:rsidR="00FC49CC" w:rsidRDefault="00FC49CC">
            <w:pPr>
              <w:widowControl w:val="0"/>
              <w:autoSpaceDE w:val="0"/>
              <w:autoSpaceDN w:val="0"/>
              <w:adjustRightInd w:val="0"/>
              <w:spacing w:after="0" w:line="240" w:lineRule="auto"/>
              <w:jc w:val="right"/>
              <w:rPr>
                <w:rFonts w:cs="Times New Roman"/>
                <w:sz w:val="24"/>
                <w:szCs w:val="24"/>
              </w:rPr>
            </w:pPr>
            <w:r>
              <w:rPr>
                <w:rFonts w:cs="Times New Roman"/>
                <w:sz w:val="24"/>
                <w:szCs w:val="24"/>
              </w:rPr>
              <w:t xml:space="preserve"> Std. Dev.</w:t>
            </w:r>
          </w:p>
        </w:tc>
        <w:tc>
          <w:tcPr>
            <w:tcW w:w="1400" w:type="dxa"/>
            <w:tcBorders>
              <w:top w:val="single" w:sz="4" w:space="0" w:color="auto"/>
              <w:left w:val="nil"/>
              <w:bottom w:val="single" w:sz="12" w:space="0" w:color="auto"/>
              <w:right w:val="nil"/>
            </w:tcBorders>
            <w:hideMark/>
          </w:tcPr>
          <w:p w14:paraId="674AC9D9" w14:textId="77777777" w:rsidR="00FC49CC" w:rsidRDefault="00FC49CC">
            <w:pPr>
              <w:widowControl w:val="0"/>
              <w:autoSpaceDE w:val="0"/>
              <w:autoSpaceDN w:val="0"/>
              <w:adjustRightInd w:val="0"/>
              <w:spacing w:after="0" w:line="240" w:lineRule="auto"/>
              <w:jc w:val="right"/>
              <w:rPr>
                <w:rFonts w:cs="Times New Roman"/>
                <w:sz w:val="24"/>
                <w:szCs w:val="24"/>
              </w:rPr>
            </w:pPr>
            <w:r>
              <w:rPr>
                <w:rFonts w:cs="Times New Roman"/>
                <w:sz w:val="24"/>
                <w:szCs w:val="24"/>
              </w:rPr>
              <w:t xml:space="preserve"> Min</w:t>
            </w:r>
          </w:p>
        </w:tc>
        <w:tc>
          <w:tcPr>
            <w:tcW w:w="1400" w:type="dxa"/>
            <w:tcBorders>
              <w:top w:val="single" w:sz="4" w:space="0" w:color="auto"/>
              <w:left w:val="nil"/>
              <w:bottom w:val="single" w:sz="12" w:space="0" w:color="auto"/>
              <w:right w:val="nil"/>
            </w:tcBorders>
            <w:hideMark/>
          </w:tcPr>
          <w:p w14:paraId="3B2E7175" w14:textId="77777777" w:rsidR="00FC49CC" w:rsidRDefault="00FC49CC">
            <w:pPr>
              <w:widowControl w:val="0"/>
              <w:autoSpaceDE w:val="0"/>
              <w:autoSpaceDN w:val="0"/>
              <w:adjustRightInd w:val="0"/>
              <w:spacing w:after="0" w:line="240" w:lineRule="auto"/>
              <w:jc w:val="right"/>
              <w:rPr>
                <w:rFonts w:cs="Times New Roman"/>
                <w:sz w:val="24"/>
                <w:szCs w:val="24"/>
              </w:rPr>
            </w:pPr>
            <w:r>
              <w:rPr>
                <w:rFonts w:cs="Times New Roman"/>
                <w:sz w:val="24"/>
                <w:szCs w:val="24"/>
              </w:rPr>
              <w:t xml:space="preserve"> Max</w:t>
            </w:r>
          </w:p>
        </w:tc>
      </w:tr>
      <w:tr w:rsidR="00FC49CC" w14:paraId="10480162" w14:textId="77777777" w:rsidTr="00FC49CC">
        <w:tc>
          <w:tcPr>
            <w:tcW w:w="2508" w:type="dxa"/>
            <w:hideMark/>
          </w:tcPr>
          <w:p w14:paraId="08C6E6CE" w14:textId="77777777" w:rsidR="00FC49CC" w:rsidRDefault="00FC49CC">
            <w:pPr>
              <w:widowControl w:val="0"/>
              <w:autoSpaceDE w:val="0"/>
              <w:autoSpaceDN w:val="0"/>
              <w:adjustRightInd w:val="0"/>
              <w:spacing w:after="0" w:line="240" w:lineRule="auto"/>
              <w:rPr>
                <w:rFonts w:cs="Times New Roman"/>
                <w:sz w:val="24"/>
                <w:szCs w:val="24"/>
              </w:rPr>
            </w:pPr>
            <w:r>
              <w:rPr>
                <w:rFonts w:cs="Times New Roman"/>
                <w:sz w:val="24"/>
                <w:szCs w:val="24"/>
              </w:rPr>
              <w:t xml:space="preserve"> ESG</w:t>
            </w:r>
          </w:p>
        </w:tc>
        <w:tc>
          <w:tcPr>
            <w:tcW w:w="800" w:type="dxa"/>
            <w:hideMark/>
          </w:tcPr>
          <w:p w14:paraId="51913358" w14:textId="77777777" w:rsidR="00FC49CC" w:rsidRDefault="00FC49CC">
            <w:pPr>
              <w:widowControl w:val="0"/>
              <w:autoSpaceDE w:val="0"/>
              <w:autoSpaceDN w:val="0"/>
              <w:adjustRightInd w:val="0"/>
              <w:spacing w:after="0" w:line="240" w:lineRule="auto"/>
              <w:jc w:val="right"/>
              <w:rPr>
                <w:rFonts w:cs="Times New Roman"/>
                <w:sz w:val="24"/>
                <w:szCs w:val="24"/>
              </w:rPr>
            </w:pPr>
            <w:r>
              <w:rPr>
                <w:rFonts w:cs="Times New Roman"/>
                <w:sz w:val="24"/>
                <w:szCs w:val="24"/>
              </w:rPr>
              <w:t>110</w:t>
            </w:r>
          </w:p>
        </w:tc>
        <w:tc>
          <w:tcPr>
            <w:tcW w:w="1400" w:type="dxa"/>
            <w:hideMark/>
          </w:tcPr>
          <w:p w14:paraId="4A6B8DE3" w14:textId="77777777" w:rsidR="00FC49CC" w:rsidRDefault="00FC49CC">
            <w:pPr>
              <w:widowControl w:val="0"/>
              <w:autoSpaceDE w:val="0"/>
              <w:autoSpaceDN w:val="0"/>
              <w:adjustRightInd w:val="0"/>
              <w:spacing w:after="0" w:line="240" w:lineRule="auto"/>
              <w:jc w:val="right"/>
              <w:rPr>
                <w:rFonts w:cs="Times New Roman"/>
                <w:sz w:val="24"/>
                <w:szCs w:val="24"/>
              </w:rPr>
            </w:pPr>
            <w:r>
              <w:rPr>
                <w:rFonts w:cs="Times New Roman"/>
                <w:sz w:val="24"/>
                <w:szCs w:val="24"/>
              </w:rPr>
              <w:t>.676</w:t>
            </w:r>
          </w:p>
        </w:tc>
        <w:tc>
          <w:tcPr>
            <w:tcW w:w="1400" w:type="dxa"/>
            <w:hideMark/>
          </w:tcPr>
          <w:p w14:paraId="1B2F0BEB" w14:textId="77777777" w:rsidR="00FC49CC" w:rsidRDefault="00FC49CC">
            <w:pPr>
              <w:widowControl w:val="0"/>
              <w:autoSpaceDE w:val="0"/>
              <w:autoSpaceDN w:val="0"/>
              <w:adjustRightInd w:val="0"/>
              <w:spacing w:after="0" w:line="240" w:lineRule="auto"/>
              <w:jc w:val="right"/>
              <w:rPr>
                <w:rFonts w:cs="Times New Roman"/>
                <w:sz w:val="24"/>
                <w:szCs w:val="24"/>
              </w:rPr>
            </w:pPr>
            <w:r>
              <w:rPr>
                <w:rFonts w:cs="Times New Roman"/>
                <w:sz w:val="24"/>
                <w:szCs w:val="24"/>
              </w:rPr>
              <w:t>.524</w:t>
            </w:r>
          </w:p>
        </w:tc>
        <w:tc>
          <w:tcPr>
            <w:tcW w:w="1400" w:type="dxa"/>
            <w:hideMark/>
          </w:tcPr>
          <w:p w14:paraId="76E8F0AA" w14:textId="77777777" w:rsidR="00FC49CC" w:rsidRDefault="00FC49CC">
            <w:pPr>
              <w:widowControl w:val="0"/>
              <w:autoSpaceDE w:val="0"/>
              <w:autoSpaceDN w:val="0"/>
              <w:adjustRightInd w:val="0"/>
              <w:spacing w:after="0" w:line="240" w:lineRule="auto"/>
              <w:jc w:val="right"/>
              <w:rPr>
                <w:rFonts w:cs="Times New Roman"/>
                <w:sz w:val="24"/>
                <w:szCs w:val="24"/>
              </w:rPr>
            </w:pPr>
            <w:r>
              <w:rPr>
                <w:rFonts w:cs="Times New Roman"/>
                <w:sz w:val="24"/>
                <w:szCs w:val="24"/>
              </w:rPr>
              <w:t>-.309</w:t>
            </w:r>
          </w:p>
        </w:tc>
        <w:tc>
          <w:tcPr>
            <w:tcW w:w="1400" w:type="dxa"/>
            <w:hideMark/>
          </w:tcPr>
          <w:p w14:paraId="61658FBC" w14:textId="77777777" w:rsidR="00FC49CC" w:rsidRDefault="00FC49CC">
            <w:pPr>
              <w:widowControl w:val="0"/>
              <w:autoSpaceDE w:val="0"/>
              <w:autoSpaceDN w:val="0"/>
              <w:adjustRightInd w:val="0"/>
              <w:spacing w:after="0" w:line="240" w:lineRule="auto"/>
              <w:jc w:val="right"/>
              <w:rPr>
                <w:rFonts w:cs="Times New Roman"/>
                <w:sz w:val="24"/>
                <w:szCs w:val="24"/>
              </w:rPr>
            </w:pPr>
            <w:r>
              <w:rPr>
                <w:rFonts w:cs="Times New Roman"/>
                <w:sz w:val="24"/>
                <w:szCs w:val="24"/>
              </w:rPr>
              <w:t>1.599</w:t>
            </w:r>
          </w:p>
        </w:tc>
      </w:tr>
      <w:tr w:rsidR="00FC49CC" w14:paraId="52F5B7D1" w14:textId="77777777" w:rsidTr="00FC49CC">
        <w:tc>
          <w:tcPr>
            <w:tcW w:w="2508" w:type="dxa"/>
            <w:hideMark/>
          </w:tcPr>
          <w:p w14:paraId="3569B729" w14:textId="77777777" w:rsidR="00FC49CC" w:rsidRDefault="00FC49CC">
            <w:pPr>
              <w:widowControl w:val="0"/>
              <w:autoSpaceDE w:val="0"/>
              <w:autoSpaceDN w:val="0"/>
              <w:adjustRightInd w:val="0"/>
              <w:spacing w:after="0" w:line="240" w:lineRule="auto"/>
              <w:rPr>
                <w:rFonts w:cs="Times New Roman"/>
                <w:sz w:val="24"/>
                <w:szCs w:val="24"/>
              </w:rPr>
            </w:pPr>
            <w:r>
              <w:rPr>
                <w:rFonts w:cs="Times New Roman"/>
                <w:sz w:val="24"/>
                <w:szCs w:val="24"/>
              </w:rPr>
              <w:t xml:space="preserve"> </w:t>
            </w:r>
            <w:proofErr w:type="spellStart"/>
            <w:r>
              <w:rPr>
                <w:rFonts w:cs="Times New Roman"/>
                <w:sz w:val="24"/>
                <w:szCs w:val="24"/>
              </w:rPr>
              <w:t>GDPperCapita</w:t>
            </w:r>
            <w:proofErr w:type="spellEnd"/>
          </w:p>
        </w:tc>
        <w:tc>
          <w:tcPr>
            <w:tcW w:w="800" w:type="dxa"/>
            <w:hideMark/>
          </w:tcPr>
          <w:p w14:paraId="33A48054" w14:textId="77777777" w:rsidR="00FC49CC" w:rsidRDefault="00FC49CC">
            <w:pPr>
              <w:widowControl w:val="0"/>
              <w:autoSpaceDE w:val="0"/>
              <w:autoSpaceDN w:val="0"/>
              <w:adjustRightInd w:val="0"/>
              <w:spacing w:after="0" w:line="240" w:lineRule="auto"/>
              <w:jc w:val="right"/>
              <w:rPr>
                <w:rFonts w:cs="Times New Roman"/>
                <w:sz w:val="24"/>
                <w:szCs w:val="24"/>
              </w:rPr>
            </w:pPr>
            <w:r>
              <w:rPr>
                <w:rFonts w:cs="Times New Roman"/>
                <w:sz w:val="24"/>
                <w:szCs w:val="24"/>
              </w:rPr>
              <w:t>110</w:t>
            </w:r>
          </w:p>
        </w:tc>
        <w:tc>
          <w:tcPr>
            <w:tcW w:w="1400" w:type="dxa"/>
            <w:hideMark/>
          </w:tcPr>
          <w:p w14:paraId="48DBE796" w14:textId="77777777" w:rsidR="00FC49CC" w:rsidRDefault="00FC49CC">
            <w:pPr>
              <w:widowControl w:val="0"/>
              <w:autoSpaceDE w:val="0"/>
              <w:autoSpaceDN w:val="0"/>
              <w:adjustRightInd w:val="0"/>
              <w:spacing w:after="0" w:line="240" w:lineRule="auto"/>
              <w:jc w:val="right"/>
              <w:rPr>
                <w:rFonts w:cs="Times New Roman"/>
                <w:sz w:val="24"/>
                <w:szCs w:val="24"/>
              </w:rPr>
            </w:pPr>
            <w:r>
              <w:rPr>
                <w:rFonts w:cs="Times New Roman"/>
                <w:sz w:val="24"/>
                <w:szCs w:val="24"/>
              </w:rPr>
              <w:t>35525.301</w:t>
            </w:r>
          </w:p>
        </w:tc>
        <w:tc>
          <w:tcPr>
            <w:tcW w:w="1400" w:type="dxa"/>
            <w:hideMark/>
          </w:tcPr>
          <w:p w14:paraId="375053DD" w14:textId="77777777" w:rsidR="00FC49CC" w:rsidRDefault="00FC49CC">
            <w:pPr>
              <w:widowControl w:val="0"/>
              <w:autoSpaceDE w:val="0"/>
              <w:autoSpaceDN w:val="0"/>
              <w:adjustRightInd w:val="0"/>
              <w:spacing w:after="0" w:line="240" w:lineRule="auto"/>
              <w:jc w:val="right"/>
              <w:rPr>
                <w:rFonts w:cs="Times New Roman"/>
                <w:sz w:val="24"/>
                <w:szCs w:val="24"/>
              </w:rPr>
            </w:pPr>
            <w:r>
              <w:rPr>
                <w:rFonts w:cs="Times New Roman"/>
                <w:sz w:val="24"/>
                <w:szCs w:val="24"/>
              </w:rPr>
              <w:t>20539.096</w:t>
            </w:r>
          </w:p>
        </w:tc>
        <w:tc>
          <w:tcPr>
            <w:tcW w:w="1400" w:type="dxa"/>
            <w:hideMark/>
          </w:tcPr>
          <w:p w14:paraId="1FAE0E1E" w14:textId="77777777" w:rsidR="00FC49CC" w:rsidRDefault="00FC49CC">
            <w:pPr>
              <w:widowControl w:val="0"/>
              <w:autoSpaceDE w:val="0"/>
              <w:autoSpaceDN w:val="0"/>
              <w:adjustRightInd w:val="0"/>
              <w:spacing w:after="0" w:line="240" w:lineRule="auto"/>
              <w:jc w:val="right"/>
              <w:rPr>
                <w:rFonts w:cs="Times New Roman"/>
                <w:sz w:val="24"/>
                <w:szCs w:val="24"/>
              </w:rPr>
            </w:pPr>
            <w:r>
              <w:rPr>
                <w:rFonts w:cs="Times New Roman"/>
                <w:sz w:val="24"/>
                <w:szCs w:val="24"/>
              </w:rPr>
              <w:t>8561.064</w:t>
            </w:r>
          </w:p>
        </w:tc>
        <w:tc>
          <w:tcPr>
            <w:tcW w:w="1400" w:type="dxa"/>
            <w:hideMark/>
          </w:tcPr>
          <w:p w14:paraId="73605DA7" w14:textId="77777777" w:rsidR="00FC49CC" w:rsidRDefault="00FC49CC">
            <w:pPr>
              <w:widowControl w:val="0"/>
              <w:autoSpaceDE w:val="0"/>
              <w:autoSpaceDN w:val="0"/>
              <w:adjustRightInd w:val="0"/>
              <w:spacing w:after="0" w:line="240" w:lineRule="auto"/>
              <w:jc w:val="right"/>
              <w:rPr>
                <w:rFonts w:cs="Times New Roman"/>
                <w:sz w:val="24"/>
                <w:szCs w:val="24"/>
              </w:rPr>
            </w:pPr>
            <w:r>
              <w:rPr>
                <w:rFonts w:cs="Times New Roman"/>
                <w:sz w:val="24"/>
                <w:szCs w:val="24"/>
              </w:rPr>
              <w:t>98041.362</w:t>
            </w:r>
          </w:p>
        </w:tc>
      </w:tr>
      <w:tr w:rsidR="00FC49CC" w14:paraId="04B42FFE" w14:textId="77777777" w:rsidTr="00FC49CC">
        <w:tc>
          <w:tcPr>
            <w:tcW w:w="2508" w:type="dxa"/>
            <w:hideMark/>
          </w:tcPr>
          <w:p w14:paraId="3799B959" w14:textId="77777777" w:rsidR="00FC49CC" w:rsidRDefault="00FC49CC">
            <w:pPr>
              <w:widowControl w:val="0"/>
              <w:autoSpaceDE w:val="0"/>
              <w:autoSpaceDN w:val="0"/>
              <w:adjustRightInd w:val="0"/>
              <w:spacing w:after="0" w:line="240" w:lineRule="auto"/>
              <w:rPr>
                <w:rFonts w:cs="Times New Roman"/>
                <w:sz w:val="24"/>
                <w:szCs w:val="24"/>
              </w:rPr>
            </w:pPr>
            <w:r>
              <w:rPr>
                <w:rFonts w:cs="Times New Roman"/>
                <w:sz w:val="24"/>
                <w:szCs w:val="24"/>
              </w:rPr>
              <w:t xml:space="preserve"> Unemployment</w:t>
            </w:r>
          </w:p>
        </w:tc>
        <w:tc>
          <w:tcPr>
            <w:tcW w:w="800" w:type="dxa"/>
            <w:hideMark/>
          </w:tcPr>
          <w:p w14:paraId="1F685ECE" w14:textId="77777777" w:rsidR="00FC49CC" w:rsidRDefault="00FC49CC">
            <w:pPr>
              <w:widowControl w:val="0"/>
              <w:autoSpaceDE w:val="0"/>
              <w:autoSpaceDN w:val="0"/>
              <w:adjustRightInd w:val="0"/>
              <w:spacing w:after="0" w:line="240" w:lineRule="auto"/>
              <w:jc w:val="right"/>
              <w:rPr>
                <w:rFonts w:cs="Times New Roman"/>
                <w:sz w:val="24"/>
                <w:szCs w:val="24"/>
              </w:rPr>
            </w:pPr>
            <w:r>
              <w:rPr>
                <w:rFonts w:cs="Times New Roman"/>
                <w:sz w:val="24"/>
                <w:szCs w:val="24"/>
              </w:rPr>
              <w:t>110</w:t>
            </w:r>
          </w:p>
        </w:tc>
        <w:tc>
          <w:tcPr>
            <w:tcW w:w="1400" w:type="dxa"/>
            <w:hideMark/>
          </w:tcPr>
          <w:p w14:paraId="0209C5A7" w14:textId="77777777" w:rsidR="00FC49CC" w:rsidRDefault="00FC49CC">
            <w:pPr>
              <w:widowControl w:val="0"/>
              <w:autoSpaceDE w:val="0"/>
              <w:autoSpaceDN w:val="0"/>
              <w:adjustRightInd w:val="0"/>
              <w:spacing w:after="0" w:line="240" w:lineRule="auto"/>
              <w:jc w:val="right"/>
              <w:rPr>
                <w:rFonts w:cs="Times New Roman"/>
                <w:sz w:val="24"/>
                <w:szCs w:val="24"/>
              </w:rPr>
            </w:pPr>
            <w:r>
              <w:rPr>
                <w:rFonts w:cs="Times New Roman"/>
                <w:sz w:val="24"/>
                <w:szCs w:val="24"/>
              </w:rPr>
              <w:t>10.389</w:t>
            </w:r>
          </w:p>
        </w:tc>
        <w:tc>
          <w:tcPr>
            <w:tcW w:w="1400" w:type="dxa"/>
            <w:hideMark/>
          </w:tcPr>
          <w:p w14:paraId="4BF04FB7" w14:textId="77777777" w:rsidR="00FC49CC" w:rsidRDefault="00FC49CC">
            <w:pPr>
              <w:widowControl w:val="0"/>
              <w:autoSpaceDE w:val="0"/>
              <w:autoSpaceDN w:val="0"/>
              <w:adjustRightInd w:val="0"/>
              <w:spacing w:after="0" w:line="240" w:lineRule="auto"/>
              <w:jc w:val="right"/>
              <w:rPr>
                <w:rFonts w:cs="Times New Roman"/>
                <w:sz w:val="24"/>
                <w:szCs w:val="24"/>
              </w:rPr>
            </w:pPr>
            <w:r>
              <w:rPr>
                <w:rFonts w:cs="Times New Roman"/>
                <w:sz w:val="24"/>
                <w:szCs w:val="24"/>
              </w:rPr>
              <w:t>6.766</w:t>
            </w:r>
          </w:p>
        </w:tc>
        <w:tc>
          <w:tcPr>
            <w:tcW w:w="1400" w:type="dxa"/>
            <w:hideMark/>
          </w:tcPr>
          <w:p w14:paraId="5D2EF43A" w14:textId="77777777" w:rsidR="00FC49CC" w:rsidRDefault="00FC49CC">
            <w:pPr>
              <w:widowControl w:val="0"/>
              <w:autoSpaceDE w:val="0"/>
              <w:autoSpaceDN w:val="0"/>
              <w:adjustRightInd w:val="0"/>
              <w:spacing w:after="0" w:line="240" w:lineRule="auto"/>
              <w:jc w:val="right"/>
              <w:rPr>
                <w:rFonts w:cs="Times New Roman"/>
                <w:sz w:val="24"/>
                <w:szCs w:val="24"/>
              </w:rPr>
            </w:pPr>
            <w:r>
              <w:rPr>
                <w:rFonts w:cs="Times New Roman"/>
                <w:sz w:val="24"/>
                <w:szCs w:val="24"/>
              </w:rPr>
              <w:t>.1</w:t>
            </w:r>
          </w:p>
        </w:tc>
        <w:tc>
          <w:tcPr>
            <w:tcW w:w="1400" w:type="dxa"/>
            <w:hideMark/>
          </w:tcPr>
          <w:p w14:paraId="6D5C3041" w14:textId="77777777" w:rsidR="00FC49CC" w:rsidRDefault="00FC49CC">
            <w:pPr>
              <w:widowControl w:val="0"/>
              <w:autoSpaceDE w:val="0"/>
              <w:autoSpaceDN w:val="0"/>
              <w:adjustRightInd w:val="0"/>
              <w:spacing w:after="0" w:line="240" w:lineRule="auto"/>
              <w:jc w:val="right"/>
              <w:rPr>
                <w:rFonts w:cs="Times New Roman"/>
                <w:sz w:val="24"/>
                <w:szCs w:val="24"/>
              </w:rPr>
            </w:pPr>
            <w:r>
              <w:rPr>
                <w:rFonts w:cs="Times New Roman"/>
                <w:sz w:val="24"/>
                <w:szCs w:val="24"/>
              </w:rPr>
              <w:t>27.69</w:t>
            </w:r>
          </w:p>
        </w:tc>
      </w:tr>
      <w:tr w:rsidR="00FC49CC" w14:paraId="3924E544" w14:textId="77777777" w:rsidTr="00FC49CC">
        <w:tc>
          <w:tcPr>
            <w:tcW w:w="2508" w:type="dxa"/>
            <w:hideMark/>
          </w:tcPr>
          <w:p w14:paraId="0FA1D8DA" w14:textId="77777777" w:rsidR="00FC49CC" w:rsidRDefault="00FC49CC">
            <w:pPr>
              <w:widowControl w:val="0"/>
              <w:autoSpaceDE w:val="0"/>
              <w:autoSpaceDN w:val="0"/>
              <w:adjustRightInd w:val="0"/>
              <w:spacing w:after="0" w:line="240" w:lineRule="auto"/>
              <w:rPr>
                <w:rFonts w:cs="Times New Roman"/>
                <w:sz w:val="24"/>
                <w:szCs w:val="24"/>
              </w:rPr>
            </w:pPr>
            <w:r>
              <w:rPr>
                <w:rFonts w:cs="Times New Roman"/>
                <w:sz w:val="24"/>
                <w:szCs w:val="24"/>
              </w:rPr>
              <w:t xml:space="preserve"> </w:t>
            </w:r>
            <w:proofErr w:type="spellStart"/>
            <w:r>
              <w:rPr>
                <w:rFonts w:cs="Times New Roman"/>
                <w:sz w:val="24"/>
                <w:szCs w:val="24"/>
              </w:rPr>
              <w:t>GovernmentEffectiv~s</w:t>
            </w:r>
            <w:proofErr w:type="spellEnd"/>
          </w:p>
        </w:tc>
        <w:tc>
          <w:tcPr>
            <w:tcW w:w="800" w:type="dxa"/>
            <w:hideMark/>
          </w:tcPr>
          <w:p w14:paraId="4F08D1CD" w14:textId="77777777" w:rsidR="00FC49CC" w:rsidRDefault="00FC49CC">
            <w:pPr>
              <w:widowControl w:val="0"/>
              <w:autoSpaceDE w:val="0"/>
              <w:autoSpaceDN w:val="0"/>
              <w:adjustRightInd w:val="0"/>
              <w:spacing w:after="0" w:line="240" w:lineRule="auto"/>
              <w:jc w:val="right"/>
              <w:rPr>
                <w:rFonts w:cs="Times New Roman"/>
                <w:sz w:val="24"/>
                <w:szCs w:val="24"/>
              </w:rPr>
            </w:pPr>
            <w:r>
              <w:rPr>
                <w:rFonts w:cs="Times New Roman"/>
                <w:sz w:val="24"/>
                <w:szCs w:val="24"/>
              </w:rPr>
              <w:t>110</w:t>
            </w:r>
          </w:p>
        </w:tc>
        <w:tc>
          <w:tcPr>
            <w:tcW w:w="1400" w:type="dxa"/>
            <w:hideMark/>
          </w:tcPr>
          <w:p w14:paraId="20657E91" w14:textId="77777777" w:rsidR="00FC49CC" w:rsidRDefault="00FC49CC">
            <w:pPr>
              <w:widowControl w:val="0"/>
              <w:autoSpaceDE w:val="0"/>
              <w:autoSpaceDN w:val="0"/>
              <w:adjustRightInd w:val="0"/>
              <w:spacing w:after="0" w:line="240" w:lineRule="auto"/>
              <w:jc w:val="right"/>
              <w:rPr>
                <w:rFonts w:cs="Times New Roman"/>
                <w:sz w:val="24"/>
                <w:szCs w:val="24"/>
              </w:rPr>
            </w:pPr>
            <w:r>
              <w:rPr>
                <w:rFonts w:cs="Times New Roman"/>
                <w:sz w:val="24"/>
                <w:szCs w:val="24"/>
              </w:rPr>
              <w:t>.676</w:t>
            </w:r>
          </w:p>
        </w:tc>
        <w:tc>
          <w:tcPr>
            <w:tcW w:w="1400" w:type="dxa"/>
            <w:hideMark/>
          </w:tcPr>
          <w:p w14:paraId="70B53306" w14:textId="77777777" w:rsidR="00FC49CC" w:rsidRDefault="00FC49CC">
            <w:pPr>
              <w:widowControl w:val="0"/>
              <w:autoSpaceDE w:val="0"/>
              <w:autoSpaceDN w:val="0"/>
              <w:adjustRightInd w:val="0"/>
              <w:spacing w:after="0" w:line="240" w:lineRule="auto"/>
              <w:jc w:val="right"/>
              <w:rPr>
                <w:rFonts w:cs="Times New Roman"/>
                <w:sz w:val="24"/>
                <w:szCs w:val="24"/>
              </w:rPr>
            </w:pPr>
            <w:r>
              <w:rPr>
                <w:rFonts w:cs="Times New Roman"/>
                <w:sz w:val="24"/>
                <w:szCs w:val="24"/>
              </w:rPr>
              <w:t>.524</w:t>
            </w:r>
          </w:p>
        </w:tc>
        <w:tc>
          <w:tcPr>
            <w:tcW w:w="1400" w:type="dxa"/>
            <w:hideMark/>
          </w:tcPr>
          <w:p w14:paraId="72736FC7" w14:textId="77777777" w:rsidR="00FC49CC" w:rsidRDefault="00FC49CC">
            <w:pPr>
              <w:widowControl w:val="0"/>
              <w:autoSpaceDE w:val="0"/>
              <w:autoSpaceDN w:val="0"/>
              <w:adjustRightInd w:val="0"/>
              <w:spacing w:after="0" w:line="240" w:lineRule="auto"/>
              <w:jc w:val="right"/>
              <w:rPr>
                <w:rFonts w:cs="Times New Roman"/>
                <w:sz w:val="24"/>
                <w:szCs w:val="24"/>
              </w:rPr>
            </w:pPr>
            <w:r>
              <w:rPr>
                <w:rFonts w:cs="Times New Roman"/>
                <w:sz w:val="24"/>
                <w:szCs w:val="24"/>
              </w:rPr>
              <w:t>-.309</w:t>
            </w:r>
          </w:p>
        </w:tc>
        <w:tc>
          <w:tcPr>
            <w:tcW w:w="1400" w:type="dxa"/>
            <w:hideMark/>
          </w:tcPr>
          <w:p w14:paraId="51941636" w14:textId="77777777" w:rsidR="00FC49CC" w:rsidRDefault="00FC49CC">
            <w:pPr>
              <w:widowControl w:val="0"/>
              <w:autoSpaceDE w:val="0"/>
              <w:autoSpaceDN w:val="0"/>
              <w:adjustRightInd w:val="0"/>
              <w:spacing w:after="0" w:line="240" w:lineRule="auto"/>
              <w:jc w:val="right"/>
              <w:rPr>
                <w:rFonts w:cs="Times New Roman"/>
                <w:sz w:val="24"/>
                <w:szCs w:val="24"/>
              </w:rPr>
            </w:pPr>
            <w:r>
              <w:rPr>
                <w:rFonts w:cs="Times New Roman"/>
                <w:sz w:val="24"/>
                <w:szCs w:val="24"/>
              </w:rPr>
              <w:t>1.599</w:t>
            </w:r>
          </w:p>
        </w:tc>
      </w:tr>
      <w:tr w:rsidR="00FC49CC" w14:paraId="07090F77" w14:textId="77777777" w:rsidTr="00FC49CC">
        <w:tc>
          <w:tcPr>
            <w:tcW w:w="2508" w:type="dxa"/>
            <w:hideMark/>
          </w:tcPr>
          <w:p w14:paraId="577C3EC3" w14:textId="77777777" w:rsidR="00FC49CC" w:rsidRDefault="00FC49CC">
            <w:pPr>
              <w:widowControl w:val="0"/>
              <w:autoSpaceDE w:val="0"/>
              <w:autoSpaceDN w:val="0"/>
              <w:adjustRightInd w:val="0"/>
              <w:spacing w:after="0" w:line="240" w:lineRule="auto"/>
              <w:rPr>
                <w:rFonts w:cs="Times New Roman"/>
                <w:sz w:val="24"/>
                <w:szCs w:val="24"/>
              </w:rPr>
            </w:pPr>
            <w:r>
              <w:rPr>
                <w:rFonts w:cs="Times New Roman"/>
                <w:sz w:val="24"/>
                <w:szCs w:val="24"/>
              </w:rPr>
              <w:t xml:space="preserve"> Inflation</w:t>
            </w:r>
          </w:p>
        </w:tc>
        <w:tc>
          <w:tcPr>
            <w:tcW w:w="800" w:type="dxa"/>
            <w:hideMark/>
          </w:tcPr>
          <w:p w14:paraId="5480AF9B" w14:textId="77777777" w:rsidR="00FC49CC" w:rsidRDefault="00FC49CC">
            <w:pPr>
              <w:widowControl w:val="0"/>
              <w:autoSpaceDE w:val="0"/>
              <w:autoSpaceDN w:val="0"/>
              <w:adjustRightInd w:val="0"/>
              <w:spacing w:after="0" w:line="240" w:lineRule="auto"/>
              <w:jc w:val="right"/>
              <w:rPr>
                <w:rFonts w:cs="Times New Roman"/>
                <w:sz w:val="24"/>
                <w:szCs w:val="24"/>
              </w:rPr>
            </w:pPr>
            <w:r>
              <w:rPr>
                <w:rFonts w:cs="Times New Roman"/>
                <w:sz w:val="24"/>
                <w:szCs w:val="24"/>
              </w:rPr>
              <w:t>110</w:t>
            </w:r>
          </w:p>
        </w:tc>
        <w:tc>
          <w:tcPr>
            <w:tcW w:w="1400" w:type="dxa"/>
            <w:hideMark/>
          </w:tcPr>
          <w:p w14:paraId="67DDB54F" w14:textId="77777777" w:rsidR="00FC49CC" w:rsidRDefault="00FC49CC">
            <w:pPr>
              <w:widowControl w:val="0"/>
              <w:autoSpaceDE w:val="0"/>
              <w:autoSpaceDN w:val="0"/>
              <w:adjustRightInd w:val="0"/>
              <w:spacing w:after="0" w:line="240" w:lineRule="auto"/>
              <w:jc w:val="right"/>
              <w:rPr>
                <w:rFonts w:cs="Times New Roman"/>
                <w:sz w:val="24"/>
                <w:szCs w:val="24"/>
              </w:rPr>
            </w:pPr>
            <w:r>
              <w:rPr>
                <w:rFonts w:cs="Times New Roman"/>
                <w:sz w:val="24"/>
                <w:szCs w:val="24"/>
              </w:rPr>
              <w:t>1.718</w:t>
            </w:r>
          </w:p>
        </w:tc>
        <w:tc>
          <w:tcPr>
            <w:tcW w:w="1400" w:type="dxa"/>
            <w:hideMark/>
          </w:tcPr>
          <w:p w14:paraId="3F817609" w14:textId="77777777" w:rsidR="00FC49CC" w:rsidRDefault="00FC49CC">
            <w:pPr>
              <w:widowControl w:val="0"/>
              <w:autoSpaceDE w:val="0"/>
              <w:autoSpaceDN w:val="0"/>
              <w:adjustRightInd w:val="0"/>
              <w:spacing w:after="0" w:line="240" w:lineRule="auto"/>
              <w:jc w:val="right"/>
              <w:rPr>
                <w:rFonts w:cs="Times New Roman"/>
                <w:sz w:val="24"/>
                <w:szCs w:val="24"/>
              </w:rPr>
            </w:pPr>
            <w:r>
              <w:rPr>
                <w:rFonts w:cs="Times New Roman"/>
                <w:sz w:val="24"/>
                <w:szCs w:val="24"/>
              </w:rPr>
              <w:t>7.754</w:t>
            </w:r>
          </w:p>
        </w:tc>
        <w:tc>
          <w:tcPr>
            <w:tcW w:w="1400" w:type="dxa"/>
            <w:hideMark/>
          </w:tcPr>
          <w:p w14:paraId="649A050B" w14:textId="77777777" w:rsidR="00FC49CC" w:rsidRDefault="00FC49CC">
            <w:pPr>
              <w:widowControl w:val="0"/>
              <w:autoSpaceDE w:val="0"/>
              <w:autoSpaceDN w:val="0"/>
              <w:adjustRightInd w:val="0"/>
              <w:spacing w:after="0" w:line="240" w:lineRule="auto"/>
              <w:jc w:val="right"/>
              <w:rPr>
                <w:rFonts w:cs="Times New Roman"/>
                <w:sz w:val="24"/>
                <w:szCs w:val="24"/>
              </w:rPr>
            </w:pPr>
            <w:r>
              <w:rPr>
                <w:rFonts w:cs="Times New Roman"/>
                <w:sz w:val="24"/>
                <w:szCs w:val="24"/>
              </w:rPr>
              <w:t>-25.958</w:t>
            </w:r>
          </w:p>
        </w:tc>
        <w:tc>
          <w:tcPr>
            <w:tcW w:w="1400" w:type="dxa"/>
            <w:hideMark/>
          </w:tcPr>
          <w:p w14:paraId="03C065AB" w14:textId="77777777" w:rsidR="00FC49CC" w:rsidRDefault="00FC49CC">
            <w:pPr>
              <w:widowControl w:val="0"/>
              <w:autoSpaceDE w:val="0"/>
              <w:autoSpaceDN w:val="0"/>
              <w:adjustRightInd w:val="0"/>
              <w:spacing w:after="0" w:line="240" w:lineRule="auto"/>
              <w:jc w:val="right"/>
              <w:rPr>
                <w:rFonts w:cs="Times New Roman"/>
                <w:sz w:val="24"/>
                <w:szCs w:val="24"/>
              </w:rPr>
            </w:pPr>
            <w:r>
              <w:rPr>
                <w:rFonts w:cs="Times New Roman"/>
                <w:sz w:val="24"/>
                <w:szCs w:val="24"/>
              </w:rPr>
              <w:t>18.27</w:t>
            </w:r>
          </w:p>
        </w:tc>
      </w:tr>
      <w:tr w:rsidR="00FC49CC" w14:paraId="0015A5E9" w14:textId="77777777" w:rsidTr="00FC49CC">
        <w:tc>
          <w:tcPr>
            <w:tcW w:w="2508" w:type="dxa"/>
            <w:hideMark/>
          </w:tcPr>
          <w:p w14:paraId="01A30081" w14:textId="77777777" w:rsidR="00FC49CC" w:rsidRDefault="00FC49CC">
            <w:pPr>
              <w:widowControl w:val="0"/>
              <w:autoSpaceDE w:val="0"/>
              <w:autoSpaceDN w:val="0"/>
              <w:adjustRightInd w:val="0"/>
              <w:spacing w:after="0" w:line="240" w:lineRule="auto"/>
              <w:rPr>
                <w:rFonts w:cs="Times New Roman"/>
                <w:sz w:val="24"/>
                <w:szCs w:val="24"/>
              </w:rPr>
            </w:pPr>
            <w:r>
              <w:rPr>
                <w:rFonts w:cs="Times New Roman"/>
                <w:sz w:val="24"/>
                <w:szCs w:val="24"/>
              </w:rPr>
              <w:t xml:space="preserve"> </w:t>
            </w:r>
            <w:proofErr w:type="spellStart"/>
            <w:r>
              <w:rPr>
                <w:rFonts w:cs="Times New Roman"/>
                <w:sz w:val="24"/>
                <w:szCs w:val="24"/>
              </w:rPr>
              <w:t>averating</w:t>
            </w:r>
            <w:proofErr w:type="spellEnd"/>
          </w:p>
        </w:tc>
        <w:tc>
          <w:tcPr>
            <w:tcW w:w="800" w:type="dxa"/>
            <w:hideMark/>
          </w:tcPr>
          <w:p w14:paraId="65571826" w14:textId="77777777" w:rsidR="00FC49CC" w:rsidRDefault="00FC49CC">
            <w:pPr>
              <w:widowControl w:val="0"/>
              <w:autoSpaceDE w:val="0"/>
              <w:autoSpaceDN w:val="0"/>
              <w:adjustRightInd w:val="0"/>
              <w:spacing w:after="0" w:line="240" w:lineRule="auto"/>
              <w:jc w:val="right"/>
              <w:rPr>
                <w:rFonts w:cs="Times New Roman"/>
                <w:sz w:val="24"/>
                <w:szCs w:val="24"/>
              </w:rPr>
            </w:pPr>
            <w:r>
              <w:rPr>
                <w:rFonts w:cs="Times New Roman"/>
                <w:sz w:val="24"/>
                <w:szCs w:val="24"/>
              </w:rPr>
              <w:t>110</w:t>
            </w:r>
          </w:p>
        </w:tc>
        <w:tc>
          <w:tcPr>
            <w:tcW w:w="1400" w:type="dxa"/>
            <w:hideMark/>
          </w:tcPr>
          <w:p w14:paraId="594647FD" w14:textId="77777777" w:rsidR="00FC49CC" w:rsidRDefault="00FC49CC">
            <w:pPr>
              <w:widowControl w:val="0"/>
              <w:autoSpaceDE w:val="0"/>
              <w:autoSpaceDN w:val="0"/>
              <w:adjustRightInd w:val="0"/>
              <w:spacing w:after="0" w:line="240" w:lineRule="auto"/>
              <w:jc w:val="right"/>
              <w:rPr>
                <w:rFonts w:cs="Times New Roman"/>
                <w:sz w:val="24"/>
                <w:szCs w:val="24"/>
              </w:rPr>
            </w:pPr>
            <w:r>
              <w:rPr>
                <w:rFonts w:cs="Times New Roman"/>
                <w:sz w:val="24"/>
                <w:szCs w:val="24"/>
              </w:rPr>
              <w:t>13.461</w:t>
            </w:r>
          </w:p>
        </w:tc>
        <w:tc>
          <w:tcPr>
            <w:tcW w:w="1400" w:type="dxa"/>
            <w:hideMark/>
          </w:tcPr>
          <w:p w14:paraId="7844A693" w14:textId="77777777" w:rsidR="00FC49CC" w:rsidRDefault="00FC49CC">
            <w:pPr>
              <w:widowControl w:val="0"/>
              <w:autoSpaceDE w:val="0"/>
              <w:autoSpaceDN w:val="0"/>
              <w:adjustRightInd w:val="0"/>
              <w:spacing w:after="0" w:line="240" w:lineRule="auto"/>
              <w:jc w:val="right"/>
              <w:rPr>
                <w:rFonts w:cs="Times New Roman"/>
                <w:sz w:val="24"/>
                <w:szCs w:val="24"/>
              </w:rPr>
            </w:pPr>
            <w:r>
              <w:rPr>
                <w:rFonts w:cs="Times New Roman"/>
                <w:sz w:val="24"/>
                <w:szCs w:val="24"/>
              </w:rPr>
              <w:t>3.831</w:t>
            </w:r>
          </w:p>
        </w:tc>
        <w:tc>
          <w:tcPr>
            <w:tcW w:w="1400" w:type="dxa"/>
            <w:hideMark/>
          </w:tcPr>
          <w:p w14:paraId="7CB7444B" w14:textId="77777777" w:rsidR="00FC49CC" w:rsidRDefault="00FC49CC">
            <w:pPr>
              <w:widowControl w:val="0"/>
              <w:autoSpaceDE w:val="0"/>
              <w:autoSpaceDN w:val="0"/>
              <w:adjustRightInd w:val="0"/>
              <w:spacing w:after="0" w:line="240" w:lineRule="auto"/>
              <w:jc w:val="right"/>
              <w:rPr>
                <w:rFonts w:cs="Times New Roman"/>
                <w:sz w:val="24"/>
                <w:szCs w:val="24"/>
              </w:rPr>
            </w:pPr>
            <w:r>
              <w:rPr>
                <w:rFonts w:cs="Times New Roman"/>
                <w:sz w:val="24"/>
                <w:szCs w:val="24"/>
              </w:rPr>
              <w:t>2</w:t>
            </w:r>
          </w:p>
        </w:tc>
        <w:tc>
          <w:tcPr>
            <w:tcW w:w="1400" w:type="dxa"/>
            <w:hideMark/>
          </w:tcPr>
          <w:p w14:paraId="1DC3EADB" w14:textId="77777777" w:rsidR="00FC49CC" w:rsidRDefault="00FC49CC">
            <w:pPr>
              <w:widowControl w:val="0"/>
              <w:autoSpaceDE w:val="0"/>
              <w:autoSpaceDN w:val="0"/>
              <w:adjustRightInd w:val="0"/>
              <w:spacing w:after="0" w:line="240" w:lineRule="auto"/>
              <w:jc w:val="right"/>
              <w:rPr>
                <w:rFonts w:cs="Times New Roman"/>
                <w:sz w:val="24"/>
                <w:szCs w:val="24"/>
              </w:rPr>
            </w:pPr>
            <w:r>
              <w:rPr>
                <w:rFonts w:cs="Times New Roman"/>
                <w:sz w:val="24"/>
                <w:szCs w:val="24"/>
              </w:rPr>
              <w:t>19.5</w:t>
            </w:r>
          </w:p>
        </w:tc>
      </w:tr>
      <w:tr w:rsidR="00FC49CC" w14:paraId="7973719E" w14:textId="77777777" w:rsidTr="00FC49CC">
        <w:tc>
          <w:tcPr>
            <w:tcW w:w="2508" w:type="dxa"/>
            <w:hideMark/>
          </w:tcPr>
          <w:p w14:paraId="598A80A8" w14:textId="77777777" w:rsidR="00FC49CC" w:rsidRDefault="00FC49CC">
            <w:pPr>
              <w:widowControl w:val="0"/>
              <w:autoSpaceDE w:val="0"/>
              <w:autoSpaceDN w:val="0"/>
              <w:adjustRightInd w:val="0"/>
              <w:spacing w:after="0" w:line="240" w:lineRule="auto"/>
              <w:rPr>
                <w:rFonts w:cs="Times New Roman"/>
                <w:sz w:val="24"/>
                <w:szCs w:val="24"/>
              </w:rPr>
            </w:pPr>
            <w:r>
              <w:rPr>
                <w:rFonts w:cs="Times New Roman"/>
                <w:sz w:val="24"/>
                <w:szCs w:val="24"/>
              </w:rPr>
              <w:t xml:space="preserve"> </w:t>
            </w:r>
            <w:proofErr w:type="spellStart"/>
            <w:r>
              <w:rPr>
                <w:rFonts w:cs="Times New Roman"/>
                <w:sz w:val="24"/>
                <w:szCs w:val="24"/>
              </w:rPr>
              <w:t>Moodyrating</w:t>
            </w:r>
            <w:proofErr w:type="spellEnd"/>
          </w:p>
        </w:tc>
        <w:tc>
          <w:tcPr>
            <w:tcW w:w="800" w:type="dxa"/>
            <w:hideMark/>
          </w:tcPr>
          <w:p w14:paraId="3176A2E5" w14:textId="77777777" w:rsidR="00FC49CC" w:rsidRDefault="00FC49CC">
            <w:pPr>
              <w:widowControl w:val="0"/>
              <w:autoSpaceDE w:val="0"/>
              <w:autoSpaceDN w:val="0"/>
              <w:adjustRightInd w:val="0"/>
              <w:spacing w:after="0" w:line="240" w:lineRule="auto"/>
              <w:jc w:val="right"/>
              <w:rPr>
                <w:rFonts w:cs="Times New Roman"/>
                <w:sz w:val="24"/>
                <w:szCs w:val="24"/>
              </w:rPr>
            </w:pPr>
            <w:r>
              <w:rPr>
                <w:rFonts w:cs="Times New Roman"/>
                <w:sz w:val="24"/>
                <w:szCs w:val="24"/>
              </w:rPr>
              <w:t>110</w:t>
            </w:r>
          </w:p>
        </w:tc>
        <w:tc>
          <w:tcPr>
            <w:tcW w:w="1400" w:type="dxa"/>
            <w:hideMark/>
          </w:tcPr>
          <w:p w14:paraId="2F5407F4" w14:textId="77777777" w:rsidR="00FC49CC" w:rsidRDefault="00FC49CC">
            <w:pPr>
              <w:widowControl w:val="0"/>
              <w:autoSpaceDE w:val="0"/>
              <w:autoSpaceDN w:val="0"/>
              <w:adjustRightInd w:val="0"/>
              <w:spacing w:after="0" w:line="240" w:lineRule="auto"/>
              <w:jc w:val="right"/>
              <w:rPr>
                <w:rFonts w:cs="Times New Roman"/>
                <w:sz w:val="24"/>
                <w:szCs w:val="24"/>
              </w:rPr>
            </w:pPr>
            <w:r>
              <w:rPr>
                <w:rFonts w:cs="Times New Roman"/>
                <w:sz w:val="24"/>
                <w:szCs w:val="24"/>
              </w:rPr>
              <w:t>13.177</w:t>
            </w:r>
          </w:p>
        </w:tc>
        <w:tc>
          <w:tcPr>
            <w:tcW w:w="1400" w:type="dxa"/>
            <w:hideMark/>
          </w:tcPr>
          <w:p w14:paraId="45C1F089" w14:textId="77777777" w:rsidR="00FC49CC" w:rsidRDefault="00FC49CC">
            <w:pPr>
              <w:widowControl w:val="0"/>
              <w:autoSpaceDE w:val="0"/>
              <w:autoSpaceDN w:val="0"/>
              <w:adjustRightInd w:val="0"/>
              <w:spacing w:after="0" w:line="240" w:lineRule="auto"/>
              <w:jc w:val="right"/>
              <w:rPr>
                <w:rFonts w:cs="Times New Roman"/>
                <w:sz w:val="24"/>
                <w:szCs w:val="24"/>
              </w:rPr>
            </w:pPr>
            <w:r>
              <w:rPr>
                <w:rFonts w:cs="Times New Roman"/>
                <w:sz w:val="24"/>
                <w:szCs w:val="24"/>
              </w:rPr>
              <w:t>4.552</w:t>
            </w:r>
          </w:p>
        </w:tc>
        <w:tc>
          <w:tcPr>
            <w:tcW w:w="1400" w:type="dxa"/>
            <w:hideMark/>
          </w:tcPr>
          <w:p w14:paraId="3C3589E4" w14:textId="77777777" w:rsidR="00FC49CC" w:rsidRDefault="00FC49CC">
            <w:pPr>
              <w:widowControl w:val="0"/>
              <w:autoSpaceDE w:val="0"/>
              <w:autoSpaceDN w:val="0"/>
              <w:adjustRightInd w:val="0"/>
              <w:spacing w:after="0" w:line="240" w:lineRule="auto"/>
              <w:jc w:val="right"/>
              <w:rPr>
                <w:rFonts w:cs="Times New Roman"/>
                <w:sz w:val="24"/>
                <w:szCs w:val="24"/>
              </w:rPr>
            </w:pPr>
            <w:r>
              <w:rPr>
                <w:rFonts w:cs="Times New Roman"/>
                <w:sz w:val="24"/>
                <w:szCs w:val="24"/>
              </w:rPr>
              <w:t>1</w:t>
            </w:r>
          </w:p>
        </w:tc>
        <w:tc>
          <w:tcPr>
            <w:tcW w:w="1400" w:type="dxa"/>
            <w:hideMark/>
          </w:tcPr>
          <w:p w14:paraId="6CF7CCA9" w14:textId="77777777" w:rsidR="00FC49CC" w:rsidRDefault="00FC49CC">
            <w:pPr>
              <w:widowControl w:val="0"/>
              <w:autoSpaceDE w:val="0"/>
              <w:autoSpaceDN w:val="0"/>
              <w:adjustRightInd w:val="0"/>
              <w:spacing w:after="0" w:line="240" w:lineRule="auto"/>
              <w:jc w:val="right"/>
              <w:rPr>
                <w:rFonts w:cs="Times New Roman"/>
                <w:sz w:val="24"/>
                <w:szCs w:val="24"/>
              </w:rPr>
            </w:pPr>
            <w:r>
              <w:rPr>
                <w:rFonts w:cs="Times New Roman"/>
                <w:sz w:val="24"/>
                <w:szCs w:val="24"/>
              </w:rPr>
              <w:t>20</w:t>
            </w:r>
          </w:p>
        </w:tc>
      </w:tr>
      <w:tr w:rsidR="00FC49CC" w14:paraId="668F8C2B" w14:textId="77777777" w:rsidTr="00FC49CC">
        <w:tc>
          <w:tcPr>
            <w:tcW w:w="2508" w:type="dxa"/>
            <w:hideMark/>
          </w:tcPr>
          <w:p w14:paraId="5CDAAEE9" w14:textId="77777777" w:rsidR="00FC49CC" w:rsidRDefault="00FC49CC">
            <w:pPr>
              <w:widowControl w:val="0"/>
              <w:autoSpaceDE w:val="0"/>
              <w:autoSpaceDN w:val="0"/>
              <w:adjustRightInd w:val="0"/>
              <w:spacing w:after="0" w:line="240" w:lineRule="auto"/>
              <w:rPr>
                <w:rFonts w:cs="Times New Roman"/>
                <w:sz w:val="24"/>
                <w:szCs w:val="24"/>
              </w:rPr>
            </w:pPr>
            <w:r>
              <w:rPr>
                <w:rFonts w:cs="Times New Roman"/>
                <w:sz w:val="24"/>
                <w:szCs w:val="24"/>
              </w:rPr>
              <w:t xml:space="preserve"> </w:t>
            </w:r>
            <w:proofErr w:type="spellStart"/>
            <w:r>
              <w:rPr>
                <w:rFonts w:cs="Times New Roman"/>
                <w:sz w:val="24"/>
                <w:szCs w:val="24"/>
              </w:rPr>
              <w:t>SPrating</w:t>
            </w:r>
            <w:proofErr w:type="spellEnd"/>
          </w:p>
        </w:tc>
        <w:tc>
          <w:tcPr>
            <w:tcW w:w="800" w:type="dxa"/>
            <w:hideMark/>
          </w:tcPr>
          <w:p w14:paraId="4C750BDE" w14:textId="77777777" w:rsidR="00FC49CC" w:rsidRDefault="00FC49CC">
            <w:pPr>
              <w:widowControl w:val="0"/>
              <w:autoSpaceDE w:val="0"/>
              <w:autoSpaceDN w:val="0"/>
              <w:adjustRightInd w:val="0"/>
              <w:spacing w:after="0" w:line="240" w:lineRule="auto"/>
              <w:jc w:val="right"/>
              <w:rPr>
                <w:rFonts w:cs="Times New Roman"/>
                <w:sz w:val="24"/>
                <w:szCs w:val="24"/>
              </w:rPr>
            </w:pPr>
            <w:r>
              <w:rPr>
                <w:rFonts w:cs="Times New Roman"/>
                <w:sz w:val="24"/>
                <w:szCs w:val="24"/>
              </w:rPr>
              <w:t>110</w:t>
            </w:r>
          </w:p>
        </w:tc>
        <w:tc>
          <w:tcPr>
            <w:tcW w:w="1400" w:type="dxa"/>
            <w:hideMark/>
          </w:tcPr>
          <w:p w14:paraId="41551AB7" w14:textId="77777777" w:rsidR="00FC49CC" w:rsidRDefault="00FC49CC">
            <w:pPr>
              <w:widowControl w:val="0"/>
              <w:autoSpaceDE w:val="0"/>
              <w:autoSpaceDN w:val="0"/>
              <w:adjustRightInd w:val="0"/>
              <w:spacing w:after="0" w:line="240" w:lineRule="auto"/>
              <w:jc w:val="right"/>
              <w:rPr>
                <w:rFonts w:cs="Times New Roman"/>
                <w:sz w:val="24"/>
                <w:szCs w:val="24"/>
              </w:rPr>
            </w:pPr>
            <w:r>
              <w:rPr>
                <w:rFonts w:cs="Times New Roman"/>
                <w:sz w:val="24"/>
                <w:szCs w:val="24"/>
              </w:rPr>
              <w:t>13.745</w:t>
            </w:r>
          </w:p>
        </w:tc>
        <w:tc>
          <w:tcPr>
            <w:tcW w:w="1400" w:type="dxa"/>
            <w:hideMark/>
          </w:tcPr>
          <w:p w14:paraId="78EEBADD" w14:textId="77777777" w:rsidR="00FC49CC" w:rsidRDefault="00FC49CC">
            <w:pPr>
              <w:widowControl w:val="0"/>
              <w:autoSpaceDE w:val="0"/>
              <w:autoSpaceDN w:val="0"/>
              <w:adjustRightInd w:val="0"/>
              <w:spacing w:after="0" w:line="240" w:lineRule="auto"/>
              <w:jc w:val="right"/>
              <w:rPr>
                <w:rFonts w:cs="Times New Roman"/>
                <w:sz w:val="24"/>
                <w:szCs w:val="24"/>
              </w:rPr>
            </w:pPr>
            <w:r>
              <w:rPr>
                <w:rFonts w:cs="Times New Roman"/>
                <w:sz w:val="24"/>
                <w:szCs w:val="24"/>
              </w:rPr>
              <w:t>4.225</w:t>
            </w:r>
          </w:p>
        </w:tc>
        <w:tc>
          <w:tcPr>
            <w:tcW w:w="1400" w:type="dxa"/>
            <w:hideMark/>
          </w:tcPr>
          <w:p w14:paraId="7983AF10" w14:textId="77777777" w:rsidR="00FC49CC" w:rsidRDefault="00FC49CC">
            <w:pPr>
              <w:widowControl w:val="0"/>
              <w:autoSpaceDE w:val="0"/>
              <w:autoSpaceDN w:val="0"/>
              <w:adjustRightInd w:val="0"/>
              <w:spacing w:after="0" w:line="240" w:lineRule="auto"/>
              <w:jc w:val="right"/>
              <w:rPr>
                <w:rFonts w:cs="Times New Roman"/>
                <w:sz w:val="24"/>
                <w:szCs w:val="24"/>
              </w:rPr>
            </w:pPr>
            <w:r>
              <w:rPr>
                <w:rFonts w:cs="Times New Roman"/>
                <w:sz w:val="24"/>
                <w:szCs w:val="24"/>
              </w:rPr>
              <w:t>2</w:t>
            </w:r>
          </w:p>
        </w:tc>
        <w:tc>
          <w:tcPr>
            <w:tcW w:w="1400" w:type="dxa"/>
            <w:hideMark/>
          </w:tcPr>
          <w:p w14:paraId="4BDFDF8A" w14:textId="77777777" w:rsidR="00FC49CC" w:rsidRDefault="00FC49CC">
            <w:pPr>
              <w:widowControl w:val="0"/>
              <w:autoSpaceDE w:val="0"/>
              <w:autoSpaceDN w:val="0"/>
              <w:adjustRightInd w:val="0"/>
              <w:spacing w:after="0" w:line="240" w:lineRule="auto"/>
              <w:jc w:val="right"/>
              <w:rPr>
                <w:rFonts w:cs="Times New Roman"/>
                <w:sz w:val="24"/>
                <w:szCs w:val="24"/>
              </w:rPr>
            </w:pPr>
            <w:r>
              <w:rPr>
                <w:rFonts w:cs="Times New Roman"/>
                <w:sz w:val="24"/>
                <w:szCs w:val="24"/>
              </w:rPr>
              <w:t>19</w:t>
            </w:r>
          </w:p>
        </w:tc>
      </w:tr>
    </w:tbl>
    <w:p w14:paraId="224C49BD" w14:textId="77777777" w:rsidR="00AE19B0" w:rsidRDefault="00AE19B0" w:rsidP="004470DF">
      <w:pPr>
        <w:rPr>
          <w:rFonts w:asciiTheme="majorBidi" w:hAnsiTheme="majorBidi" w:cstheme="majorBidi"/>
          <w:lang w:val="en-US"/>
        </w:rPr>
      </w:pPr>
    </w:p>
    <w:p w14:paraId="414A59E5" w14:textId="446CF052" w:rsidR="00541551" w:rsidRDefault="00541551" w:rsidP="004470DF">
      <w:pPr>
        <w:rPr>
          <w:rFonts w:asciiTheme="majorBidi" w:hAnsiTheme="majorBidi" w:cstheme="majorBidi"/>
          <w:lang w:val="en-US"/>
        </w:rPr>
      </w:pPr>
      <w:r w:rsidRPr="00744AD4">
        <w:rPr>
          <w:rFonts w:asciiTheme="majorBidi" w:hAnsiTheme="majorBidi" w:cstheme="majorBidi"/>
          <w:lang w:val="en-US"/>
        </w:rPr>
        <w:t xml:space="preserve">The CRA results provide valuable insights into the relationship between economic indicators and </w:t>
      </w:r>
      <w:proofErr w:type="spellStart"/>
      <w:r w:rsidRPr="00744AD4">
        <w:rPr>
          <w:rFonts w:asciiTheme="majorBidi" w:hAnsiTheme="majorBidi" w:cstheme="majorBidi"/>
          <w:lang w:val="en-US"/>
        </w:rPr>
        <w:t>averating</w:t>
      </w:r>
      <w:proofErr w:type="spellEnd"/>
      <w:r w:rsidRPr="00744AD4">
        <w:rPr>
          <w:rFonts w:asciiTheme="majorBidi" w:hAnsiTheme="majorBidi" w:cstheme="majorBidi"/>
          <w:lang w:val="en-US"/>
        </w:rPr>
        <w:t xml:space="preserve">. ESG scores exhibit a consistent positive impact on </w:t>
      </w:r>
      <w:proofErr w:type="spellStart"/>
      <w:r w:rsidRPr="00744AD4">
        <w:rPr>
          <w:rFonts w:asciiTheme="majorBidi" w:hAnsiTheme="majorBidi" w:cstheme="majorBidi"/>
          <w:lang w:val="en-US"/>
        </w:rPr>
        <w:t>averating</w:t>
      </w:r>
      <w:proofErr w:type="spellEnd"/>
      <w:r w:rsidRPr="00744AD4">
        <w:rPr>
          <w:rFonts w:asciiTheme="majorBidi" w:hAnsiTheme="majorBidi" w:cstheme="majorBidi"/>
          <w:lang w:val="en-US"/>
        </w:rPr>
        <w:t xml:space="preserve"> in both regression models, highlighting the importance of sustainable and socially responsible practices in influencing the dependent variable. GDP per Capita and Current Account Balance, in certain specifications, do not significantly impact </w:t>
      </w:r>
      <w:proofErr w:type="spellStart"/>
      <w:r w:rsidRPr="00744AD4">
        <w:rPr>
          <w:rFonts w:asciiTheme="majorBidi" w:hAnsiTheme="majorBidi" w:cstheme="majorBidi"/>
          <w:lang w:val="en-US"/>
        </w:rPr>
        <w:t>averating</w:t>
      </w:r>
      <w:proofErr w:type="spellEnd"/>
      <w:r w:rsidRPr="00744AD4">
        <w:rPr>
          <w:rFonts w:asciiTheme="majorBidi" w:hAnsiTheme="majorBidi" w:cstheme="majorBidi"/>
          <w:lang w:val="en-US"/>
        </w:rPr>
        <w:t>, indicating a complex relationship.</w:t>
      </w:r>
      <w:r w:rsidR="004470DF">
        <w:rPr>
          <w:rFonts w:asciiTheme="majorBidi" w:hAnsiTheme="majorBidi" w:cstheme="majorBidi"/>
          <w:lang w:val="en-US"/>
        </w:rPr>
        <w:t xml:space="preserve"> </w:t>
      </w:r>
      <w:r w:rsidRPr="00744AD4">
        <w:rPr>
          <w:rFonts w:asciiTheme="majorBidi" w:hAnsiTheme="majorBidi" w:cstheme="majorBidi"/>
          <w:lang w:val="en-US"/>
        </w:rPr>
        <w:t xml:space="preserve">Unemployment consistently shows a negative relationship with </w:t>
      </w:r>
      <w:proofErr w:type="spellStart"/>
      <w:r w:rsidRPr="00744AD4">
        <w:rPr>
          <w:rFonts w:asciiTheme="majorBidi" w:hAnsiTheme="majorBidi" w:cstheme="majorBidi"/>
          <w:lang w:val="en-US"/>
        </w:rPr>
        <w:t>averating</w:t>
      </w:r>
      <w:proofErr w:type="spellEnd"/>
      <w:r w:rsidRPr="00744AD4">
        <w:rPr>
          <w:rFonts w:asciiTheme="majorBidi" w:hAnsiTheme="majorBidi" w:cstheme="majorBidi"/>
          <w:lang w:val="en-US"/>
        </w:rPr>
        <w:t xml:space="preserve">, suggesting that higher unemployment rates are associated with lower </w:t>
      </w:r>
      <w:proofErr w:type="spellStart"/>
      <w:r w:rsidRPr="00744AD4">
        <w:rPr>
          <w:rFonts w:asciiTheme="majorBidi" w:hAnsiTheme="majorBidi" w:cstheme="majorBidi"/>
          <w:lang w:val="en-US"/>
        </w:rPr>
        <w:t>averating</w:t>
      </w:r>
      <w:proofErr w:type="spellEnd"/>
      <w:r w:rsidRPr="00744AD4">
        <w:rPr>
          <w:rFonts w:asciiTheme="majorBidi" w:hAnsiTheme="majorBidi" w:cstheme="majorBidi"/>
          <w:lang w:val="en-US"/>
        </w:rPr>
        <w:t xml:space="preserve"> values. Inflation does not appear to significantly influence </w:t>
      </w:r>
      <w:proofErr w:type="spellStart"/>
      <w:r w:rsidRPr="00744AD4">
        <w:rPr>
          <w:rFonts w:asciiTheme="majorBidi" w:hAnsiTheme="majorBidi" w:cstheme="majorBidi"/>
          <w:lang w:val="en-US"/>
        </w:rPr>
        <w:t>averating</w:t>
      </w:r>
      <w:proofErr w:type="spellEnd"/>
      <w:r w:rsidRPr="00744AD4">
        <w:rPr>
          <w:rFonts w:asciiTheme="majorBidi" w:hAnsiTheme="majorBidi" w:cstheme="majorBidi"/>
          <w:lang w:val="en-US"/>
        </w:rPr>
        <w:t xml:space="preserve">. The overall regression models are statistically significant, indicating that the combination of economic indicators can explain a significant proportion of the variability in </w:t>
      </w:r>
      <w:proofErr w:type="spellStart"/>
      <w:r w:rsidRPr="00744AD4">
        <w:rPr>
          <w:rFonts w:asciiTheme="majorBidi" w:hAnsiTheme="majorBidi" w:cstheme="majorBidi"/>
          <w:lang w:val="en-US"/>
        </w:rPr>
        <w:t>averating</w:t>
      </w:r>
      <w:proofErr w:type="spellEnd"/>
      <w:r w:rsidRPr="00744AD4">
        <w:rPr>
          <w:rFonts w:asciiTheme="majorBidi" w:hAnsiTheme="majorBidi" w:cstheme="majorBidi"/>
          <w:lang w:val="en-US"/>
        </w:rPr>
        <w:t>.</w:t>
      </w:r>
      <w:r w:rsidR="004470DF">
        <w:rPr>
          <w:rFonts w:asciiTheme="majorBidi" w:hAnsiTheme="majorBidi" w:cstheme="majorBidi"/>
          <w:lang w:val="en-US"/>
        </w:rPr>
        <w:t xml:space="preserve"> </w:t>
      </w:r>
      <w:r w:rsidRPr="00744AD4">
        <w:rPr>
          <w:rFonts w:asciiTheme="majorBidi" w:hAnsiTheme="majorBidi" w:cstheme="majorBidi"/>
          <w:lang w:val="en-US"/>
        </w:rPr>
        <w:t xml:space="preserve">These findings underscore the multifaceted nature of the relationship between economic indicators and </w:t>
      </w:r>
      <w:r w:rsidR="00FC49CC" w:rsidRPr="00744AD4">
        <w:rPr>
          <w:rFonts w:asciiTheme="majorBidi" w:hAnsiTheme="majorBidi" w:cstheme="majorBidi"/>
          <w:lang w:val="en-US"/>
        </w:rPr>
        <w:t>dependent variables</w:t>
      </w:r>
      <w:r w:rsidRPr="00744AD4">
        <w:rPr>
          <w:rFonts w:asciiTheme="majorBidi" w:hAnsiTheme="majorBidi" w:cstheme="majorBidi"/>
          <w:lang w:val="en-US"/>
        </w:rPr>
        <w:t>. Policymakers, researchers, and organizations can utilize these insights to make informed decisions and strategies based on economic indicators' impacts on the dependent variable. Further research could explore additional variables and conduct robustness checks to validate these findings.</w:t>
      </w:r>
    </w:p>
    <w:p w14:paraId="1982881F" w14:textId="4330DED1" w:rsidR="00A41E27" w:rsidRPr="00AE19B0" w:rsidRDefault="00AE19B0" w:rsidP="004470DF">
      <w:pPr>
        <w:rPr>
          <w:rFonts w:asciiTheme="majorBidi" w:hAnsiTheme="majorBidi" w:cstheme="majorBidi"/>
          <w:sz w:val="36"/>
          <w:szCs w:val="36"/>
          <w:lang w:val="en-US"/>
        </w:rPr>
      </w:pPr>
      <w:r w:rsidRPr="00AE19B0">
        <w:rPr>
          <w:rFonts w:asciiTheme="majorBidi" w:hAnsiTheme="majorBidi" w:cstheme="majorBidi"/>
          <w:sz w:val="32"/>
          <w:szCs w:val="32"/>
          <w:lang w:val="en-US"/>
        </w:rPr>
        <w:t>Conclusion</w:t>
      </w:r>
    </w:p>
    <w:p w14:paraId="43C1C624" w14:textId="77777777" w:rsidR="004470DF" w:rsidRPr="004470DF" w:rsidRDefault="004470DF" w:rsidP="004470DF">
      <w:pPr>
        <w:rPr>
          <w:rFonts w:asciiTheme="majorBidi" w:hAnsiTheme="majorBidi" w:cstheme="majorBidi"/>
          <w:lang w:val="en-US"/>
        </w:rPr>
      </w:pPr>
      <w:r w:rsidRPr="004470DF">
        <w:rPr>
          <w:rFonts w:asciiTheme="majorBidi" w:hAnsiTheme="majorBidi" w:cstheme="majorBidi"/>
          <w:lang w:val="en-US"/>
        </w:rPr>
        <w:t>This study delved into the intricate connections between sovereign ratings, environmental, social, and governance (ESG) scores, and key macroeconomic indicators across a selected set of countries from 2010 to 2020. The countries under scrutiny – Greece, Ireland, Italy, Kuwait, Portugal, Qatar, Saudi Arabia, Spain, Turkey, and the United Arab Emirates – showcased distinct economic landscapes, enriching the study's findings.</w:t>
      </w:r>
    </w:p>
    <w:p w14:paraId="7BDB1B61" w14:textId="77777777" w:rsidR="004470DF" w:rsidRPr="004470DF" w:rsidRDefault="004470DF" w:rsidP="004470DF">
      <w:pPr>
        <w:rPr>
          <w:rFonts w:asciiTheme="majorBidi" w:hAnsiTheme="majorBidi" w:cstheme="majorBidi"/>
          <w:lang w:val="en-US"/>
        </w:rPr>
      </w:pPr>
    </w:p>
    <w:p w14:paraId="1FB6634F" w14:textId="77777777" w:rsidR="004470DF" w:rsidRPr="004470DF" w:rsidRDefault="004470DF" w:rsidP="004470DF">
      <w:pPr>
        <w:rPr>
          <w:rFonts w:asciiTheme="majorBidi" w:hAnsiTheme="majorBidi" w:cstheme="majorBidi"/>
          <w:lang w:val="en-US"/>
        </w:rPr>
      </w:pPr>
      <w:r w:rsidRPr="004470DF">
        <w:rPr>
          <w:rFonts w:asciiTheme="majorBidi" w:hAnsiTheme="majorBidi" w:cstheme="majorBidi"/>
          <w:lang w:val="en-US"/>
        </w:rPr>
        <w:lastRenderedPageBreak/>
        <w:t>Our analysis yielded several noteworthy insights:</w:t>
      </w:r>
    </w:p>
    <w:p w14:paraId="027C64BF" w14:textId="77777777" w:rsidR="004470DF" w:rsidRPr="00FF538C" w:rsidRDefault="004470DF" w:rsidP="004470DF">
      <w:pPr>
        <w:rPr>
          <w:rFonts w:asciiTheme="majorBidi" w:hAnsiTheme="majorBidi" w:cstheme="majorBidi"/>
          <w:i/>
          <w:iCs/>
          <w:lang w:val="en-US"/>
        </w:rPr>
      </w:pPr>
      <w:r w:rsidRPr="00FF538C">
        <w:rPr>
          <w:rFonts w:asciiTheme="majorBidi" w:hAnsiTheme="majorBidi" w:cstheme="majorBidi"/>
          <w:i/>
          <w:iCs/>
          <w:lang w:val="en-US"/>
        </w:rPr>
        <w:t>Sovereign Ratings and Macroeconomic Indicators:</w:t>
      </w:r>
    </w:p>
    <w:p w14:paraId="2ED69DC9" w14:textId="77777777" w:rsidR="00A41E27" w:rsidRDefault="004470DF" w:rsidP="00A41E27">
      <w:pPr>
        <w:rPr>
          <w:rFonts w:asciiTheme="majorBidi" w:hAnsiTheme="majorBidi" w:cstheme="majorBidi"/>
          <w:lang w:val="en-US"/>
        </w:rPr>
      </w:pPr>
      <w:r w:rsidRPr="004470DF">
        <w:rPr>
          <w:rFonts w:asciiTheme="majorBidi" w:hAnsiTheme="majorBidi" w:cstheme="majorBidi"/>
          <w:lang w:val="en-US"/>
        </w:rPr>
        <w:t>Our regression analysis disclosed significant links between sovereign ratings and vital macroeconomic indicators. Lower unemployment rates and favorable current account balances were associated with improved sovereign ratings. Moreover, countries with higher GDP per capita generally exhibited better sovereign ratings.</w:t>
      </w:r>
    </w:p>
    <w:p w14:paraId="3CCF2A0B" w14:textId="77777777" w:rsidR="00A41E27" w:rsidRPr="00FF538C" w:rsidRDefault="004470DF" w:rsidP="00A41E27">
      <w:pPr>
        <w:rPr>
          <w:rFonts w:asciiTheme="majorBidi" w:hAnsiTheme="majorBidi" w:cstheme="majorBidi"/>
          <w:i/>
          <w:iCs/>
          <w:lang w:val="en-US"/>
        </w:rPr>
      </w:pPr>
      <w:r w:rsidRPr="00FF538C">
        <w:rPr>
          <w:rFonts w:asciiTheme="majorBidi" w:hAnsiTheme="majorBidi" w:cstheme="majorBidi"/>
          <w:i/>
          <w:iCs/>
          <w:lang w:val="en-US"/>
        </w:rPr>
        <w:t>ESG Scores and Sovereign Ratings:</w:t>
      </w:r>
    </w:p>
    <w:p w14:paraId="610A7690" w14:textId="35774CEF" w:rsidR="00A41E27" w:rsidRDefault="004470DF" w:rsidP="00A41E27">
      <w:pPr>
        <w:rPr>
          <w:rFonts w:asciiTheme="majorBidi" w:hAnsiTheme="majorBidi" w:cstheme="majorBidi"/>
          <w:lang w:val="en-US"/>
        </w:rPr>
      </w:pPr>
      <w:r w:rsidRPr="004470DF">
        <w:rPr>
          <w:rFonts w:asciiTheme="majorBidi" w:hAnsiTheme="majorBidi" w:cstheme="majorBidi"/>
          <w:lang w:val="en-US"/>
        </w:rPr>
        <w:t>ESG scores, reflecting a nation's commitment to environmental sustainability, social responsibility, and effective governance, emerged as a pivotal determinant of sovereign ratings. Countries with elevated ESG scores often boasted more favorable sovereign ratings, indicating the mounting significance of sustainable practices in influencing creditworthiness.</w:t>
      </w:r>
    </w:p>
    <w:p w14:paraId="6ECA0EB6" w14:textId="297DFAC7" w:rsidR="004470DF" w:rsidRPr="00FF538C" w:rsidRDefault="004470DF" w:rsidP="00A41E27">
      <w:pPr>
        <w:rPr>
          <w:rFonts w:asciiTheme="majorBidi" w:hAnsiTheme="majorBidi" w:cstheme="majorBidi"/>
          <w:i/>
          <w:iCs/>
          <w:lang w:val="en-US"/>
        </w:rPr>
      </w:pPr>
      <w:r w:rsidRPr="00FF538C">
        <w:rPr>
          <w:rFonts w:asciiTheme="majorBidi" w:hAnsiTheme="majorBidi" w:cstheme="majorBidi"/>
          <w:i/>
          <w:iCs/>
          <w:lang w:val="en-US"/>
        </w:rPr>
        <w:t>Government Effectiveness and Inflation:</w:t>
      </w:r>
    </w:p>
    <w:p w14:paraId="3648B503" w14:textId="1BDBBD20" w:rsidR="004470DF" w:rsidRDefault="004470DF" w:rsidP="00A41E27">
      <w:pPr>
        <w:rPr>
          <w:rFonts w:asciiTheme="majorBidi" w:hAnsiTheme="majorBidi" w:cstheme="majorBidi"/>
          <w:lang w:val="en-US"/>
        </w:rPr>
      </w:pPr>
      <w:r w:rsidRPr="004470DF">
        <w:rPr>
          <w:rFonts w:asciiTheme="majorBidi" w:hAnsiTheme="majorBidi" w:cstheme="majorBidi"/>
          <w:lang w:val="en-US"/>
        </w:rPr>
        <w:t>While government effectiveness, a facet of the broader ESG framework, showcased limited influence on sovereign ratings, our analysis unveiled that lower inflation rates correlated positively with better sovereign ratings. This highlights the continued importance of maintaining price stability for sovereign creditworthiness.</w:t>
      </w:r>
      <w:r w:rsidR="00A41E27">
        <w:rPr>
          <w:rFonts w:asciiTheme="majorBidi" w:hAnsiTheme="majorBidi" w:cstheme="majorBidi"/>
          <w:lang w:val="en-US"/>
        </w:rPr>
        <w:t xml:space="preserve"> </w:t>
      </w:r>
      <w:r w:rsidRPr="004470DF">
        <w:rPr>
          <w:rFonts w:asciiTheme="majorBidi" w:hAnsiTheme="majorBidi" w:cstheme="majorBidi"/>
          <w:lang w:val="en-US"/>
        </w:rPr>
        <w:t>These findings emphasize that sovereign ratings encompass multifaceted factors. Beyond the conventional economic aspects like GDP per capita and unemployment, ESG considerations are gaining traction in rating evaluations. This trend underscores a growing recognition of the influence of responsible governance practices on countries' financial stability and risk assessments.</w:t>
      </w:r>
      <w:r w:rsidR="00A41E27">
        <w:rPr>
          <w:rFonts w:asciiTheme="majorBidi" w:hAnsiTheme="majorBidi" w:cstheme="majorBidi"/>
          <w:lang w:val="en-US"/>
        </w:rPr>
        <w:t xml:space="preserve"> </w:t>
      </w:r>
      <w:r w:rsidRPr="004470DF">
        <w:rPr>
          <w:rFonts w:asciiTheme="majorBidi" w:hAnsiTheme="majorBidi" w:cstheme="majorBidi"/>
          <w:lang w:val="en-US"/>
        </w:rPr>
        <w:t>Our study's implications for policymaking are significant. Governments need to grasp the multi-dimensional nature of sovereign ratings and align their economic strategies with sustainable and responsible approaches. Efforts to enhance ESG performance, stimulate economic growth, and maintain fiscal prudence can collectively contribute to enhanced sovereign ratings and bolstered investor trust.</w:t>
      </w:r>
      <w:r w:rsidR="00A41E27">
        <w:rPr>
          <w:rFonts w:asciiTheme="majorBidi" w:hAnsiTheme="majorBidi" w:cstheme="majorBidi"/>
          <w:lang w:val="en-US"/>
        </w:rPr>
        <w:t xml:space="preserve"> </w:t>
      </w:r>
      <w:r w:rsidRPr="004470DF">
        <w:rPr>
          <w:rFonts w:asciiTheme="majorBidi" w:hAnsiTheme="majorBidi" w:cstheme="majorBidi"/>
          <w:lang w:val="en-US"/>
        </w:rPr>
        <w:t>However, the study does have limitations. The analysis, though comprehensive, is based on a relatively short timeframe and a limited group of countries. Moreover, the evolving nature of ESG frameworks and sovereign rating methodologies might introduce dynamic elements not entirely captured within the study period.</w:t>
      </w:r>
    </w:p>
    <w:p w14:paraId="2FD8E142" w14:textId="3FB8F982" w:rsidR="004470DF" w:rsidRPr="004470DF" w:rsidRDefault="004470DF" w:rsidP="004470DF">
      <w:pPr>
        <w:rPr>
          <w:rFonts w:asciiTheme="majorBidi" w:hAnsiTheme="majorBidi" w:cstheme="majorBidi"/>
          <w:lang w:val="en-US"/>
        </w:rPr>
      </w:pPr>
      <w:r w:rsidRPr="004470DF">
        <w:rPr>
          <w:rFonts w:asciiTheme="majorBidi" w:hAnsiTheme="majorBidi" w:cstheme="majorBidi"/>
          <w:lang w:val="en-US"/>
        </w:rPr>
        <w:t xml:space="preserve">In conclusion, this study offers insights into the changing realm of sovereign ratings and their intricate links with ESG considerations and macroeconomic indicators. The results underscore the need for nations to adopt comprehensive strategies in economic management, harmonizing growth objectives with sustainable practices. As global financial dynamics evolve, policymakers, investors, and </w:t>
      </w:r>
      <w:r w:rsidRPr="004470DF">
        <w:rPr>
          <w:rFonts w:asciiTheme="majorBidi" w:hAnsiTheme="majorBidi" w:cstheme="majorBidi"/>
          <w:lang w:val="en-US"/>
        </w:rPr>
        <w:lastRenderedPageBreak/>
        <w:t>institutions must remain vigilant about the evolving determinants of sovereign creditworthiness to make informed choices and promote sustainable development.</w:t>
      </w:r>
      <w:r>
        <w:rPr>
          <w:rFonts w:asciiTheme="majorBidi" w:hAnsiTheme="majorBidi" w:cstheme="majorBidi"/>
          <w:lang w:val="en-US"/>
        </w:rPr>
        <w:t xml:space="preserve"> </w:t>
      </w:r>
      <w:r w:rsidRPr="004470DF">
        <w:rPr>
          <w:rFonts w:asciiTheme="majorBidi" w:hAnsiTheme="majorBidi" w:cstheme="majorBidi"/>
          <w:lang w:val="en-US"/>
        </w:rPr>
        <w:t>Ultimately, this study contributes to the ongoing discourse on the intricate nature of sovereign ratings, inviting further exploration and policy dialogues to pave the way for steady and sustainable economic trajectories for countries around the world.</w:t>
      </w:r>
    </w:p>
    <w:p w14:paraId="0A59BC90" w14:textId="77777777" w:rsidR="00541551" w:rsidRDefault="00541551">
      <w:pPr>
        <w:spacing w:before="0" w:beforeAutospacing="0" w:after="160" w:afterAutospacing="0" w:line="259" w:lineRule="auto"/>
        <w:jc w:val="left"/>
      </w:pPr>
    </w:p>
    <w:p w14:paraId="0F81DE8A" w14:textId="5C6784AD" w:rsidR="00D472ED" w:rsidRDefault="00D472ED">
      <w:pPr>
        <w:spacing w:before="0" w:beforeAutospacing="0" w:after="160" w:afterAutospacing="0" w:line="259" w:lineRule="auto"/>
        <w:jc w:val="left"/>
      </w:pPr>
      <w:r>
        <w:br w:type="page"/>
      </w:r>
    </w:p>
    <w:p w14:paraId="1A28E19D" w14:textId="0A2B3981" w:rsidR="00D472ED" w:rsidRDefault="00D472ED" w:rsidP="00D472ED">
      <w:pPr>
        <w:pStyle w:val="Heading1"/>
      </w:pPr>
      <w:r>
        <w:lastRenderedPageBreak/>
        <w:t>References</w:t>
      </w:r>
    </w:p>
    <w:p w14:paraId="3EE6AEB2" w14:textId="77777777" w:rsidR="00555272" w:rsidRPr="00555272" w:rsidRDefault="00555272" w:rsidP="00555272">
      <w:pPr>
        <w:pStyle w:val="ListParagraph"/>
        <w:numPr>
          <w:ilvl w:val="0"/>
          <w:numId w:val="8"/>
        </w:numPr>
        <w:rPr>
          <w:color w:val="000000" w:themeColor="text1"/>
          <w:lang w:val="en-US"/>
        </w:rPr>
      </w:pPr>
      <w:r w:rsidRPr="00555272">
        <w:rPr>
          <w:color w:val="000000" w:themeColor="text1"/>
        </w:rPr>
        <w:t xml:space="preserve">Adams, C.A. and </w:t>
      </w:r>
      <w:proofErr w:type="spellStart"/>
      <w:r w:rsidRPr="00555272">
        <w:rPr>
          <w:color w:val="000000" w:themeColor="text1"/>
        </w:rPr>
        <w:t>Abhayawansa</w:t>
      </w:r>
      <w:proofErr w:type="spellEnd"/>
      <w:r w:rsidRPr="00555272">
        <w:rPr>
          <w:color w:val="000000" w:themeColor="text1"/>
        </w:rPr>
        <w:t>, S., 2022. Connecting the COVID-19 pandemic, environmental, social and governance (ESG) investing and calls for ‘</w:t>
      </w:r>
      <w:proofErr w:type="spellStart"/>
      <w:r w:rsidRPr="00555272">
        <w:rPr>
          <w:color w:val="000000" w:themeColor="text1"/>
        </w:rPr>
        <w:t>harmonisation’of</w:t>
      </w:r>
      <w:proofErr w:type="spellEnd"/>
      <w:r w:rsidRPr="00555272">
        <w:rPr>
          <w:color w:val="000000" w:themeColor="text1"/>
        </w:rPr>
        <w:t xml:space="preserve"> sustainability reporting. </w:t>
      </w:r>
      <w:r w:rsidRPr="00555272">
        <w:rPr>
          <w:i/>
          <w:iCs/>
          <w:color w:val="000000" w:themeColor="text1"/>
        </w:rPr>
        <w:t>Critical Perspectives on Accounting</w:t>
      </w:r>
      <w:r w:rsidRPr="00555272">
        <w:rPr>
          <w:color w:val="000000" w:themeColor="text1"/>
        </w:rPr>
        <w:t>, </w:t>
      </w:r>
      <w:r w:rsidRPr="00555272">
        <w:rPr>
          <w:i/>
          <w:iCs/>
          <w:color w:val="000000" w:themeColor="text1"/>
        </w:rPr>
        <w:t>82</w:t>
      </w:r>
      <w:r w:rsidRPr="00555272">
        <w:rPr>
          <w:color w:val="000000" w:themeColor="text1"/>
        </w:rPr>
        <w:t>, p.102309.</w:t>
      </w:r>
    </w:p>
    <w:p w14:paraId="32C8BCF4" w14:textId="77777777" w:rsidR="00555272" w:rsidRPr="00555272" w:rsidRDefault="00555272" w:rsidP="00555272">
      <w:pPr>
        <w:pStyle w:val="ListParagraph"/>
        <w:numPr>
          <w:ilvl w:val="0"/>
          <w:numId w:val="8"/>
        </w:numPr>
        <w:rPr>
          <w:color w:val="000000" w:themeColor="text1"/>
          <w:lang w:val="en-US"/>
        </w:rPr>
      </w:pPr>
      <w:r w:rsidRPr="00555272">
        <w:rPr>
          <w:color w:val="000000" w:themeColor="text1"/>
        </w:rPr>
        <w:t xml:space="preserve">Anand, A., </w:t>
      </w:r>
      <w:proofErr w:type="spellStart"/>
      <w:r w:rsidRPr="00555272">
        <w:rPr>
          <w:color w:val="000000" w:themeColor="text1"/>
        </w:rPr>
        <w:t>Vanpée</w:t>
      </w:r>
      <w:proofErr w:type="spellEnd"/>
      <w:r w:rsidRPr="00555272">
        <w:rPr>
          <w:color w:val="000000" w:themeColor="text1"/>
        </w:rPr>
        <w:t xml:space="preserve">, R. and </w:t>
      </w:r>
      <w:proofErr w:type="spellStart"/>
      <w:r w:rsidRPr="00555272">
        <w:rPr>
          <w:color w:val="000000" w:themeColor="text1"/>
        </w:rPr>
        <w:t>Lončarski</w:t>
      </w:r>
      <w:proofErr w:type="spellEnd"/>
      <w:r w:rsidRPr="00555272">
        <w:rPr>
          <w:color w:val="000000" w:themeColor="text1"/>
        </w:rPr>
        <w:t>, I., 2023. Sustainability and sovereign credit risk. International Review of Financial Analysis, 86, p.102494.</w:t>
      </w:r>
    </w:p>
    <w:p w14:paraId="5A05B1C2" w14:textId="77777777" w:rsidR="00555272" w:rsidRPr="00555272" w:rsidRDefault="00555272" w:rsidP="00555272">
      <w:pPr>
        <w:pStyle w:val="ListParagraph"/>
        <w:numPr>
          <w:ilvl w:val="0"/>
          <w:numId w:val="8"/>
        </w:numPr>
        <w:rPr>
          <w:color w:val="000000" w:themeColor="text1"/>
        </w:rPr>
      </w:pPr>
      <w:r w:rsidRPr="00555272">
        <w:rPr>
          <w:color w:val="000000" w:themeColor="text1"/>
        </w:rPr>
        <w:t xml:space="preserve">Afonso, A., </w:t>
      </w:r>
      <w:proofErr w:type="gramStart"/>
      <w:r w:rsidRPr="00555272">
        <w:rPr>
          <w:color w:val="000000" w:themeColor="text1"/>
        </w:rPr>
        <w:t>Gomes,P.</w:t>
      </w:r>
      <w:proofErr w:type="gramEnd"/>
      <w:r w:rsidRPr="00555272">
        <w:rPr>
          <w:color w:val="000000" w:themeColor="text1"/>
        </w:rPr>
        <w:t xml:space="preserve">&amp;Rother,P.2011.Short-andlong-rundeterminantsofsovereigndebtcredit ratings. International Journal </w:t>
      </w:r>
      <w:proofErr w:type="spellStart"/>
      <w:r w:rsidRPr="00555272">
        <w:rPr>
          <w:color w:val="000000" w:themeColor="text1"/>
        </w:rPr>
        <w:t>ofFinance</w:t>
      </w:r>
      <w:proofErr w:type="spellEnd"/>
      <w:r w:rsidRPr="00555272">
        <w:rPr>
          <w:color w:val="000000" w:themeColor="text1"/>
        </w:rPr>
        <w:t xml:space="preserve"> and Economics,</w:t>
      </w:r>
      <w:proofErr w:type="gramStart"/>
      <w:r w:rsidRPr="00555272">
        <w:rPr>
          <w:color w:val="000000" w:themeColor="text1"/>
        </w:rPr>
        <w:t>16,pp.</w:t>
      </w:r>
      <w:proofErr w:type="gramEnd"/>
      <w:r w:rsidRPr="00555272">
        <w:rPr>
          <w:color w:val="000000" w:themeColor="text1"/>
        </w:rPr>
        <w:t>1–15.</w:t>
      </w:r>
    </w:p>
    <w:p w14:paraId="27814681" w14:textId="77777777" w:rsidR="00555272" w:rsidRPr="00555272" w:rsidRDefault="00555272" w:rsidP="00555272">
      <w:pPr>
        <w:pStyle w:val="ListParagraph"/>
        <w:numPr>
          <w:ilvl w:val="0"/>
          <w:numId w:val="8"/>
        </w:numPr>
        <w:rPr>
          <w:color w:val="000000" w:themeColor="text1"/>
        </w:rPr>
      </w:pPr>
      <w:r w:rsidRPr="00555272">
        <w:rPr>
          <w:color w:val="000000" w:themeColor="text1"/>
        </w:rPr>
        <w:t>Barth, F., Hübel, B. and Scholz, H., 2022. ESG and corporate credit spreads. </w:t>
      </w:r>
      <w:r w:rsidRPr="00555272">
        <w:rPr>
          <w:i/>
          <w:iCs/>
          <w:color w:val="000000" w:themeColor="text1"/>
        </w:rPr>
        <w:t>The Journal of Risk Finance</w:t>
      </w:r>
      <w:r w:rsidRPr="00555272">
        <w:rPr>
          <w:color w:val="000000" w:themeColor="text1"/>
        </w:rPr>
        <w:t>, </w:t>
      </w:r>
      <w:r w:rsidRPr="00555272">
        <w:rPr>
          <w:i/>
          <w:iCs/>
          <w:color w:val="000000" w:themeColor="text1"/>
        </w:rPr>
        <w:t>23</w:t>
      </w:r>
      <w:r w:rsidRPr="00555272">
        <w:rPr>
          <w:color w:val="000000" w:themeColor="text1"/>
        </w:rPr>
        <w:t>(2), pp.169-190.</w:t>
      </w:r>
    </w:p>
    <w:p w14:paraId="257A9357" w14:textId="77777777" w:rsidR="00555272" w:rsidRPr="00555272" w:rsidRDefault="00555272" w:rsidP="00555272">
      <w:pPr>
        <w:pStyle w:val="ListParagraph"/>
        <w:numPr>
          <w:ilvl w:val="0"/>
          <w:numId w:val="8"/>
        </w:numPr>
        <w:rPr>
          <w:color w:val="000000" w:themeColor="text1"/>
        </w:rPr>
      </w:pPr>
      <w:r w:rsidRPr="00555272">
        <w:rPr>
          <w:color w:val="000000" w:themeColor="text1"/>
        </w:rPr>
        <w:t>Becker, M.G., Martin, F. and Walter, A., 2022. The power of ESG transparency: The effect of the new SFDR sustainability labels on mutual funds and individual investors. </w:t>
      </w:r>
      <w:r w:rsidRPr="00555272">
        <w:rPr>
          <w:i/>
          <w:iCs/>
          <w:color w:val="000000" w:themeColor="text1"/>
        </w:rPr>
        <w:t>Finance Research Letters</w:t>
      </w:r>
      <w:r w:rsidRPr="00555272">
        <w:rPr>
          <w:color w:val="000000" w:themeColor="text1"/>
        </w:rPr>
        <w:t>, </w:t>
      </w:r>
      <w:r w:rsidRPr="00555272">
        <w:rPr>
          <w:i/>
          <w:iCs/>
          <w:color w:val="000000" w:themeColor="text1"/>
        </w:rPr>
        <w:t>47</w:t>
      </w:r>
      <w:r w:rsidRPr="00555272">
        <w:rPr>
          <w:color w:val="000000" w:themeColor="text1"/>
        </w:rPr>
        <w:t>, p.102708.</w:t>
      </w:r>
    </w:p>
    <w:p w14:paraId="6A73273A" w14:textId="77777777" w:rsidR="00555272" w:rsidRPr="00555272" w:rsidRDefault="00555272" w:rsidP="00555272">
      <w:pPr>
        <w:pStyle w:val="ListParagraph"/>
        <w:numPr>
          <w:ilvl w:val="0"/>
          <w:numId w:val="8"/>
        </w:numPr>
        <w:rPr>
          <w:color w:val="000000" w:themeColor="text1"/>
        </w:rPr>
      </w:pPr>
      <w:r w:rsidRPr="00555272">
        <w:rPr>
          <w:color w:val="000000" w:themeColor="text1"/>
        </w:rPr>
        <w:t>Broadstock, D.C., Chan, K., Cheng, L.T. and Wang, X., 2021. The role of ESG performance during times of financial crisis: Evidence from COVID-19 in China. </w:t>
      </w:r>
      <w:r w:rsidRPr="00555272">
        <w:rPr>
          <w:i/>
          <w:iCs/>
          <w:color w:val="000000" w:themeColor="text1"/>
        </w:rPr>
        <w:t>Finance research letters</w:t>
      </w:r>
      <w:r w:rsidRPr="00555272">
        <w:rPr>
          <w:color w:val="000000" w:themeColor="text1"/>
        </w:rPr>
        <w:t>, </w:t>
      </w:r>
      <w:r w:rsidRPr="00555272">
        <w:rPr>
          <w:i/>
          <w:iCs/>
          <w:color w:val="000000" w:themeColor="text1"/>
        </w:rPr>
        <w:t>38</w:t>
      </w:r>
      <w:r w:rsidRPr="00555272">
        <w:rPr>
          <w:color w:val="000000" w:themeColor="text1"/>
        </w:rPr>
        <w:t>, p.101716.</w:t>
      </w:r>
    </w:p>
    <w:p w14:paraId="5EB4C5DE" w14:textId="77777777" w:rsidR="00555272" w:rsidRPr="00555272" w:rsidRDefault="00555272" w:rsidP="00555272">
      <w:pPr>
        <w:pStyle w:val="ListParagraph"/>
        <w:numPr>
          <w:ilvl w:val="0"/>
          <w:numId w:val="8"/>
        </w:numPr>
        <w:rPr>
          <w:color w:val="000000" w:themeColor="text1"/>
        </w:rPr>
      </w:pPr>
      <w:r w:rsidRPr="00555272">
        <w:rPr>
          <w:color w:val="000000" w:themeColor="text1"/>
        </w:rPr>
        <w:t>Cantor, R. &amp; Packer, F. 1996. Determinants and impacts of sovereign credit ratings. Economic Policy Review,</w:t>
      </w:r>
      <w:proofErr w:type="gramStart"/>
      <w:r w:rsidRPr="00555272">
        <w:rPr>
          <w:color w:val="000000" w:themeColor="text1"/>
        </w:rPr>
        <w:t>2,pp.</w:t>
      </w:r>
      <w:proofErr w:type="gramEnd"/>
      <w:r w:rsidRPr="00555272">
        <w:rPr>
          <w:color w:val="000000" w:themeColor="text1"/>
        </w:rPr>
        <w:t>37–53.</w:t>
      </w:r>
    </w:p>
    <w:p w14:paraId="5817C1C5" w14:textId="77777777" w:rsidR="00555272" w:rsidRPr="00555272" w:rsidRDefault="00555272" w:rsidP="00555272">
      <w:pPr>
        <w:pStyle w:val="ListParagraph"/>
        <w:numPr>
          <w:ilvl w:val="0"/>
          <w:numId w:val="8"/>
        </w:numPr>
        <w:rPr>
          <w:color w:val="000000" w:themeColor="text1"/>
        </w:rPr>
      </w:pPr>
      <w:r w:rsidRPr="00555272">
        <w:rPr>
          <w:color w:val="000000" w:themeColor="text1"/>
        </w:rPr>
        <w:t>Capelle-</w:t>
      </w:r>
      <w:proofErr w:type="spellStart"/>
      <w:r w:rsidRPr="00555272">
        <w:rPr>
          <w:color w:val="000000" w:themeColor="text1"/>
        </w:rPr>
        <w:t>Blancard</w:t>
      </w:r>
      <w:proofErr w:type="spellEnd"/>
      <w:r w:rsidRPr="00555272">
        <w:rPr>
          <w:color w:val="000000" w:themeColor="text1"/>
        </w:rPr>
        <w:t xml:space="preserve">, G., </w:t>
      </w:r>
      <w:proofErr w:type="spellStart"/>
      <w:r w:rsidRPr="00555272">
        <w:rPr>
          <w:color w:val="000000" w:themeColor="text1"/>
        </w:rPr>
        <w:t>Crifo</w:t>
      </w:r>
      <w:proofErr w:type="spellEnd"/>
      <w:r w:rsidRPr="00555272">
        <w:rPr>
          <w:color w:val="000000" w:themeColor="text1"/>
        </w:rPr>
        <w:t xml:space="preserve">, P., </w:t>
      </w:r>
      <w:proofErr w:type="spellStart"/>
      <w:r w:rsidRPr="00555272">
        <w:rPr>
          <w:color w:val="000000" w:themeColor="text1"/>
        </w:rPr>
        <w:t>Diaye</w:t>
      </w:r>
      <w:proofErr w:type="spellEnd"/>
      <w:r w:rsidRPr="00555272">
        <w:rPr>
          <w:color w:val="000000" w:themeColor="text1"/>
        </w:rPr>
        <w:t xml:space="preserve">, M.-A., &amp; </w:t>
      </w:r>
      <w:proofErr w:type="spellStart"/>
      <w:r w:rsidRPr="00555272">
        <w:rPr>
          <w:color w:val="000000" w:themeColor="text1"/>
        </w:rPr>
        <w:t>Oueghlissi</w:t>
      </w:r>
      <w:proofErr w:type="spellEnd"/>
      <w:r w:rsidRPr="00555272">
        <w:rPr>
          <w:color w:val="000000" w:themeColor="text1"/>
        </w:rPr>
        <w:t>, R. 2019. Sovereign bond yield spreads and sustainability: An empirical analysis of OECD countries. Journal of Banking &amp; Finance, 98, pp.156-169</w:t>
      </w:r>
    </w:p>
    <w:p w14:paraId="22718087" w14:textId="77777777" w:rsidR="00555272" w:rsidRPr="00555272" w:rsidRDefault="00555272" w:rsidP="00555272">
      <w:pPr>
        <w:pStyle w:val="ListParagraph"/>
        <w:numPr>
          <w:ilvl w:val="0"/>
          <w:numId w:val="8"/>
        </w:numPr>
        <w:rPr>
          <w:color w:val="000000" w:themeColor="text1"/>
        </w:rPr>
      </w:pPr>
      <w:proofErr w:type="spellStart"/>
      <w:r w:rsidRPr="00555272">
        <w:rPr>
          <w:color w:val="000000" w:themeColor="text1"/>
        </w:rPr>
        <w:t>Cevik</w:t>
      </w:r>
      <w:proofErr w:type="spellEnd"/>
      <w:r w:rsidRPr="00555272">
        <w:rPr>
          <w:color w:val="000000" w:themeColor="text1"/>
        </w:rPr>
        <w:t xml:space="preserve">, S., &amp; </w:t>
      </w:r>
      <w:proofErr w:type="spellStart"/>
      <w:r w:rsidRPr="00555272">
        <w:rPr>
          <w:color w:val="000000" w:themeColor="text1"/>
        </w:rPr>
        <w:t>Jalles</w:t>
      </w:r>
      <w:proofErr w:type="spellEnd"/>
      <w:r w:rsidRPr="00555272">
        <w:rPr>
          <w:color w:val="000000" w:themeColor="text1"/>
        </w:rPr>
        <w:t xml:space="preserve">, J. T. 2022. This changes everything: Climate shocks and sovereign </w:t>
      </w:r>
      <w:proofErr w:type="spellStart"/>
      <w:proofErr w:type="gramStart"/>
      <w:r w:rsidRPr="00555272">
        <w:rPr>
          <w:color w:val="000000" w:themeColor="text1"/>
        </w:rPr>
        <w:t>bonds.Energy</w:t>
      </w:r>
      <w:proofErr w:type="spellEnd"/>
      <w:proofErr w:type="gramEnd"/>
      <w:r w:rsidRPr="00555272">
        <w:rPr>
          <w:color w:val="000000" w:themeColor="text1"/>
        </w:rPr>
        <w:t xml:space="preserve"> Economics,107,105856</w:t>
      </w:r>
    </w:p>
    <w:p w14:paraId="775C8C56" w14:textId="77777777" w:rsidR="00555272" w:rsidRPr="00555272" w:rsidRDefault="00555272" w:rsidP="00555272">
      <w:pPr>
        <w:pStyle w:val="ListParagraph"/>
        <w:numPr>
          <w:ilvl w:val="0"/>
          <w:numId w:val="8"/>
        </w:numPr>
        <w:rPr>
          <w:color w:val="000000" w:themeColor="text1"/>
        </w:rPr>
      </w:pPr>
      <w:proofErr w:type="spellStart"/>
      <w:r w:rsidRPr="00555272">
        <w:rPr>
          <w:color w:val="000000" w:themeColor="text1"/>
        </w:rPr>
        <w:t>Chodnicka</w:t>
      </w:r>
      <w:proofErr w:type="spellEnd"/>
      <w:r w:rsidRPr="00555272">
        <w:rPr>
          <w:color w:val="000000" w:themeColor="text1"/>
        </w:rPr>
        <w:t>-Jaworska, P., 2023. Impact of COVID-19 on European banks’ credit ratings. </w:t>
      </w:r>
      <w:r w:rsidRPr="00555272">
        <w:rPr>
          <w:i/>
          <w:iCs/>
          <w:color w:val="000000" w:themeColor="text1"/>
        </w:rPr>
        <w:t>Economic Research-</w:t>
      </w:r>
      <w:proofErr w:type="spellStart"/>
      <w:r w:rsidRPr="00555272">
        <w:rPr>
          <w:i/>
          <w:iCs/>
          <w:color w:val="000000" w:themeColor="text1"/>
        </w:rPr>
        <w:t>Ekonomska</w:t>
      </w:r>
      <w:proofErr w:type="spellEnd"/>
      <w:r w:rsidRPr="00555272">
        <w:rPr>
          <w:i/>
          <w:iCs/>
          <w:color w:val="000000" w:themeColor="text1"/>
        </w:rPr>
        <w:t xml:space="preserve"> </w:t>
      </w:r>
      <w:proofErr w:type="spellStart"/>
      <w:r w:rsidRPr="00555272">
        <w:rPr>
          <w:i/>
          <w:iCs/>
          <w:color w:val="000000" w:themeColor="text1"/>
        </w:rPr>
        <w:t>Istraživanja</w:t>
      </w:r>
      <w:proofErr w:type="spellEnd"/>
      <w:r w:rsidRPr="00555272">
        <w:rPr>
          <w:color w:val="000000" w:themeColor="text1"/>
        </w:rPr>
        <w:t>, </w:t>
      </w:r>
      <w:r w:rsidRPr="00555272">
        <w:rPr>
          <w:i/>
          <w:iCs/>
          <w:color w:val="000000" w:themeColor="text1"/>
        </w:rPr>
        <w:t>36</w:t>
      </w:r>
      <w:r w:rsidRPr="00555272">
        <w:rPr>
          <w:color w:val="000000" w:themeColor="text1"/>
        </w:rPr>
        <w:t>(3), p.2153717.</w:t>
      </w:r>
    </w:p>
    <w:p w14:paraId="3480C284" w14:textId="77777777" w:rsidR="00555272" w:rsidRPr="00555272" w:rsidRDefault="00555272" w:rsidP="00555272">
      <w:pPr>
        <w:pStyle w:val="ListParagraph"/>
        <w:numPr>
          <w:ilvl w:val="0"/>
          <w:numId w:val="8"/>
        </w:numPr>
        <w:rPr>
          <w:color w:val="000000" w:themeColor="text1"/>
          <w:shd w:val="clear" w:color="auto" w:fill="FFFFFF"/>
        </w:rPr>
      </w:pPr>
      <w:r w:rsidRPr="00555272">
        <w:rPr>
          <w:color w:val="000000" w:themeColor="text1"/>
          <w:shd w:val="clear" w:color="auto" w:fill="FFFFFF"/>
        </w:rPr>
        <w:t xml:space="preserve">Di Simone, L., </w:t>
      </w:r>
      <w:proofErr w:type="spellStart"/>
      <w:r w:rsidRPr="00555272">
        <w:rPr>
          <w:color w:val="000000" w:themeColor="text1"/>
          <w:shd w:val="clear" w:color="auto" w:fill="FFFFFF"/>
        </w:rPr>
        <w:t>Petracci</w:t>
      </w:r>
      <w:proofErr w:type="spellEnd"/>
      <w:r w:rsidRPr="00555272">
        <w:rPr>
          <w:color w:val="000000" w:themeColor="text1"/>
          <w:shd w:val="clear" w:color="auto" w:fill="FFFFFF"/>
        </w:rPr>
        <w:t>, B. and Piva, M., 2022. Economic sustainability, innovation, and the ESG factors: An empirical investigation. </w:t>
      </w:r>
      <w:r w:rsidRPr="00555272">
        <w:rPr>
          <w:i/>
          <w:iCs/>
          <w:color w:val="000000" w:themeColor="text1"/>
          <w:shd w:val="clear" w:color="auto" w:fill="FFFFFF"/>
        </w:rPr>
        <w:t>Sustainability</w:t>
      </w:r>
      <w:r w:rsidRPr="00555272">
        <w:rPr>
          <w:color w:val="000000" w:themeColor="text1"/>
          <w:shd w:val="clear" w:color="auto" w:fill="FFFFFF"/>
        </w:rPr>
        <w:t>, </w:t>
      </w:r>
      <w:r w:rsidRPr="00555272">
        <w:rPr>
          <w:i/>
          <w:iCs/>
          <w:color w:val="000000" w:themeColor="text1"/>
          <w:shd w:val="clear" w:color="auto" w:fill="FFFFFF"/>
        </w:rPr>
        <w:t>14</w:t>
      </w:r>
      <w:r w:rsidRPr="00555272">
        <w:rPr>
          <w:color w:val="000000" w:themeColor="text1"/>
          <w:shd w:val="clear" w:color="auto" w:fill="FFFFFF"/>
        </w:rPr>
        <w:t>(4), p.2270.</w:t>
      </w:r>
    </w:p>
    <w:p w14:paraId="4AB324C9" w14:textId="77777777" w:rsidR="00555272" w:rsidRPr="00555272" w:rsidRDefault="00555272" w:rsidP="00555272">
      <w:pPr>
        <w:pStyle w:val="ListParagraph"/>
        <w:numPr>
          <w:ilvl w:val="0"/>
          <w:numId w:val="8"/>
        </w:numPr>
        <w:rPr>
          <w:color w:val="000000" w:themeColor="text1"/>
        </w:rPr>
      </w:pPr>
      <w:r w:rsidRPr="00555272">
        <w:rPr>
          <w:color w:val="000000" w:themeColor="text1"/>
        </w:rPr>
        <w:t>Duque-Grisales, E. and Aguilera-</w:t>
      </w:r>
      <w:proofErr w:type="spellStart"/>
      <w:r w:rsidRPr="00555272">
        <w:rPr>
          <w:color w:val="000000" w:themeColor="text1"/>
        </w:rPr>
        <w:t>Caracuel</w:t>
      </w:r>
      <w:proofErr w:type="spellEnd"/>
      <w:r w:rsidRPr="00555272">
        <w:rPr>
          <w:color w:val="000000" w:themeColor="text1"/>
        </w:rPr>
        <w:t xml:space="preserve">, J., 2021. Environmental, social and governance (ESG) scores and financial performance of </w:t>
      </w:r>
      <w:proofErr w:type="spellStart"/>
      <w:r w:rsidRPr="00555272">
        <w:rPr>
          <w:color w:val="000000" w:themeColor="text1"/>
        </w:rPr>
        <w:t>multilatinas</w:t>
      </w:r>
      <w:proofErr w:type="spellEnd"/>
      <w:r w:rsidRPr="00555272">
        <w:rPr>
          <w:color w:val="000000" w:themeColor="text1"/>
        </w:rPr>
        <w:t>: Moderating effects of geographic international diversification and financial slack. </w:t>
      </w:r>
      <w:r w:rsidRPr="00555272">
        <w:rPr>
          <w:i/>
          <w:iCs/>
          <w:color w:val="000000" w:themeColor="text1"/>
        </w:rPr>
        <w:t>Journal of Business Ethics</w:t>
      </w:r>
      <w:r w:rsidRPr="00555272">
        <w:rPr>
          <w:color w:val="000000" w:themeColor="text1"/>
        </w:rPr>
        <w:t>, </w:t>
      </w:r>
      <w:r w:rsidRPr="00555272">
        <w:rPr>
          <w:i/>
          <w:iCs/>
          <w:color w:val="000000" w:themeColor="text1"/>
        </w:rPr>
        <w:t>168</w:t>
      </w:r>
      <w:r w:rsidRPr="00555272">
        <w:rPr>
          <w:color w:val="000000" w:themeColor="text1"/>
        </w:rPr>
        <w:t>(2), pp.315-334.</w:t>
      </w:r>
    </w:p>
    <w:p w14:paraId="5596FCE6" w14:textId="77777777" w:rsidR="00555272" w:rsidRPr="00555272" w:rsidRDefault="00555272" w:rsidP="00555272">
      <w:pPr>
        <w:pStyle w:val="ListParagraph"/>
        <w:numPr>
          <w:ilvl w:val="0"/>
          <w:numId w:val="8"/>
        </w:numPr>
        <w:rPr>
          <w:color w:val="000000" w:themeColor="text1"/>
          <w:shd w:val="clear" w:color="auto" w:fill="FFFFFF"/>
        </w:rPr>
      </w:pPr>
      <w:proofErr w:type="spellStart"/>
      <w:r w:rsidRPr="00555272">
        <w:rPr>
          <w:color w:val="000000" w:themeColor="text1"/>
          <w:shd w:val="clear" w:color="auto" w:fill="FFFFFF"/>
        </w:rPr>
        <w:t>Hakovirta</w:t>
      </w:r>
      <w:proofErr w:type="spellEnd"/>
      <w:r w:rsidRPr="00555272">
        <w:rPr>
          <w:color w:val="000000" w:themeColor="text1"/>
          <w:shd w:val="clear" w:color="auto" w:fill="FFFFFF"/>
        </w:rPr>
        <w:t xml:space="preserve">, M. and </w:t>
      </w:r>
      <w:proofErr w:type="spellStart"/>
      <w:r w:rsidRPr="00555272">
        <w:rPr>
          <w:color w:val="000000" w:themeColor="text1"/>
          <w:shd w:val="clear" w:color="auto" w:fill="FFFFFF"/>
        </w:rPr>
        <w:t>Denuwara</w:t>
      </w:r>
      <w:proofErr w:type="spellEnd"/>
      <w:r w:rsidRPr="00555272">
        <w:rPr>
          <w:color w:val="000000" w:themeColor="text1"/>
          <w:shd w:val="clear" w:color="auto" w:fill="FFFFFF"/>
        </w:rPr>
        <w:t>, N., 2020. How COVID-19 redefines the concept of sustainability. Sustainability 12, 3727.</w:t>
      </w:r>
      <w:r w:rsidRPr="00555272">
        <w:rPr>
          <w:color w:val="000000" w:themeColor="text1"/>
        </w:rPr>
        <w:br/>
      </w:r>
      <w:proofErr w:type="gramStart"/>
      <w:r w:rsidRPr="00555272">
        <w:rPr>
          <w:color w:val="000000" w:themeColor="text1"/>
        </w:rPr>
        <w:t>Klusak,P.</w:t>
      </w:r>
      <w:proofErr w:type="gramEnd"/>
      <w:r w:rsidRPr="00555272">
        <w:rPr>
          <w:color w:val="000000" w:themeColor="text1"/>
        </w:rPr>
        <w:t>,Agarwala,M.,Burke,M.,Kraemer,M.,&amp;Mohaddes,K.2021.Risingtemperatures,fallin</w:t>
      </w:r>
      <w:r w:rsidRPr="00555272">
        <w:rPr>
          <w:color w:val="000000" w:themeColor="text1"/>
        </w:rPr>
        <w:lastRenderedPageBreak/>
        <w:t>g ratings: The effect of climate change on sovereign creditworthiness. Management Science (forthcoming).</w:t>
      </w:r>
    </w:p>
    <w:p w14:paraId="1C70E125" w14:textId="77777777" w:rsidR="00555272" w:rsidRPr="00555272" w:rsidRDefault="00555272" w:rsidP="00555272">
      <w:pPr>
        <w:pStyle w:val="ListParagraph"/>
        <w:numPr>
          <w:ilvl w:val="0"/>
          <w:numId w:val="8"/>
        </w:numPr>
        <w:rPr>
          <w:color w:val="000000" w:themeColor="text1"/>
          <w:shd w:val="clear" w:color="auto" w:fill="FFFFFF"/>
        </w:rPr>
      </w:pPr>
      <w:r w:rsidRPr="00555272">
        <w:rPr>
          <w:color w:val="000000" w:themeColor="text1"/>
          <w:shd w:val="clear" w:color="auto" w:fill="FFFFFF"/>
        </w:rPr>
        <w:t>Lin, A.J., Chang, H.Y. and Hung, B., 2022. Identifying key financial, environmental, social, governance (ESG), bond, and COVID-19 factors affecting global shipping companies—A hybrid multiple-criteria decision-making method. </w:t>
      </w:r>
      <w:r w:rsidRPr="00555272">
        <w:rPr>
          <w:i/>
          <w:iCs/>
          <w:color w:val="000000" w:themeColor="text1"/>
          <w:shd w:val="clear" w:color="auto" w:fill="FFFFFF"/>
        </w:rPr>
        <w:t>Sustainability</w:t>
      </w:r>
      <w:r w:rsidRPr="00555272">
        <w:rPr>
          <w:color w:val="000000" w:themeColor="text1"/>
          <w:shd w:val="clear" w:color="auto" w:fill="FFFFFF"/>
        </w:rPr>
        <w:t>, </w:t>
      </w:r>
      <w:r w:rsidRPr="00555272">
        <w:rPr>
          <w:i/>
          <w:iCs/>
          <w:color w:val="000000" w:themeColor="text1"/>
          <w:shd w:val="clear" w:color="auto" w:fill="FFFFFF"/>
        </w:rPr>
        <w:t>14</w:t>
      </w:r>
      <w:r w:rsidRPr="00555272">
        <w:rPr>
          <w:color w:val="000000" w:themeColor="text1"/>
          <w:shd w:val="clear" w:color="auto" w:fill="FFFFFF"/>
        </w:rPr>
        <w:t>(9), p.5148.</w:t>
      </w:r>
    </w:p>
    <w:p w14:paraId="3179F6E6" w14:textId="77777777" w:rsidR="00555272" w:rsidRPr="00555272" w:rsidRDefault="00555272" w:rsidP="00555272">
      <w:pPr>
        <w:pStyle w:val="ListParagraph"/>
        <w:numPr>
          <w:ilvl w:val="0"/>
          <w:numId w:val="8"/>
        </w:numPr>
        <w:rPr>
          <w:color w:val="000000" w:themeColor="text1"/>
          <w:shd w:val="clear" w:color="auto" w:fill="FFFFFF"/>
        </w:rPr>
      </w:pPr>
      <w:r w:rsidRPr="00555272">
        <w:rPr>
          <w:color w:val="000000" w:themeColor="text1"/>
          <w:shd w:val="clear" w:color="auto" w:fill="FFFFFF"/>
        </w:rPr>
        <w:t xml:space="preserve">Lööf, H., </w:t>
      </w:r>
      <w:proofErr w:type="spellStart"/>
      <w:r w:rsidRPr="00555272">
        <w:rPr>
          <w:color w:val="000000" w:themeColor="text1"/>
          <w:shd w:val="clear" w:color="auto" w:fill="FFFFFF"/>
        </w:rPr>
        <w:t>Sahamkhadam</w:t>
      </w:r>
      <w:proofErr w:type="spellEnd"/>
      <w:r w:rsidRPr="00555272">
        <w:rPr>
          <w:color w:val="000000" w:themeColor="text1"/>
          <w:shd w:val="clear" w:color="auto" w:fill="FFFFFF"/>
        </w:rPr>
        <w:t>, M. and Stephan, A., 2022. Is Corporate Social Responsibility investing a free lunch? The relationship between ESG, tail risk, and upside potential of stocks before and during the COVID-19 crisis. </w:t>
      </w:r>
      <w:r w:rsidRPr="00555272">
        <w:rPr>
          <w:i/>
          <w:iCs/>
          <w:color w:val="000000" w:themeColor="text1"/>
          <w:shd w:val="clear" w:color="auto" w:fill="FFFFFF"/>
        </w:rPr>
        <w:t>Finance Research Letters</w:t>
      </w:r>
      <w:r w:rsidRPr="00555272">
        <w:rPr>
          <w:color w:val="000000" w:themeColor="text1"/>
          <w:shd w:val="clear" w:color="auto" w:fill="FFFFFF"/>
        </w:rPr>
        <w:t>, </w:t>
      </w:r>
      <w:r w:rsidRPr="00555272">
        <w:rPr>
          <w:i/>
          <w:iCs/>
          <w:color w:val="000000" w:themeColor="text1"/>
          <w:shd w:val="clear" w:color="auto" w:fill="FFFFFF"/>
        </w:rPr>
        <w:t>46</w:t>
      </w:r>
      <w:r w:rsidRPr="00555272">
        <w:rPr>
          <w:color w:val="000000" w:themeColor="text1"/>
          <w:shd w:val="clear" w:color="auto" w:fill="FFFFFF"/>
        </w:rPr>
        <w:t>, p.102499.</w:t>
      </w:r>
    </w:p>
    <w:p w14:paraId="2F01A0B6" w14:textId="77777777" w:rsidR="00555272" w:rsidRPr="00555272" w:rsidRDefault="00555272" w:rsidP="00555272">
      <w:pPr>
        <w:pStyle w:val="ListParagraph"/>
        <w:numPr>
          <w:ilvl w:val="0"/>
          <w:numId w:val="8"/>
        </w:numPr>
        <w:rPr>
          <w:color w:val="000000" w:themeColor="text1"/>
          <w:shd w:val="clear" w:color="auto" w:fill="FFFFFF"/>
        </w:rPr>
      </w:pPr>
      <w:proofErr w:type="spellStart"/>
      <w:r w:rsidRPr="00555272">
        <w:rPr>
          <w:color w:val="000000" w:themeColor="text1"/>
          <w:shd w:val="clear" w:color="auto" w:fill="FFFFFF"/>
        </w:rPr>
        <w:t>Margaretic</w:t>
      </w:r>
      <w:proofErr w:type="spellEnd"/>
      <w:r w:rsidRPr="00555272">
        <w:rPr>
          <w:color w:val="000000" w:themeColor="text1"/>
          <w:shd w:val="clear" w:color="auto" w:fill="FFFFFF"/>
        </w:rPr>
        <w:t>, P. and Pouget, S., 2018. Sovereign bond spreads and extra-financial performance: An empirical analysis of emerging markets. </w:t>
      </w:r>
      <w:r w:rsidRPr="00555272">
        <w:rPr>
          <w:i/>
          <w:iCs/>
          <w:color w:val="000000" w:themeColor="text1"/>
          <w:shd w:val="clear" w:color="auto" w:fill="FFFFFF"/>
        </w:rPr>
        <w:t>International Review of Economics &amp; Finance</w:t>
      </w:r>
      <w:r w:rsidRPr="00555272">
        <w:rPr>
          <w:color w:val="000000" w:themeColor="text1"/>
          <w:shd w:val="clear" w:color="auto" w:fill="FFFFFF"/>
        </w:rPr>
        <w:t>, </w:t>
      </w:r>
      <w:r w:rsidRPr="00555272">
        <w:rPr>
          <w:i/>
          <w:iCs/>
          <w:color w:val="000000" w:themeColor="text1"/>
          <w:shd w:val="clear" w:color="auto" w:fill="FFFFFF"/>
        </w:rPr>
        <w:t>58</w:t>
      </w:r>
      <w:r w:rsidRPr="00555272">
        <w:rPr>
          <w:color w:val="000000" w:themeColor="text1"/>
          <w:shd w:val="clear" w:color="auto" w:fill="FFFFFF"/>
        </w:rPr>
        <w:t>, pp.340-355.</w:t>
      </w:r>
    </w:p>
    <w:p w14:paraId="6C7F20B5" w14:textId="77777777" w:rsidR="00555272" w:rsidRPr="00555272" w:rsidRDefault="00555272" w:rsidP="00555272">
      <w:pPr>
        <w:pStyle w:val="ListParagraph"/>
        <w:numPr>
          <w:ilvl w:val="0"/>
          <w:numId w:val="8"/>
        </w:numPr>
        <w:rPr>
          <w:color w:val="000000" w:themeColor="text1"/>
        </w:rPr>
      </w:pPr>
      <w:proofErr w:type="spellStart"/>
      <w:r w:rsidRPr="00555272">
        <w:rPr>
          <w:color w:val="000000" w:themeColor="text1"/>
        </w:rPr>
        <w:t>Mellios</w:t>
      </w:r>
      <w:proofErr w:type="spellEnd"/>
      <w:r w:rsidRPr="00555272">
        <w:rPr>
          <w:color w:val="000000" w:themeColor="text1"/>
        </w:rPr>
        <w:t>, C. &amp; Paget-Blanc, E. 2006. Which factors determine sovereign credit ratings? European Journal ofFinance,</w:t>
      </w:r>
      <w:proofErr w:type="gramStart"/>
      <w:r w:rsidRPr="00555272">
        <w:rPr>
          <w:color w:val="000000" w:themeColor="text1"/>
        </w:rPr>
        <w:t>12,pp.</w:t>
      </w:r>
      <w:proofErr w:type="gramEnd"/>
      <w:r w:rsidRPr="00555272">
        <w:rPr>
          <w:color w:val="000000" w:themeColor="text1"/>
        </w:rPr>
        <w:t>361–377.</w:t>
      </w:r>
    </w:p>
    <w:p w14:paraId="6416C19A" w14:textId="77777777" w:rsidR="00555272" w:rsidRPr="00555272" w:rsidRDefault="00555272" w:rsidP="00555272">
      <w:pPr>
        <w:pStyle w:val="ListParagraph"/>
        <w:numPr>
          <w:ilvl w:val="0"/>
          <w:numId w:val="8"/>
        </w:numPr>
        <w:rPr>
          <w:color w:val="000000" w:themeColor="text1"/>
        </w:rPr>
      </w:pPr>
      <w:r w:rsidRPr="00555272">
        <w:rPr>
          <w:color w:val="000000" w:themeColor="text1"/>
        </w:rPr>
        <w:t>Slapnik, U. and Loncarski, I., 2019. Understanding sovereign credit ratings: Text-based evidence from the credit rating reports. </w:t>
      </w:r>
      <w:r w:rsidRPr="00555272">
        <w:rPr>
          <w:i/>
          <w:iCs/>
          <w:color w:val="000000" w:themeColor="text1"/>
        </w:rPr>
        <w:t>Available at SSRN 3372270</w:t>
      </w:r>
      <w:r w:rsidRPr="00555272">
        <w:rPr>
          <w:color w:val="000000" w:themeColor="text1"/>
        </w:rPr>
        <w:t>.</w:t>
      </w:r>
    </w:p>
    <w:p w14:paraId="21FA4F67" w14:textId="1DD34CE0" w:rsidR="00D472ED" w:rsidRPr="00555272" w:rsidRDefault="00555272" w:rsidP="00555272">
      <w:pPr>
        <w:pStyle w:val="ListParagraph"/>
        <w:numPr>
          <w:ilvl w:val="0"/>
          <w:numId w:val="8"/>
        </w:numPr>
        <w:rPr>
          <w:color w:val="000000" w:themeColor="text1"/>
        </w:rPr>
      </w:pPr>
      <w:r w:rsidRPr="00555272">
        <w:rPr>
          <w:color w:val="000000" w:themeColor="text1"/>
        </w:rPr>
        <w:t>Tran, Y. et al. (2021) Sovereign credit ratings during the COVID-19 pandemic. International review of financial analysis. [Online] 78101879–101879.</w:t>
      </w:r>
    </w:p>
    <w:sectPr w:rsidR="00D472ED" w:rsidRPr="00555272" w:rsidSect="004E6DE5">
      <w:headerReference w:type="default" r:id="rId9"/>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509D3" w14:textId="77777777" w:rsidR="00254BB0" w:rsidRDefault="00254BB0" w:rsidP="004E6DE5">
      <w:pPr>
        <w:spacing w:before="0" w:after="0" w:line="240" w:lineRule="auto"/>
      </w:pPr>
      <w:r>
        <w:separator/>
      </w:r>
    </w:p>
  </w:endnote>
  <w:endnote w:type="continuationSeparator" w:id="0">
    <w:p w14:paraId="28C04CF4" w14:textId="77777777" w:rsidR="00254BB0" w:rsidRDefault="00254BB0" w:rsidP="004E6D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9382182"/>
      <w:docPartObj>
        <w:docPartGallery w:val="Page Numbers (Bottom of Page)"/>
        <w:docPartUnique/>
      </w:docPartObj>
    </w:sdtPr>
    <w:sdtEndPr>
      <w:rPr>
        <w:noProof/>
      </w:rPr>
    </w:sdtEndPr>
    <w:sdtContent>
      <w:p w14:paraId="44256C54" w14:textId="233F13CF" w:rsidR="004E6DE5" w:rsidRDefault="004E6DE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95667C" w14:textId="77777777" w:rsidR="004E6DE5" w:rsidRDefault="004E6D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2E346" w14:textId="77777777" w:rsidR="00254BB0" w:rsidRDefault="00254BB0" w:rsidP="004E6DE5">
      <w:pPr>
        <w:spacing w:before="0" w:after="0" w:line="240" w:lineRule="auto"/>
      </w:pPr>
      <w:r>
        <w:separator/>
      </w:r>
    </w:p>
  </w:footnote>
  <w:footnote w:type="continuationSeparator" w:id="0">
    <w:p w14:paraId="61652C6E" w14:textId="77777777" w:rsidR="00254BB0" w:rsidRDefault="00254BB0" w:rsidP="004E6DE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10C97" w14:textId="7408391C" w:rsidR="00AE19B0" w:rsidRPr="00AE19B0" w:rsidRDefault="00AE19B0">
    <w:pPr>
      <w:pStyle w:val="Header"/>
      <w:rPr>
        <w:lang w:val="en-US"/>
      </w:rPr>
    </w:pPr>
    <w:r>
      <w:rPr>
        <w:lang w:val="en-US"/>
      </w:rPr>
      <w:t>500681622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46246"/>
    <w:multiLevelType w:val="hybridMultilevel"/>
    <w:tmpl w:val="DE529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DB4861"/>
    <w:multiLevelType w:val="hybridMultilevel"/>
    <w:tmpl w:val="619AB17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83D163D"/>
    <w:multiLevelType w:val="hybridMultilevel"/>
    <w:tmpl w:val="2CB8E18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BC1678C"/>
    <w:multiLevelType w:val="hybridMultilevel"/>
    <w:tmpl w:val="48A08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8472D8"/>
    <w:multiLevelType w:val="multilevel"/>
    <w:tmpl w:val="57FA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A24BAB"/>
    <w:multiLevelType w:val="multilevel"/>
    <w:tmpl w:val="590C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0E31BF"/>
    <w:multiLevelType w:val="hybridMultilevel"/>
    <w:tmpl w:val="4B6E25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12A296E"/>
    <w:multiLevelType w:val="hybridMultilevel"/>
    <w:tmpl w:val="4C76B8D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AD20DFE"/>
    <w:multiLevelType w:val="hybridMultilevel"/>
    <w:tmpl w:val="69FC836C"/>
    <w:lvl w:ilvl="0" w:tplc="08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7D267EA3"/>
    <w:multiLevelType w:val="hybridMultilevel"/>
    <w:tmpl w:val="DB165616"/>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6221662">
    <w:abstractNumId w:val="9"/>
  </w:num>
  <w:num w:numId="2" w16cid:durableId="592711245">
    <w:abstractNumId w:val="3"/>
  </w:num>
  <w:num w:numId="3" w16cid:durableId="62876409">
    <w:abstractNumId w:val="6"/>
  </w:num>
  <w:num w:numId="4" w16cid:durableId="140925775">
    <w:abstractNumId w:val="8"/>
  </w:num>
  <w:num w:numId="5" w16cid:durableId="214048980">
    <w:abstractNumId w:val="0"/>
  </w:num>
  <w:num w:numId="6" w16cid:durableId="405880866">
    <w:abstractNumId w:val="7"/>
  </w:num>
  <w:num w:numId="7" w16cid:durableId="1230731802">
    <w:abstractNumId w:val="2"/>
  </w:num>
  <w:num w:numId="8" w16cid:durableId="55133316">
    <w:abstractNumId w:val="1"/>
  </w:num>
  <w:num w:numId="9" w16cid:durableId="1923105894">
    <w:abstractNumId w:val="4"/>
  </w:num>
  <w:num w:numId="10" w16cid:durableId="8162167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cwNzQ0MzEyNLawMLdQ0lEKTi0uzszPAykwqQUAA5qZ0iwAAAA="/>
  </w:docVars>
  <w:rsids>
    <w:rsidRoot w:val="003F5550"/>
    <w:rsid w:val="00016C4E"/>
    <w:rsid w:val="000605DB"/>
    <w:rsid w:val="00176E1A"/>
    <w:rsid w:val="00220739"/>
    <w:rsid w:val="00254BB0"/>
    <w:rsid w:val="002A2AFE"/>
    <w:rsid w:val="003F5550"/>
    <w:rsid w:val="004028F2"/>
    <w:rsid w:val="004470DF"/>
    <w:rsid w:val="004E6DE5"/>
    <w:rsid w:val="00541551"/>
    <w:rsid w:val="00555272"/>
    <w:rsid w:val="006E28A6"/>
    <w:rsid w:val="00747BC2"/>
    <w:rsid w:val="007B30E7"/>
    <w:rsid w:val="008B059F"/>
    <w:rsid w:val="008E4375"/>
    <w:rsid w:val="00950880"/>
    <w:rsid w:val="00A41E27"/>
    <w:rsid w:val="00AE19B0"/>
    <w:rsid w:val="00C42F95"/>
    <w:rsid w:val="00D472ED"/>
    <w:rsid w:val="00DB2B19"/>
    <w:rsid w:val="00ED303C"/>
    <w:rsid w:val="00FC49CC"/>
    <w:rsid w:val="00FF538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670FF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03C"/>
    <w:pPr>
      <w:spacing w:before="100" w:beforeAutospacing="1" w:after="100" w:afterAutospacing="1" w:line="360" w:lineRule="auto"/>
      <w:jc w:val="both"/>
    </w:pPr>
    <w:rPr>
      <w:rFonts w:ascii="Times New Roman" w:hAnsi="Times New Roman"/>
      <w:kern w:val="0"/>
      <w14:ligatures w14:val="none"/>
    </w:rPr>
  </w:style>
  <w:style w:type="paragraph" w:styleId="Heading1">
    <w:name w:val="heading 1"/>
    <w:basedOn w:val="Normal"/>
    <w:next w:val="Normal"/>
    <w:link w:val="Heading1Char"/>
    <w:uiPriority w:val="9"/>
    <w:qFormat/>
    <w:rsid w:val="008B059F"/>
    <w:pPr>
      <w:keepNext/>
      <w:keepLines/>
      <w:spacing w:before="240" w:after="0"/>
      <w:jc w:val="center"/>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8B059F"/>
    <w:pPr>
      <w:keepNext/>
      <w:keepLines/>
      <w:spacing w:before="40" w:after="0"/>
      <w:jc w:val="left"/>
      <w:outlineLvl w:val="1"/>
    </w:pPr>
    <w:rPr>
      <w:rFonts w:eastAsiaTheme="majorEastAsia" w:cstheme="majorBidi"/>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59F"/>
    <w:rPr>
      <w:rFonts w:ascii="Times New Roman" w:eastAsiaTheme="majorEastAsia" w:hAnsi="Times New Roman" w:cstheme="majorBidi"/>
      <w:sz w:val="36"/>
      <w:szCs w:val="32"/>
    </w:rPr>
  </w:style>
  <w:style w:type="character" w:customStyle="1" w:styleId="Heading2Char">
    <w:name w:val="Heading 2 Char"/>
    <w:basedOn w:val="DefaultParagraphFont"/>
    <w:link w:val="Heading2"/>
    <w:uiPriority w:val="9"/>
    <w:rsid w:val="008B059F"/>
    <w:rPr>
      <w:rFonts w:ascii="Times New Roman" w:eastAsiaTheme="majorEastAsia" w:hAnsi="Times New Roman" w:cstheme="majorBidi"/>
      <w:sz w:val="32"/>
      <w:szCs w:val="26"/>
    </w:rPr>
  </w:style>
  <w:style w:type="paragraph" w:styleId="NoSpacing">
    <w:name w:val="No Spacing"/>
    <w:uiPriority w:val="1"/>
    <w:qFormat/>
    <w:rsid w:val="008E4375"/>
    <w:pPr>
      <w:spacing w:after="0" w:line="240" w:lineRule="auto"/>
      <w:jc w:val="both"/>
    </w:pPr>
    <w:rPr>
      <w:rFonts w:ascii="Times New Roman" w:hAnsi="Times New Roman"/>
      <w:sz w:val="24"/>
    </w:rPr>
  </w:style>
  <w:style w:type="character" w:styleId="PlaceholderText">
    <w:name w:val="Placeholder Text"/>
    <w:basedOn w:val="DefaultParagraphFont"/>
    <w:uiPriority w:val="99"/>
    <w:semiHidden/>
    <w:rsid w:val="00950880"/>
    <w:rPr>
      <w:color w:val="808080"/>
    </w:rPr>
  </w:style>
  <w:style w:type="paragraph" w:styleId="ListParagraph">
    <w:name w:val="List Paragraph"/>
    <w:basedOn w:val="Normal"/>
    <w:uiPriority w:val="34"/>
    <w:qFormat/>
    <w:rsid w:val="004E6DE5"/>
    <w:pPr>
      <w:ind w:left="720"/>
      <w:contextualSpacing/>
    </w:pPr>
  </w:style>
  <w:style w:type="table" w:styleId="TableGrid">
    <w:name w:val="Table Grid"/>
    <w:basedOn w:val="TableNormal"/>
    <w:uiPriority w:val="39"/>
    <w:rsid w:val="004E6DE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6DE5"/>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E6DE5"/>
    <w:rPr>
      <w:rFonts w:ascii="Times New Roman" w:hAnsi="Times New Roman"/>
      <w:kern w:val="0"/>
      <w14:ligatures w14:val="none"/>
    </w:rPr>
  </w:style>
  <w:style w:type="paragraph" w:styleId="Footer">
    <w:name w:val="footer"/>
    <w:basedOn w:val="Normal"/>
    <w:link w:val="FooterChar"/>
    <w:uiPriority w:val="99"/>
    <w:unhideWhenUsed/>
    <w:rsid w:val="004E6DE5"/>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E6DE5"/>
    <w:rPr>
      <w:rFonts w:ascii="Times New Roman" w:hAnsi="Times New Roman"/>
      <w:kern w:val="0"/>
      <w14:ligatures w14:val="none"/>
    </w:rPr>
  </w:style>
  <w:style w:type="paragraph" w:styleId="Caption">
    <w:name w:val="caption"/>
    <w:basedOn w:val="Normal"/>
    <w:next w:val="Normal"/>
    <w:uiPriority w:val="35"/>
    <w:unhideWhenUsed/>
    <w:qFormat/>
    <w:rsid w:val="00FC49CC"/>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049642">
      <w:bodyDiv w:val="1"/>
      <w:marLeft w:val="0"/>
      <w:marRight w:val="0"/>
      <w:marTop w:val="0"/>
      <w:marBottom w:val="0"/>
      <w:divBdr>
        <w:top w:val="none" w:sz="0" w:space="0" w:color="auto"/>
        <w:left w:val="none" w:sz="0" w:space="0" w:color="auto"/>
        <w:bottom w:val="none" w:sz="0" w:space="0" w:color="auto"/>
        <w:right w:val="none" w:sz="0" w:space="0" w:color="auto"/>
      </w:divBdr>
    </w:div>
    <w:div w:id="533537402">
      <w:bodyDiv w:val="1"/>
      <w:marLeft w:val="0"/>
      <w:marRight w:val="0"/>
      <w:marTop w:val="0"/>
      <w:marBottom w:val="0"/>
      <w:divBdr>
        <w:top w:val="none" w:sz="0" w:space="0" w:color="auto"/>
        <w:left w:val="none" w:sz="0" w:space="0" w:color="auto"/>
        <w:bottom w:val="none" w:sz="0" w:space="0" w:color="auto"/>
        <w:right w:val="none" w:sz="0" w:space="0" w:color="auto"/>
      </w:divBdr>
    </w:div>
    <w:div w:id="769619115">
      <w:bodyDiv w:val="1"/>
      <w:marLeft w:val="0"/>
      <w:marRight w:val="0"/>
      <w:marTop w:val="0"/>
      <w:marBottom w:val="0"/>
      <w:divBdr>
        <w:top w:val="none" w:sz="0" w:space="0" w:color="auto"/>
        <w:left w:val="none" w:sz="0" w:space="0" w:color="auto"/>
        <w:bottom w:val="none" w:sz="0" w:space="0" w:color="auto"/>
        <w:right w:val="none" w:sz="0" w:space="0" w:color="auto"/>
      </w:divBdr>
    </w:div>
    <w:div w:id="917324098">
      <w:bodyDiv w:val="1"/>
      <w:marLeft w:val="0"/>
      <w:marRight w:val="0"/>
      <w:marTop w:val="0"/>
      <w:marBottom w:val="0"/>
      <w:divBdr>
        <w:top w:val="none" w:sz="0" w:space="0" w:color="auto"/>
        <w:left w:val="none" w:sz="0" w:space="0" w:color="auto"/>
        <w:bottom w:val="none" w:sz="0" w:space="0" w:color="auto"/>
        <w:right w:val="none" w:sz="0" w:space="0" w:color="auto"/>
      </w:divBdr>
    </w:div>
    <w:div w:id="1092319491">
      <w:bodyDiv w:val="1"/>
      <w:marLeft w:val="0"/>
      <w:marRight w:val="0"/>
      <w:marTop w:val="0"/>
      <w:marBottom w:val="0"/>
      <w:divBdr>
        <w:top w:val="none" w:sz="0" w:space="0" w:color="auto"/>
        <w:left w:val="none" w:sz="0" w:space="0" w:color="auto"/>
        <w:bottom w:val="none" w:sz="0" w:space="0" w:color="auto"/>
        <w:right w:val="none" w:sz="0" w:space="0" w:color="auto"/>
      </w:divBdr>
    </w:div>
    <w:div w:id="1289387425">
      <w:bodyDiv w:val="1"/>
      <w:marLeft w:val="0"/>
      <w:marRight w:val="0"/>
      <w:marTop w:val="0"/>
      <w:marBottom w:val="0"/>
      <w:divBdr>
        <w:top w:val="none" w:sz="0" w:space="0" w:color="auto"/>
        <w:left w:val="none" w:sz="0" w:space="0" w:color="auto"/>
        <w:bottom w:val="none" w:sz="0" w:space="0" w:color="auto"/>
        <w:right w:val="none" w:sz="0" w:space="0" w:color="auto"/>
      </w:divBdr>
    </w:div>
    <w:div w:id="204436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940E0-D3D5-42F2-8B4A-1B1E9327E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3738</Words>
  <Characters>21311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2023-08-30T12:11:00Z</dcterms:created>
  <dcterms:modified xsi:type="dcterms:W3CDTF">2023-08-31T15:32:00Z</dcterms:modified>
</cp:coreProperties>
</file>