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before="0" w:line="276" w:lineRule="auto"/>
        <w:ind w:left="0" w:firstLine="0"/>
        <w:rPr/>
      </w:pPr>
      <w:r w:rsidDel="00000000" w:rsidR="00000000" w:rsidRPr="00000000">
        <w:rPr>
          <w:rtl w:val="0"/>
        </w:rPr>
      </w:r>
    </w:p>
    <w:p w:rsidR="00000000" w:rsidDel="00000000" w:rsidP="00000000" w:rsidRDefault="00000000" w:rsidRPr="00000000" w14:paraId="0000000A">
      <w:pPr>
        <w:spacing w:before="0" w:line="276" w:lineRule="auto"/>
        <w:ind w:left="0" w:firstLine="0"/>
        <w:rPr/>
      </w:pPr>
      <w:r w:rsidDel="00000000" w:rsidR="00000000" w:rsidRPr="00000000">
        <w:rPr>
          <w:rtl w:val="0"/>
        </w:rPr>
        <w:t xml:space="preserve">The purpose of this vulnerability assessment is to evaluate the risks associated with the company’s publicly accessible database server, which stores sensitive customer and business information. This system is essential for remote employees who use it to identify potential customers, making it critical to daily operations. Securing this data is vital to maintaining trust, preventing breaches, and ensuring business continuity. If the server were compromised or disabled, it could disrupt operations, result in data loss, and damage the company’s reputation.</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Outsider (Hacker/APT)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SQL injection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Malicious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Unauthorized 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Denial of Service (DoS)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3">
      <w:pPr>
        <w:rPr/>
      </w:pPr>
      <w:r w:rsidDel="00000000" w:rsidR="00000000" w:rsidRPr="00000000">
        <w:rPr>
          <w:rtl w:val="0"/>
        </w:rPr>
        <w:t xml:space="preserve">This vulnerability assessment uses a qualitative approach based on the NIST SP 800-30 Rev. 1 guidelines. I selected these threat sources and events because they represent realistic risks to a publicly accessible database containing sensitive customer information. Hackers commonly target exposed databases, insiders can intentionally or accidentally leak data, and competitors may attempt to disrupt operations. These threats were evaluated for likelihood and severity based on how they could impact confidentiality, integrity, and availability.</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risks, the company should immediately restrict database access by applying the principle of least privilege and removing public access to the server. Multi-factor authentication and the AAA framework should be used to authenticate and audit all database activity. The company should enforce role-based access controls, strong password policies, and secure the server behind a VPN or firewall with IP allow-listing. Data should be encrypted with modern TLS protocols, and additional layers such as intrusion detection, patch management, and database hardening should be implemented to reduce SQL injection, exfiltration, and service disruption risks.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