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Geric Gultiano</w:t>
      </w:r>
    </w:p>
    <w:p w:rsidR="00000000" w:rsidDel="00000000" w:rsidP="00000000" w:rsidRDefault="00000000" w:rsidRPr="00000000" w14:paraId="00000002">
      <w:pPr>
        <w:rPr>
          <w:b w:val="1"/>
        </w:rPr>
      </w:pPr>
      <w:r w:rsidDel="00000000" w:rsidR="00000000" w:rsidRPr="00000000">
        <w:rPr>
          <w:b w:val="1"/>
          <w:rtl w:val="0"/>
        </w:rPr>
        <w:t xml:space="preserve">BSIT - 3A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0" w:before="0" w:lineRule="auto"/>
        <w:rPr/>
      </w:pPr>
      <w:bookmarkStart w:colFirst="0" w:colLast="0" w:name="_5knd2smetk6a" w:id="0"/>
      <w:bookmarkEnd w:id="0"/>
      <w:r w:rsidDel="00000000" w:rsidR="00000000" w:rsidRPr="00000000">
        <w:rPr>
          <w:b w:val="1"/>
          <w:rtl w:val="0"/>
        </w:rPr>
        <w:t xml:space="preserve">TLA #2: </w:t>
      </w:r>
      <w:r w:rsidDel="00000000" w:rsidR="00000000" w:rsidRPr="00000000">
        <w:rPr>
          <w:rtl w:val="0"/>
        </w:rPr>
        <w:t xml:space="preserve">Identify what are the Software Quality Factors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Functionality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Functionality refers to how well the software meets the functional requirements outlined by the stakeholders, users, or clients. It essentially answers the question: </w:t>
      </w:r>
      <w:r w:rsidDel="00000000" w:rsidR="00000000" w:rsidRPr="00000000">
        <w:rPr>
          <w:i w:val="1"/>
          <w:rtl w:val="0"/>
        </w:rPr>
        <w:t xml:space="preserve">"Does the software do what it is supposed to do?"</w:t>
      </w:r>
      <w:r w:rsidDel="00000000" w:rsidR="00000000" w:rsidRPr="00000000">
        <w:rPr>
          <w:rtl w:val="0"/>
        </w:rPr>
        <w:t xml:space="preserve"> This includes the correct implementation of features, functions, and behaviors as specified in the requirements document. </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Reliability</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Reliability refers to the ability of the software to perform consistently over time without failure. It measures how stable the software is under normal operating conditions, including its ability to recover from unexpected errors.</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Usability</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Usability is the measure of how easy and intuitive the software is for end-users. It focuses on the user experience (UX) and how effectively users can interact with the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