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Vergleichsvorschlag</w:t>
      </w:r>
    </w:p>
    <w:p>
      <w:r>
        <w:t>Vergleich zwischen Möbelwerk AG und BüroTrend AG</w:t>
      </w:r>
    </w:p>
    <w:p>
      <w:r>
        <w:br/>
        <w:t>Die Möbelwerk AG bietet einen Preisnachlass von 10% (CHF 1’850.–) auf die ursprüngliche Rechnungssumme an. Mit Annahme dieses Vorschlags gelten sämtliche Ansprüche im Zusammenhang mit der verspäteten Lieferung als erledigt.</w:t>
      </w:r>
    </w:p>
    <w:p>
      <w:r>
        <w:br/>
        <w:t>Datum: 13.04.2025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