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AGB-Auszug – SoftTech GmbH (Auszug)</w:t>
      </w:r>
    </w:p>
    <w:p>
      <w:r>
        <w:t>Lieferfristen sind unverbindlich, es sei denn, sie wurden ausdrücklich schriftlich als verbindlich zugesagt.</w:t>
      </w:r>
    </w:p>
    <w:p>
      <w:r>
        <w:t>Bei Lieferverzug haftet SoftTech GmbH nicht für Folgeschäden, es sei denn, der Verzug wurde grob fahrlässig oder vorsätzlich verursacht.</w:t>
      </w:r>
    </w:p>
    <w:p>
      <w:r>
        <w:t>Die Haftung ist in jedem Fall auf den Kaufpreis beschränkt.</w:t>
      </w:r>
    </w:p>
    <w:p>
      <w:r>
        <w:t>(Stand: 01.01.2024)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