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Forderung wegen Lieferverzug</w:t>
      </w:r>
    </w:p>
    <w:p>
      <w:r>
        <w:t>Luzern, 25.04.2025</w:t>
        <w:br/>
      </w:r>
    </w:p>
    <w:p>
      <w:r>
        <w:t>Sehr geehrte Damen und Herren,</w:t>
        <w:br/>
        <w:br/>
        <w:t>die verspätete Lieferung Ihrer Kompakt-Raupe hat unser Bauprojekt massiv beeinträchtigt. Wir mussten teure Ersatzlösungen organisieren, Arbeitskräfte umbuchen und wichtige Fristen neu verhandeln. Diese Umstände waren nicht nur kostspielig, sondern auch geschäftsschädigend.</w:t>
        <w:br/>
        <w:br/>
        <w:t>Gemäss dem Kaufvertrag vom 25.03.2025 steht uns bei 14 Werktagen Lieferverzug eine Konventionalstrafe in Höhe von CHF 7’000.– zu (CHF 500.– pro Tag). Wir erwarten die vollständige Zahlung dieser Summe bis spätestens 05.05.2025.</w:t>
        <w:br/>
        <w:br/>
        <w:t>Wir behalten uns vor, weitere rechtliche Schritte einzuleiten, sollten Sie die Forderung ignorieren.</w:t>
        <w:br/>
        <w:br/>
        <w:t>Mit Nachdruck,</w:t>
        <w:br/>
        <w:br/>
        <w:t>Hoch &amp; Tiefbau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