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Mitteilung – SwissKitchenWorld GmbH</w:t>
      </w:r>
    </w:p>
    <w:p>
      <w:r>
        <w:t>Von: info@swisskitchenworld.ch</w:t>
        <w:br/>
        <w:t>An: s.vogel@mail.ch</w:t>
        <w:br/>
        <w:t>Datum: 07.06.2025</w:t>
      </w:r>
    </w:p>
    <w:p>
      <w:r>
        <w:t>Betreff: Ihre Rückgabe – NutriPro 1500</w:t>
      </w:r>
    </w:p>
    <w:p>
      <w:r>
        <w:br/>
        <w:t>Sehr geehrte Frau Vogel</w:t>
        <w:br/>
        <w:br/>
        <w:t>Leider müssen wir Ihnen mitteilen, dass der Schaden am Glasbehälter nicht als Herstellungsfehler beurteilt werden kann. Wir vermuten einen Transportschaden oder unsachgemässe Handhabung nach dem Kauf.</w:t>
        <w:br/>
        <w:br/>
        <w:t>Ein Austausch ist gemäss unseren AGB nicht vorgesehen.</w:t>
        <w:br/>
        <w:br/>
        <w:t>Mit freundlichen Grüssen</w:t>
        <w:br/>
        <w:t>SwissKitchenWorld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