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Vergleichslösung – SwissKitchenWorld GmbH</w:t>
      </w:r>
    </w:p>
    <w:p>
      <w:r>
        <w:t>Von: filiale.zug@swisskitchenworld.ch</w:t>
        <w:br/>
        <w:t>An: s.vogel@mail.ch</w:t>
        <w:br/>
        <w:t>Datum: 09.06.2025</w:t>
      </w:r>
    </w:p>
    <w:p>
      <w:r>
        <w:t>Betreff: Kulanzlösung für Ihren NutriPro 1500</w:t>
      </w:r>
    </w:p>
    <w:p>
      <w:r>
        <w:br/>
        <w:t>Sehr geehrte Frau Vogel</w:t>
        <w:br/>
        <w:br/>
        <w:t>Obwohl wir den Schaden nicht als Gewährleistungsfall einstufen, möchten wir Ihnen aus Kulanz einen Preisnachlass in Form eines Wertgutscheins über CHF 100.– anbieten oder alternativ den Glasbehälter kostenfrei ersetzen.</w:t>
        <w:br/>
        <w:br/>
        <w:t>Bitte teilen Sie uns mit, welche Option Sie bevorzugen.</w:t>
        <w:br/>
        <w:br/>
        <w:t>Freundliche Grüsse</w:t>
        <w:br/>
        <w:t>SwissKitchenWorld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