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AGB-Auszug – SoftTec Solutions GmbH</w:t>
      </w:r>
    </w:p>
    <w:p>
      <w:r>
        <w:t>§ 5 Gefahrübergang</w:t>
      </w:r>
    </w:p>
    <w:p>
      <w:r>
        <w:t>Mit Übergabe der Ware an den Transportdienstleister geht die Gefahr auf den Käufer über, auch wenn der Verkäufer die Transportkosten trägt.</w:t>
      </w:r>
    </w:p>
    <w:p>
      <w:r>
        <w:br/>
        <w:t>§ 7 Transportschäden</w:t>
      </w:r>
    </w:p>
    <w:p>
      <w:r>
        <w:t>Offensichtliche Transportschäden sind sofort, versteckte Schäden innerhalb von 2 Werktagen nach Empfang schriftlich zu melden.</w:t>
      </w:r>
    </w:p>
    <w:p>
      <w:r>
        <w:br/>
        <w:t>§ 8 Gewährleistung</w:t>
      </w:r>
    </w:p>
    <w:p>
      <w:r>
        <w:t>Keine Haftung für Schäden, die nach Gefahrübergang entstehen, insbesondere durch Transport oder unsachgemässe Behandlung.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