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Schlussmitteilung – Ankündigung Anzeige und Betreibung</w:t>
      </w:r>
    </w:p>
    <w:p>
      <w:r>
        <w:t>Von: lena.baumann@email.ch</w:t>
        <w:br/>
        <w:t>An: marc.steiner@email.ch</w:t>
        <w:br/>
        <w:t>Datum: 02.07.2025</w:t>
        <w:br/>
        <w:t>Betreff: Letzte Mitteilung bezüglich Kauf Audioanlage</w:t>
        <w:br/>
        <w:br/>
        <w:t>Hallo Marc</w:t>
        <w:br/>
        <w:br/>
        <w:t>Da du trotz mehrmaliger Aufforderung die Zahlung des Kaufpreises von CHF 850.– nicht geleistet hast, sehe ich mich gezwungen, Massnahmen zu ergreifen.</w:t>
        <w:br/>
        <w:br/>
        <w:t>Ich werde umgehend Strafanzeige wegen Betrug gemäss Art. 146 StGB einreichen.</w:t>
        <w:br/>
        <w:t>Zusätzlich werde ich die Forderung im Rahmen eines Betreibungsverfahrens geltend machen.</w:t>
        <w:br/>
        <w:br/>
        <w:t>Sollte der Betrag zwischenzeitlich beglichen worden sein, informiere mich bitte umgehend.</w:t>
        <w:br/>
        <w:br/>
        <w:t>Freundliche Grüsse</w:t>
        <w:br/>
        <w:t>Lena Baumann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