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Kaufvertrag – Roboterarm XTR-2000</w:t>
      </w:r>
    </w:p>
    <w:p>
      <w:r>
        <w:t>Vertragsparteien:</w:t>
        <w:br/>
        <w:t>RoboTec AG, Industriestrasse 20, 8400 Winterthur (Verkäufer)</w:t>
        <w:br/>
        <w:t>und</w:t>
        <w:br/>
        <w:t>TechnoMotion GmbH, Uetlibergstrasse 99, 8045 Zürich (Käufer)</w:t>
        <w:br/>
        <w:br/>
        <w:t>1. Kaufgegenstand</w:t>
        <w:br/>
        <w:t>Lieferung eines Roboterarms Modell XTR-2000 inklusive Steuerungsmodul, Betriebssoftware und Basisinstallation.</w:t>
        <w:br/>
        <w:br/>
        <w:t>2. Preis</w:t>
        <w:br/>
        <w:t>CHF 32'000.– exkl. MWST</w:t>
        <w:br/>
        <w:br/>
        <w:t>3. Lieferbedingungen</w:t>
        <w:br/>
        <w:t>Lieferung EXW Werk Winterthur, gemäss Incoterms® 2020.</w:t>
        <w:br/>
        <w:t>Transport und Versicherung gehen zu Lasten des Käufers.</w:t>
        <w:br/>
        <w:br/>
        <w:t>4. Zahlungsbedingungen</w:t>
        <w:br/>
        <w:t>30 Tage netto nach Rechnungsstellung.</w:t>
        <w:br/>
        <w:br/>
        <w:t>5. Garantie</w:t>
        <w:br/>
        <w:t>12 Monate auf Material- und Fertigungsfehler ab Abnahme.</w:t>
        <w:br/>
        <w:br/>
        <w:t>6. Mängelrüge</w:t>
        <w:br/>
        <w:t>Der Käufer hat offensichtliche Mängel innert 7 Tagen schriftlich anzuzeigen. Verdeckte Mängel sind unverzüglich nach Entdeckung zu melden.</w:t>
        <w:br/>
        <w:br/>
        <w:t>7. Anwendbares Recht / Gerichtsstand</w:t>
        <w:br/>
        <w:t>Es gilt schweizerisches Recht. Gerichtsstand ist Winterthur.</w:t>
        <w:br/>
        <w:br/>
        <w:t>Ort, Datum: Winterthur, 20.05.2025</w:t>
        <w:br/>
        <w:br/>
        <w:t>__________________________         __________________________</w:t>
        <w:br/>
        <w:t>RoboTec AG                                       TechnoMotion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